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3EFF6F23" w14:textId="77777777" w:rsidR="00137DDC" w:rsidRPr="00CF7396" w:rsidRDefault="00137DDC" w:rsidP="00CF7396">
      <w:pPr>
        <w:tabs>
          <w:tab w:val="left" w:pos="4280"/>
        </w:tabs>
        <w:ind w:left="4248"/>
        <w:jc w:val="both"/>
      </w:pPr>
    </w:p>
    <w:p w14:paraId="4D3DBDC0" w14:textId="18EC4679" w:rsidR="0029216A" w:rsidRPr="00CF7396" w:rsidRDefault="006312AE" w:rsidP="00CF7396">
      <w:pPr>
        <w:pStyle w:val="Ttulo7"/>
        <w:tabs>
          <w:tab w:val="clear" w:pos="0"/>
          <w:tab w:val="left" w:pos="4280"/>
        </w:tabs>
        <w:ind w:left="4248"/>
        <w:jc w:val="both"/>
        <w:rPr>
          <w:rFonts w:ascii="Times New Roman" w:hAnsi="Times New Roman"/>
          <w:bCs w:val="0"/>
          <w:u w:val="none"/>
          <w:lang w:val="es-ES_tradnl"/>
        </w:rPr>
      </w:pPr>
      <w:r w:rsidRPr="00CF7396">
        <w:rPr>
          <w:rFonts w:ascii="Times New Roman" w:hAnsi="Times New Roman"/>
          <w:bCs w:val="0"/>
          <w:u w:val="none"/>
          <w:lang w:val="es-ES_tradnl"/>
        </w:rPr>
        <w:t>San José,</w:t>
      </w:r>
      <w:r w:rsidR="00D93E61" w:rsidRPr="00CF7396">
        <w:rPr>
          <w:rFonts w:ascii="Times New Roman" w:hAnsi="Times New Roman"/>
          <w:bCs w:val="0"/>
          <w:u w:val="none"/>
          <w:lang w:val="es-ES_tradnl"/>
        </w:rPr>
        <w:t xml:space="preserve"> </w:t>
      </w:r>
      <w:r w:rsidR="001F72C0" w:rsidRPr="00CF7396">
        <w:rPr>
          <w:rFonts w:ascii="Times New Roman" w:hAnsi="Times New Roman"/>
          <w:bCs w:val="0"/>
          <w:u w:val="none"/>
          <w:lang w:val="es-ES_tradnl"/>
        </w:rPr>
        <w:t>20</w:t>
      </w:r>
      <w:r w:rsidR="00DB264F" w:rsidRPr="00CF7396">
        <w:rPr>
          <w:rFonts w:ascii="Times New Roman" w:hAnsi="Times New Roman"/>
          <w:bCs w:val="0"/>
          <w:u w:val="none"/>
          <w:lang w:val="es-ES_tradnl"/>
        </w:rPr>
        <w:t xml:space="preserve"> </w:t>
      </w:r>
      <w:r w:rsidR="006A694A" w:rsidRPr="00CF7396">
        <w:rPr>
          <w:rFonts w:ascii="Times New Roman" w:hAnsi="Times New Roman"/>
          <w:bCs w:val="0"/>
          <w:u w:val="none"/>
          <w:lang w:val="es-ES_tradnl"/>
        </w:rPr>
        <w:t>de</w:t>
      </w:r>
      <w:r w:rsidR="005F6994" w:rsidRPr="00CF7396">
        <w:rPr>
          <w:rFonts w:ascii="Times New Roman" w:hAnsi="Times New Roman"/>
          <w:bCs w:val="0"/>
          <w:u w:val="none"/>
          <w:lang w:val="es-ES_tradnl"/>
        </w:rPr>
        <w:t xml:space="preserve"> </w:t>
      </w:r>
      <w:r w:rsidR="00FA1DB5" w:rsidRPr="00CF7396">
        <w:rPr>
          <w:rFonts w:ascii="Times New Roman" w:hAnsi="Times New Roman"/>
          <w:bCs w:val="0"/>
          <w:u w:val="none"/>
          <w:lang w:val="es-ES_tradnl"/>
        </w:rPr>
        <w:t>febrero</w:t>
      </w:r>
      <w:r w:rsidR="003D4C5B" w:rsidRPr="00CF7396">
        <w:rPr>
          <w:rFonts w:ascii="Times New Roman" w:hAnsi="Times New Roman"/>
          <w:bCs w:val="0"/>
          <w:u w:val="none"/>
          <w:lang w:val="es-ES_tradnl"/>
        </w:rPr>
        <w:t xml:space="preserve"> </w:t>
      </w:r>
      <w:r w:rsidR="00860FA5" w:rsidRPr="00CF7396">
        <w:rPr>
          <w:rFonts w:ascii="Times New Roman" w:hAnsi="Times New Roman"/>
          <w:bCs w:val="0"/>
          <w:u w:val="none"/>
          <w:lang w:val="es-ES_tradnl"/>
        </w:rPr>
        <w:t>de 20</w:t>
      </w:r>
      <w:r w:rsidR="00041CB5" w:rsidRPr="00CF7396">
        <w:rPr>
          <w:rFonts w:ascii="Times New Roman" w:hAnsi="Times New Roman"/>
          <w:bCs w:val="0"/>
          <w:u w:val="none"/>
          <w:lang w:val="es-ES_tradnl"/>
        </w:rPr>
        <w:t>2</w:t>
      </w:r>
      <w:r w:rsidR="00615A4A" w:rsidRPr="00CF7396">
        <w:rPr>
          <w:rFonts w:ascii="Times New Roman" w:hAnsi="Times New Roman"/>
          <w:bCs w:val="0"/>
          <w:u w:val="none"/>
          <w:lang w:val="es-ES_tradnl"/>
        </w:rPr>
        <w:t>3</w:t>
      </w:r>
    </w:p>
    <w:p w14:paraId="54A54810" w14:textId="10EA37E9" w:rsidR="0029216A" w:rsidRPr="00CF7396" w:rsidRDefault="00860FA5" w:rsidP="00CF7396">
      <w:pPr>
        <w:pStyle w:val="Ttulo7"/>
        <w:tabs>
          <w:tab w:val="clear" w:pos="0"/>
          <w:tab w:val="left" w:pos="4280"/>
        </w:tabs>
        <w:ind w:left="4248"/>
        <w:jc w:val="both"/>
        <w:rPr>
          <w:rFonts w:ascii="Times New Roman" w:hAnsi="Times New Roman"/>
          <w:u w:val="none"/>
          <w:lang w:val="es-ES_tradnl"/>
        </w:rPr>
      </w:pPr>
      <w:proofErr w:type="spellStart"/>
      <w:r w:rsidRPr="00CF7396">
        <w:rPr>
          <w:rFonts w:ascii="Times New Roman" w:hAnsi="Times New Roman"/>
          <w:u w:val="none"/>
          <w:lang w:val="es-ES_tradnl"/>
        </w:rPr>
        <w:t>N°</w:t>
      </w:r>
      <w:proofErr w:type="spellEnd"/>
      <w:r w:rsidRPr="00CF7396">
        <w:rPr>
          <w:rFonts w:ascii="Times New Roman" w:hAnsi="Times New Roman"/>
          <w:u w:val="none"/>
          <w:lang w:val="es-ES_tradnl"/>
        </w:rPr>
        <w:t xml:space="preserve"> </w:t>
      </w:r>
      <w:r w:rsidR="001B424A" w:rsidRPr="00CF7396">
        <w:rPr>
          <w:rFonts w:ascii="Times New Roman" w:hAnsi="Times New Roman"/>
          <w:u w:val="none"/>
          <w:lang w:val="es-ES_tradnl"/>
        </w:rPr>
        <w:t>1</w:t>
      </w:r>
      <w:r w:rsidR="001F72C0" w:rsidRPr="00CF7396">
        <w:rPr>
          <w:rFonts w:ascii="Times New Roman" w:hAnsi="Times New Roman"/>
          <w:u w:val="none"/>
          <w:lang w:val="es-ES_tradnl"/>
        </w:rPr>
        <w:t>5</w:t>
      </w:r>
      <w:r w:rsidR="00CF7396">
        <w:rPr>
          <w:rFonts w:ascii="Times New Roman" w:hAnsi="Times New Roman"/>
          <w:u w:val="none"/>
          <w:lang w:val="es-ES_tradnl"/>
        </w:rPr>
        <w:t>2</w:t>
      </w:r>
      <w:r w:rsidR="004C277C" w:rsidRPr="00CF7396">
        <w:rPr>
          <w:rFonts w:ascii="Times New Roman" w:hAnsi="Times New Roman"/>
          <w:u w:val="none"/>
          <w:lang w:val="es-ES_tradnl"/>
        </w:rPr>
        <w:t>5</w:t>
      </w:r>
      <w:r w:rsidR="006C58AD" w:rsidRPr="00CF7396">
        <w:rPr>
          <w:rFonts w:ascii="Times New Roman" w:hAnsi="Times New Roman"/>
          <w:u w:val="none"/>
          <w:lang w:val="es-ES_tradnl"/>
        </w:rPr>
        <w:t>-</w:t>
      </w:r>
      <w:r w:rsidR="00594D5B" w:rsidRPr="00CF7396">
        <w:rPr>
          <w:rFonts w:ascii="Times New Roman" w:hAnsi="Times New Roman"/>
          <w:u w:val="none"/>
          <w:lang w:val="es-ES_tradnl"/>
        </w:rPr>
        <w:t>202</w:t>
      </w:r>
      <w:r w:rsidR="00615A4A" w:rsidRPr="00CF7396">
        <w:rPr>
          <w:rFonts w:ascii="Times New Roman" w:hAnsi="Times New Roman"/>
          <w:u w:val="none"/>
          <w:lang w:val="es-ES_tradnl"/>
        </w:rPr>
        <w:t>3</w:t>
      </w:r>
    </w:p>
    <w:p w14:paraId="61078B7E" w14:textId="0C6C1254" w:rsidR="000D12D6" w:rsidRPr="00CF7396" w:rsidRDefault="0029216A" w:rsidP="00CF7396">
      <w:pPr>
        <w:pStyle w:val="Ttulo7"/>
        <w:tabs>
          <w:tab w:val="clear" w:pos="0"/>
          <w:tab w:val="left" w:pos="4280"/>
        </w:tabs>
        <w:ind w:left="4248"/>
        <w:jc w:val="both"/>
        <w:rPr>
          <w:rFonts w:ascii="Times New Roman" w:hAnsi="Times New Roman"/>
          <w:u w:val="none"/>
          <w:lang w:val="es-CR"/>
        </w:rPr>
      </w:pPr>
      <w:r w:rsidRPr="00CF7396">
        <w:rPr>
          <w:rFonts w:ascii="Times New Roman" w:hAnsi="Times New Roman"/>
          <w:u w:val="none"/>
          <w:lang w:val="es-CR"/>
        </w:rPr>
        <w:t>Al contestar refiérase a este # de oficio</w:t>
      </w:r>
    </w:p>
    <w:p w14:paraId="14D7FA78" w14:textId="77777777" w:rsidR="004C277C" w:rsidRPr="00CF7396" w:rsidRDefault="004C277C" w:rsidP="00CF7396">
      <w:pPr>
        <w:jc w:val="both"/>
        <w:rPr>
          <w:b/>
          <w:bCs/>
        </w:rPr>
      </w:pPr>
      <w:r w:rsidRPr="00CF7396">
        <w:rPr>
          <w:b/>
          <w:bCs/>
        </w:rPr>
        <w:t>Señora</w:t>
      </w:r>
    </w:p>
    <w:p w14:paraId="3CB08497" w14:textId="77777777" w:rsidR="004C277C" w:rsidRPr="00CF7396" w:rsidRDefault="004C277C" w:rsidP="00CF7396">
      <w:pPr>
        <w:jc w:val="both"/>
        <w:rPr>
          <w:b/>
          <w:bCs/>
        </w:rPr>
      </w:pPr>
      <w:r w:rsidRPr="00CF7396">
        <w:rPr>
          <w:b/>
          <w:bCs/>
        </w:rPr>
        <w:t>Licda. Nacira Valverde Bermúdez</w:t>
      </w:r>
    </w:p>
    <w:p w14:paraId="5ADB7B22" w14:textId="77777777" w:rsidR="004C277C" w:rsidRPr="00CF7396" w:rsidRDefault="004C277C" w:rsidP="00CF7396">
      <w:pPr>
        <w:jc w:val="both"/>
        <w:rPr>
          <w:b/>
          <w:bCs/>
        </w:rPr>
      </w:pPr>
      <w:r w:rsidRPr="00CF7396">
        <w:rPr>
          <w:b/>
          <w:bCs/>
        </w:rPr>
        <w:t>Directora de Planificación</w:t>
      </w:r>
    </w:p>
    <w:p w14:paraId="310F9EDE" w14:textId="77777777" w:rsidR="004C277C" w:rsidRPr="00CF7396" w:rsidRDefault="004C277C" w:rsidP="00CF7396">
      <w:pPr>
        <w:jc w:val="both"/>
        <w:rPr>
          <w:b/>
          <w:bCs/>
        </w:rPr>
      </w:pPr>
    </w:p>
    <w:p w14:paraId="44724AF6" w14:textId="3F4E8A7B" w:rsidR="00D26C08" w:rsidRPr="00CF7396" w:rsidRDefault="004C277C" w:rsidP="00CF7396">
      <w:pPr>
        <w:jc w:val="both"/>
      </w:pPr>
      <w:r w:rsidRPr="00CF7396">
        <w:rPr>
          <w:b/>
          <w:bCs/>
        </w:rPr>
        <w:t>Estimada señora:</w:t>
      </w:r>
    </w:p>
    <w:p w14:paraId="7F815AD5" w14:textId="5B110927" w:rsidR="005D4B65" w:rsidRPr="00CF7396" w:rsidRDefault="0029216A" w:rsidP="00CF7396">
      <w:pPr>
        <w:ind w:firstLine="708"/>
        <w:jc w:val="both"/>
        <w:rPr>
          <w:bCs/>
          <w:lang w:val="es-CR"/>
        </w:rPr>
      </w:pPr>
      <w:r w:rsidRPr="00CF7396">
        <w:t xml:space="preserve">Para su estimable conocimiento y fines consiguientes, le transcribo el acuerdo tomado por el Consejo Superior del Poder Judicial, en sesión </w:t>
      </w:r>
      <w:proofErr w:type="spellStart"/>
      <w:r w:rsidR="0087670A" w:rsidRPr="00CF7396">
        <w:rPr>
          <w:b/>
          <w:bCs/>
        </w:rPr>
        <w:t>N°</w:t>
      </w:r>
      <w:proofErr w:type="spellEnd"/>
      <w:r w:rsidR="009F45D2" w:rsidRPr="00CF7396">
        <w:rPr>
          <w:b/>
          <w:bCs/>
        </w:rPr>
        <w:t xml:space="preserve"> </w:t>
      </w:r>
      <w:r w:rsidR="001B424A" w:rsidRPr="00CF7396">
        <w:rPr>
          <w:b/>
          <w:bCs/>
        </w:rPr>
        <w:t>13</w:t>
      </w:r>
      <w:r w:rsidR="003011FF" w:rsidRPr="00CF7396">
        <w:rPr>
          <w:b/>
          <w:bCs/>
        </w:rPr>
        <w:t>-</w:t>
      </w:r>
      <w:r w:rsidR="003D4C5B" w:rsidRPr="00CF7396">
        <w:rPr>
          <w:b/>
          <w:bCs/>
        </w:rPr>
        <w:t>202</w:t>
      </w:r>
      <w:r w:rsidR="00516055" w:rsidRPr="00CF7396">
        <w:rPr>
          <w:b/>
          <w:bCs/>
        </w:rPr>
        <w:t>3</w:t>
      </w:r>
      <w:r w:rsidR="00D930B6" w:rsidRPr="00CF7396">
        <w:rPr>
          <w:b/>
          <w:bCs/>
        </w:rPr>
        <w:t xml:space="preserve"> </w:t>
      </w:r>
      <w:r w:rsidR="00D930B6" w:rsidRPr="00CF7396">
        <w:rPr>
          <w:bCs/>
        </w:rPr>
        <w:t>c</w:t>
      </w:r>
      <w:r w:rsidRPr="00CF7396">
        <w:t>elebrada el</w:t>
      </w:r>
      <w:r w:rsidR="004C65F3" w:rsidRPr="00CF7396">
        <w:t xml:space="preserve"> </w:t>
      </w:r>
      <w:r w:rsidR="00516055" w:rsidRPr="00CF7396">
        <w:rPr>
          <w:b/>
          <w:bCs/>
        </w:rPr>
        <w:t>1</w:t>
      </w:r>
      <w:r w:rsidR="001B424A" w:rsidRPr="00CF7396">
        <w:rPr>
          <w:b/>
          <w:bCs/>
        </w:rPr>
        <w:t>6</w:t>
      </w:r>
      <w:r w:rsidR="00452BFF" w:rsidRPr="00CF7396">
        <w:rPr>
          <w:b/>
          <w:bCs/>
        </w:rPr>
        <w:t xml:space="preserve"> </w:t>
      </w:r>
      <w:r w:rsidR="00E02368" w:rsidRPr="00CF7396">
        <w:rPr>
          <w:b/>
          <w:bCs/>
        </w:rPr>
        <w:t>d</w:t>
      </w:r>
      <w:r w:rsidR="00E02368" w:rsidRPr="00CF7396">
        <w:rPr>
          <w:b/>
        </w:rPr>
        <w:t xml:space="preserve">e </w:t>
      </w:r>
      <w:r w:rsidR="001B424A" w:rsidRPr="00CF7396">
        <w:rPr>
          <w:b/>
        </w:rPr>
        <w:t>febrero</w:t>
      </w:r>
      <w:r w:rsidR="006F5DA1" w:rsidRPr="00CF7396">
        <w:rPr>
          <w:b/>
          <w:bCs/>
        </w:rPr>
        <w:t xml:space="preserve"> </w:t>
      </w:r>
      <w:r w:rsidR="003011FF" w:rsidRPr="00CF7396">
        <w:rPr>
          <w:b/>
          <w:bCs/>
        </w:rPr>
        <w:t xml:space="preserve">de </w:t>
      </w:r>
      <w:r w:rsidR="003D4C5B" w:rsidRPr="00CF7396">
        <w:rPr>
          <w:b/>
          <w:bCs/>
        </w:rPr>
        <w:t>202</w:t>
      </w:r>
      <w:r w:rsidR="00516055" w:rsidRPr="00CF7396">
        <w:rPr>
          <w:b/>
          <w:bCs/>
        </w:rPr>
        <w:t>3</w:t>
      </w:r>
      <w:r w:rsidR="00B43F30" w:rsidRPr="00CF7396">
        <w:rPr>
          <w:b/>
          <w:bCs/>
        </w:rPr>
        <w:t>,</w:t>
      </w:r>
      <w:r w:rsidRPr="00CF7396">
        <w:t xml:space="preserve"> que literalmente dice:</w:t>
      </w:r>
    </w:p>
    <w:p w14:paraId="232FD3BC" w14:textId="684DA259" w:rsidR="00CF7396" w:rsidRPr="00CF7396" w:rsidRDefault="00D475DB" w:rsidP="00CF7396">
      <w:pPr>
        <w:keepNext/>
        <w:tabs>
          <w:tab w:val="num" w:pos="0"/>
        </w:tabs>
        <w:spacing w:before="120" w:after="120"/>
        <w:jc w:val="center"/>
        <w:outlineLvl w:val="1"/>
        <w:rPr>
          <w:b/>
          <w:bCs/>
          <w:color w:val="FF0000"/>
          <w:lang w:val="es-CR"/>
        </w:rPr>
      </w:pPr>
      <w:bookmarkStart w:id="0" w:name="_Toc110425120"/>
      <w:r w:rsidRPr="00CF7396">
        <w:rPr>
          <w:rFonts w:eastAsia="Calibri"/>
          <w:b/>
          <w:bCs/>
          <w:lang w:val="es-CR" w:eastAsia="en-US"/>
        </w:rPr>
        <w:t>“</w:t>
      </w:r>
      <w:bookmarkStart w:id="1" w:name="_Toc127346832"/>
      <w:bookmarkStart w:id="2" w:name="_Hlk127771544"/>
      <w:bookmarkEnd w:id="0"/>
      <w:r w:rsidR="00CF7396" w:rsidRPr="00CF7396">
        <w:rPr>
          <w:b/>
          <w:bCs/>
          <w:u w:val="single"/>
          <w:lang w:val="es-CR"/>
        </w:rPr>
        <w:t xml:space="preserve">ARTÍCULO XL </w:t>
      </w:r>
      <w:bookmarkEnd w:id="1"/>
    </w:p>
    <w:p w14:paraId="22D71960" w14:textId="1488631F" w:rsidR="00CF7396" w:rsidRPr="00CF7396" w:rsidRDefault="00CF7396" w:rsidP="00CF7396">
      <w:pPr>
        <w:ind w:left="705" w:hanging="705"/>
        <w:rPr>
          <w:b/>
          <w:bCs/>
          <w:color w:val="FF0000"/>
          <w:lang w:val="es-CR"/>
        </w:rPr>
      </w:pPr>
    </w:p>
    <w:p w14:paraId="30F54E6B" w14:textId="77777777" w:rsidR="00CF7396" w:rsidRPr="00CF7396" w:rsidRDefault="00CF7396" w:rsidP="00CF7396">
      <w:pPr>
        <w:tabs>
          <w:tab w:val="left" w:pos="851"/>
          <w:tab w:val="left" w:pos="8080"/>
        </w:tabs>
        <w:jc w:val="both"/>
        <w:rPr>
          <w:b/>
          <w:lang w:val="es-CR"/>
        </w:rPr>
      </w:pPr>
      <w:r w:rsidRPr="00CF7396">
        <w:rPr>
          <w:b/>
          <w:lang w:val="es-CR"/>
        </w:rPr>
        <w:t xml:space="preserve">Documento </w:t>
      </w:r>
      <w:proofErr w:type="spellStart"/>
      <w:r w:rsidRPr="00CF7396">
        <w:rPr>
          <w:b/>
          <w:lang w:val="es-CR"/>
        </w:rPr>
        <w:t>N°</w:t>
      </w:r>
      <w:proofErr w:type="spellEnd"/>
      <w:r w:rsidRPr="00CF7396">
        <w:rPr>
          <w:b/>
          <w:bCs/>
          <w:lang w:val="es-CR"/>
        </w:rPr>
        <w:t xml:space="preserve"> </w:t>
      </w:r>
      <w:r w:rsidRPr="00CF7396">
        <w:rPr>
          <w:b/>
          <w:lang w:val="es-CR"/>
        </w:rPr>
        <w:t>13515, 13857-2022</w:t>
      </w:r>
    </w:p>
    <w:bookmarkEnd w:id="2"/>
    <w:p w14:paraId="4DCE30D8" w14:textId="77777777" w:rsidR="00CF7396" w:rsidRPr="00CF7396" w:rsidRDefault="00CF7396" w:rsidP="00CF7396">
      <w:pPr>
        <w:tabs>
          <w:tab w:val="left" w:pos="851"/>
          <w:tab w:val="left" w:pos="8080"/>
        </w:tabs>
        <w:jc w:val="both"/>
        <w:rPr>
          <w:b/>
          <w:lang w:val="es-CR"/>
        </w:rPr>
      </w:pPr>
    </w:p>
    <w:p w14:paraId="7A349D5D" w14:textId="77777777" w:rsidR="00CF7396" w:rsidRPr="00CF7396" w:rsidRDefault="00CF7396" w:rsidP="00CF7396">
      <w:pPr>
        <w:widowControl w:val="0"/>
        <w:tabs>
          <w:tab w:val="left" w:pos="7150"/>
        </w:tabs>
        <w:ind w:firstLine="709"/>
        <w:jc w:val="both"/>
        <w:rPr>
          <w:color w:val="000000" w:themeColor="text1"/>
          <w:lang w:val="es-CR"/>
        </w:rPr>
      </w:pPr>
      <w:r w:rsidRPr="00CF7396">
        <w:rPr>
          <w:color w:val="000000" w:themeColor="text1"/>
          <w:lang w:val="es-CR"/>
        </w:rPr>
        <w:t xml:space="preserve">Mediante oficio </w:t>
      </w:r>
      <w:proofErr w:type="spellStart"/>
      <w:r w:rsidRPr="00CF7396">
        <w:rPr>
          <w:color w:val="000000" w:themeColor="text1"/>
          <w:lang w:val="es-CR"/>
        </w:rPr>
        <w:t>Nº</w:t>
      </w:r>
      <w:proofErr w:type="spellEnd"/>
      <w:r w:rsidRPr="00CF7396">
        <w:rPr>
          <w:color w:val="000000" w:themeColor="text1"/>
          <w:lang w:val="es-CR"/>
        </w:rPr>
        <w:t xml:space="preserve"> 1070-PLA-EV-2022 del 10 de noviembre de 2022, el </w:t>
      </w:r>
      <w:r w:rsidRPr="00CF7396">
        <w:rPr>
          <w:snapToGrid w:val="0"/>
          <w:color w:val="000000" w:themeColor="text1"/>
          <w:lang w:val="es-CR"/>
        </w:rPr>
        <w:t xml:space="preserve">Máster Erick Antonio Mora Leiva, </w:t>
      </w:r>
      <w:proofErr w:type="gramStart"/>
      <w:r w:rsidRPr="00CF7396">
        <w:rPr>
          <w:snapToGrid w:val="0"/>
          <w:color w:val="000000" w:themeColor="text1"/>
          <w:lang w:val="es-CR"/>
        </w:rPr>
        <w:t>Jefe</w:t>
      </w:r>
      <w:proofErr w:type="gramEnd"/>
      <w:r w:rsidRPr="00CF7396">
        <w:rPr>
          <w:snapToGrid w:val="0"/>
          <w:color w:val="000000" w:themeColor="text1"/>
          <w:lang w:val="es-CR"/>
        </w:rPr>
        <w:t xml:space="preserve"> del Proceso de Planeación y Evaluación de</w:t>
      </w:r>
      <w:r w:rsidRPr="00CF7396">
        <w:rPr>
          <w:color w:val="000000" w:themeColor="text1"/>
          <w:lang w:val="es-CR"/>
        </w:rPr>
        <w:t xml:space="preserve"> la Dirección de Planificación, remite el informe suscrito por la Inga. Elena Gabriela Picado González, </w:t>
      </w:r>
      <w:proofErr w:type="gramStart"/>
      <w:r w:rsidRPr="00CF7396">
        <w:rPr>
          <w:color w:val="000000" w:themeColor="text1"/>
          <w:lang w:val="es-CR"/>
        </w:rPr>
        <w:t>Jefa</w:t>
      </w:r>
      <w:proofErr w:type="gramEnd"/>
      <w:r w:rsidRPr="00CF7396">
        <w:rPr>
          <w:color w:val="000000" w:themeColor="text1"/>
          <w:lang w:val="es-CR"/>
        </w:rPr>
        <w:t xml:space="preserve"> </w:t>
      </w:r>
      <w:proofErr w:type="spellStart"/>
      <w:r w:rsidRPr="00CF7396">
        <w:rPr>
          <w:color w:val="000000" w:themeColor="text1"/>
          <w:lang w:val="es-CR"/>
        </w:rPr>
        <w:t>a.i.</w:t>
      </w:r>
      <w:proofErr w:type="spellEnd"/>
      <w:r w:rsidRPr="00CF7396">
        <w:rPr>
          <w:color w:val="000000" w:themeColor="text1"/>
          <w:lang w:val="es-CR"/>
        </w:rPr>
        <w:t xml:space="preserve"> del Subproceso de Evaluación, relacionado con el Seguimiento del Modelo de Sostenibilidad en el Primer Circuito Judicial de la Zona Atlántica correspondiente al año 2021, que literalmente dice:</w:t>
      </w:r>
    </w:p>
    <w:p w14:paraId="4F860341" w14:textId="77777777" w:rsidR="00CF7396" w:rsidRPr="00CF7396" w:rsidRDefault="00CF7396" w:rsidP="00CF7396">
      <w:pPr>
        <w:ind w:left="851" w:right="851" w:firstLine="709"/>
        <w:jc w:val="both"/>
        <w:rPr>
          <w:color w:val="000000" w:themeColor="text1"/>
          <w:kern w:val="2"/>
          <w:lang w:val="es-CR" w:bidi="hi-IN"/>
        </w:rPr>
      </w:pPr>
      <w:r w:rsidRPr="00CF7396">
        <w:rPr>
          <w:snapToGrid w:val="0"/>
          <w:color w:val="000000" w:themeColor="text1"/>
          <w:lang w:val="es-CR"/>
        </w:rPr>
        <w:t>“[…]</w:t>
      </w:r>
    </w:p>
    <w:p w14:paraId="6337A1DD" w14:textId="77777777" w:rsidR="00CF7396" w:rsidRPr="00CF7396" w:rsidRDefault="00CF7396" w:rsidP="00CF7396">
      <w:pPr>
        <w:ind w:left="851" w:right="851" w:firstLine="709"/>
        <w:jc w:val="center"/>
        <w:rPr>
          <w:b/>
          <w:bCs/>
          <w:color w:val="000000" w:themeColor="text1"/>
          <w:lang w:val="es-CR"/>
        </w:rPr>
      </w:pPr>
    </w:p>
    <w:p w14:paraId="68497F89" w14:textId="77777777" w:rsidR="00CF7396" w:rsidRPr="00CF7396" w:rsidRDefault="00CF7396" w:rsidP="00CF7396">
      <w:pPr>
        <w:ind w:left="851" w:right="851" w:firstLine="709"/>
        <w:jc w:val="center"/>
        <w:rPr>
          <w:b/>
          <w:bCs/>
          <w:color w:val="000000" w:themeColor="text1"/>
          <w:lang w:val="es-CR"/>
        </w:rPr>
      </w:pPr>
    </w:p>
    <w:p w14:paraId="66AEAC52" w14:textId="77777777" w:rsidR="00CF7396" w:rsidRPr="00CF7396" w:rsidRDefault="00CF7396" w:rsidP="00CF7396">
      <w:pPr>
        <w:ind w:left="851" w:right="851" w:firstLine="709"/>
        <w:jc w:val="center"/>
        <w:rPr>
          <w:b/>
          <w:bCs/>
          <w:color w:val="000000" w:themeColor="text1"/>
          <w:lang w:val="es-CR"/>
        </w:rPr>
      </w:pPr>
      <w:r w:rsidRPr="00CF7396">
        <w:rPr>
          <w:b/>
          <w:bCs/>
          <w:color w:val="000000" w:themeColor="text1"/>
          <w:lang w:val="es-CR"/>
        </w:rPr>
        <w:t xml:space="preserve">INFORME 2021 </w:t>
      </w:r>
    </w:p>
    <w:p w14:paraId="5615A1CD" w14:textId="77777777" w:rsidR="00CF7396" w:rsidRPr="00CF7396" w:rsidRDefault="00CF7396" w:rsidP="00CF7396">
      <w:pPr>
        <w:ind w:left="851" w:right="851" w:firstLine="709"/>
        <w:jc w:val="center"/>
        <w:rPr>
          <w:b/>
          <w:bCs/>
          <w:color w:val="000000" w:themeColor="text1"/>
          <w:lang w:val="es-CR"/>
        </w:rPr>
      </w:pPr>
      <w:r w:rsidRPr="00CF7396">
        <w:rPr>
          <w:b/>
          <w:bCs/>
          <w:color w:val="000000" w:themeColor="text1"/>
          <w:lang w:val="es-CR"/>
        </w:rPr>
        <w:t xml:space="preserve">MODELO DE SEGUIMIENTO Y SOSTENIBILIAD </w:t>
      </w:r>
    </w:p>
    <w:p w14:paraId="16ED116A" w14:textId="77777777" w:rsidR="00CF7396" w:rsidRPr="00CF7396" w:rsidRDefault="00CF7396" w:rsidP="00CF7396">
      <w:pPr>
        <w:ind w:left="851" w:right="851" w:firstLine="709"/>
        <w:jc w:val="center"/>
        <w:rPr>
          <w:color w:val="000000" w:themeColor="text1"/>
          <w:lang w:val="es-CR"/>
        </w:rPr>
      </w:pPr>
      <w:r w:rsidRPr="00CF7396">
        <w:rPr>
          <w:b/>
          <w:bCs/>
          <w:color w:val="000000" w:themeColor="text1"/>
          <w:lang w:val="es-CR"/>
        </w:rPr>
        <w:t>EN EL PRIMER CIRCUITO JUDICIAL DE LA ZONA ATLÁNTICA</w:t>
      </w:r>
    </w:p>
    <w:p w14:paraId="1FC1BE1E" w14:textId="77777777" w:rsidR="00CF7396" w:rsidRPr="00CF7396" w:rsidRDefault="00CF7396" w:rsidP="00CF7396">
      <w:pPr>
        <w:ind w:right="851"/>
        <w:rPr>
          <w:color w:val="000000" w:themeColor="text1"/>
          <w:lang w:val="es-CR"/>
        </w:rPr>
      </w:pPr>
    </w:p>
    <w:p w14:paraId="66A7379F" w14:textId="77777777" w:rsidR="00CF7396" w:rsidRPr="00CF7396" w:rsidRDefault="00CF7396" w:rsidP="00CF7396">
      <w:pPr>
        <w:ind w:left="851" w:right="851" w:firstLine="709"/>
        <w:rPr>
          <w:b/>
          <w:bCs/>
          <w:color w:val="000000" w:themeColor="text1"/>
          <w:lang w:val="es-CR"/>
        </w:rPr>
      </w:pPr>
      <w:bookmarkStart w:id="3" w:name="_Toc78876638"/>
      <w:r w:rsidRPr="00CF7396">
        <w:rPr>
          <w:b/>
          <w:bCs/>
          <w:color w:val="000000" w:themeColor="text1"/>
          <w:lang w:val="es-CR"/>
        </w:rPr>
        <w:t>1. Antecedentes</w:t>
      </w:r>
      <w:bookmarkEnd w:id="3"/>
    </w:p>
    <w:p w14:paraId="380DCDD7" w14:textId="77777777" w:rsidR="00CF7396" w:rsidRPr="00CF7396" w:rsidRDefault="00CF7396" w:rsidP="00CF7396">
      <w:pPr>
        <w:ind w:left="851" w:right="851" w:firstLine="709"/>
        <w:jc w:val="both"/>
        <w:rPr>
          <w:color w:val="000000" w:themeColor="text1"/>
          <w:lang w:val="es-CR"/>
        </w:rPr>
      </w:pPr>
    </w:p>
    <w:p w14:paraId="049E8D59" w14:textId="77777777" w:rsidR="00CF7396" w:rsidRPr="00CF7396" w:rsidRDefault="00CF7396" w:rsidP="00CF7396">
      <w:pPr>
        <w:numPr>
          <w:ilvl w:val="1"/>
          <w:numId w:val="36"/>
        </w:numPr>
        <w:ind w:left="851" w:right="851" w:firstLine="709"/>
        <w:jc w:val="both"/>
        <w:rPr>
          <w:color w:val="000000" w:themeColor="text1"/>
          <w:bdr w:val="none" w:sz="0" w:space="0" w:color="auto" w:frame="1"/>
          <w:lang w:val="es-CR" w:eastAsia="es-CR"/>
        </w:rPr>
      </w:pPr>
      <w:r w:rsidRPr="00CF7396">
        <w:rPr>
          <w:color w:val="000000" w:themeColor="text1"/>
          <w:bdr w:val="none" w:sz="0" w:space="0" w:color="auto" w:frame="1"/>
          <w:lang w:val="es-CR" w:eastAsia="es-CR"/>
        </w:rPr>
        <w:t xml:space="preserve">El Consejo Superior en sesión extraordinaria 16-2020 artículo LXXIII, conoce y aprueba el informe </w:t>
      </w:r>
      <w:r w:rsidRPr="00CF7396">
        <w:rPr>
          <w:snapToGrid w:val="0"/>
          <w:color w:val="000000" w:themeColor="text1"/>
          <w:lang w:val="es-CR"/>
        </w:rPr>
        <w:t>217-PLA-2020 que contiene las propuestas de mejora en la aplicación del actual Modelo de Seguimiento y Sostenibilidad de proyectos en las oficinas y despachos judiciales.</w:t>
      </w:r>
    </w:p>
    <w:p w14:paraId="51A13372" w14:textId="77777777" w:rsidR="00CF7396" w:rsidRPr="00CF7396" w:rsidRDefault="00CF7396" w:rsidP="00CF7396">
      <w:pPr>
        <w:ind w:left="851" w:right="851" w:firstLine="709"/>
        <w:jc w:val="both"/>
        <w:rPr>
          <w:color w:val="000000" w:themeColor="text1"/>
          <w:bdr w:val="none" w:sz="0" w:space="0" w:color="auto" w:frame="1"/>
          <w:lang w:val="es-CR" w:eastAsia="es-CR"/>
        </w:rPr>
      </w:pPr>
    </w:p>
    <w:p w14:paraId="303F8B62" w14:textId="77777777" w:rsidR="00CF7396" w:rsidRPr="00CF7396" w:rsidRDefault="00CF7396" w:rsidP="00CF7396">
      <w:pPr>
        <w:numPr>
          <w:ilvl w:val="1"/>
          <w:numId w:val="36"/>
        </w:numPr>
        <w:ind w:left="851" w:right="851" w:firstLine="709"/>
        <w:jc w:val="both"/>
        <w:rPr>
          <w:color w:val="000000" w:themeColor="text1"/>
          <w:bdr w:val="none" w:sz="0" w:space="0" w:color="auto" w:frame="1"/>
          <w:lang w:val="es-CR" w:eastAsia="es-CR"/>
        </w:rPr>
      </w:pPr>
      <w:r w:rsidRPr="00CF7396">
        <w:rPr>
          <w:color w:val="000000" w:themeColor="text1"/>
          <w:bdr w:val="none" w:sz="0" w:space="0" w:color="auto" w:frame="1"/>
          <w:lang w:val="es-CR" w:eastAsia="es-CR"/>
        </w:rPr>
        <w:t xml:space="preserve">Minuta de reunión 153-PLA-EV-MNTA-2021 del 23 de febrero del 2021, con la Contraloría de Servicios del Primer Circuito Judicial de la Zona Atlántica, para identificar posibles inconformidades de las personas usuarias y </w:t>
      </w:r>
      <w:r w:rsidRPr="00CF7396">
        <w:rPr>
          <w:color w:val="000000" w:themeColor="text1"/>
          <w:bdr w:val="none" w:sz="0" w:space="0" w:color="auto" w:frame="1"/>
          <w:lang w:val="es-CR" w:eastAsia="es-CR"/>
        </w:rPr>
        <w:lastRenderedPageBreak/>
        <w:t xml:space="preserve">posibles problemas que tienen los despachos del circuito para el cumplimiento de sus funciones y la afectación a la persona usuaria. </w:t>
      </w:r>
    </w:p>
    <w:p w14:paraId="10D308D2" w14:textId="77777777" w:rsidR="00CF7396" w:rsidRPr="00CF7396" w:rsidRDefault="00CF7396" w:rsidP="00CF7396">
      <w:pPr>
        <w:ind w:left="851" w:right="851" w:firstLine="709"/>
        <w:rPr>
          <w:color w:val="000000" w:themeColor="text1"/>
          <w:lang w:val="es-CR"/>
        </w:rPr>
      </w:pPr>
    </w:p>
    <w:p w14:paraId="0B060814" w14:textId="77777777" w:rsidR="00CF7396" w:rsidRPr="00CF7396" w:rsidRDefault="00CF7396" w:rsidP="00CF7396">
      <w:pPr>
        <w:numPr>
          <w:ilvl w:val="1"/>
          <w:numId w:val="36"/>
        </w:numPr>
        <w:ind w:left="851" w:right="851" w:firstLine="709"/>
        <w:jc w:val="both"/>
        <w:rPr>
          <w:snapToGrid w:val="0"/>
          <w:color w:val="000000" w:themeColor="text1"/>
          <w:lang w:val="es-CR"/>
        </w:rPr>
      </w:pPr>
      <w:r w:rsidRPr="00CF7396">
        <w:rPr>
          <w:snapToGrid w:val="0"/>
          <w:color w:val="000000" w:themeColor="text1"/>
          <w:lang w:val="es-CR"/>
        </w:rPr>
        <w:t xml:space="preserve">Acuerdo del Consejo Superior en sesión 18-2021 del 4 de marzo del 2021, artículo XIII, anuló parcialmente el acuerdo tomado por el Consejo de Administración del Primer Circuito Judicial de la Zona Atlántica, en sesión 5-2021, celebrada el 11 de febrero de 2021, respecto a las funciones que realizará la persona juzgadora supernumeraria en el Juzgado de Trabajo del Primer Circuito Judicial de la Zona Atlántica. </w:t>
      </w:r>
    </w:p>
    <w:p w14:paraId="0170AC0E" w14:textId="77777777" w:rsidR="00CF7396" w:rsidRPr="00CF7396" w:rsidRDefault="00CF7396" w:rsidP="00CF7396">
      <w:pPr>
        <w:ind w:left="851" w:right="851" w:firstLine="709"/>
        <w:jc w:val="both"/>
        <w:rPr>
          <w:snapToGrid w:val="0"/>
          <w:color w:val="000000" w:themeColor="text1"/>
          <w:lang w:val="es-CR"/>
        </w:rPr>
      </w:pPr>
    </w:p>
    <w:p w14:paraId="5A853ED2" w14:textId="77777777" w:rsidR="00CF7396" w:rsidRPr="00CF7396" w:rsidRDefault="00CF7396" w:rsidP="00CF7396">
      <w:pPr>
        <w:numPr>
          <w:ilvl w:val="1"/>
          <w:numId w:val="36"/>
        </w:numPr>
        <w:ind w:left="851" w:right="851" w:firstLine="709"/>
        <w:jc w:val="both"/>
        <w:rPr>
          <w:color w:val="000000" w:themeColor="text1"/>
          <w:bdr w:val="none" w:sz="0" w:space="0" w:color="auto" w:frame="1"/>
          <w:lang w:val="es-CR" w:eastAsia="es-CR"/>
        </w:rPr>
      </w:pPr>
      <w:r w:rsidRPr="00CF7396">
        <w:rPr>
          <w:color w:val="000000" w:themeColor="text1"/>
          <w:lang w:val="es-CR"/>
        </w:rPr>
        <w:t xml:space="preserve">Acuerdo del Consejo Superior en sesión 23-2021 del 7 de junio del 2021, artículo XXI, se conoció el informe 472-PLA-MI-2021 relacionado con los nombramientos de Juez 5 en materia Laboral y Civil. A esos efectos acordó -entre otros puntos- no publicar el concurso de la plaza de jueza o juez 5 número 378749 del Tribunal de Apelación Civil y Trabajo del Primer Circuito Judicial de la Zona Atlántica, en su lugar se reasignó por lo que restaba del 2021 y como plan de trabajo temporal a categoría de “Jueza o Juez tres” para que colaborara en el Juzgado de Trabajo del Segundo Circuito Judicial de San José, debido a las limitaciones presupuestarias por las que atraviesa la Institución. </w:t>
      </w:r>
    </w:p>
    <w:p w14:paraId="44C7DECC" w14:textId="77777777" w:rsidR="00CF7396" w:rsidRPr="00CF7396" w:rsidRDefault="00CF7396" w:rsidP="00CF7396">
      <w:pPr>
        <w:ind w:left="851" w:right="851" w:firstLine="709"/>
        <w:jc w:val="both"/>
        <w:rPr>
          <w:color w:val="000000" w:themeColor="text1"/>
          <w:bdr w:val="none" w:sz="0" w:space="0" w:color="auto" w:frame="1"/>
          <w:lang w:val="es-CR" w:eastAsia="es-CR"/>
        </w:rPr>
      </w:pPr>
    </w:p>
    <w:p w14:paraId="42BB1B9D" w14:textId="77777777" w:rsidR="00CF7396" w:rsidRPr="00CF7396" w:rsidRDefault="00CF7396" w:rsidP="00CF7396">
      <w:pPr>
        <w:numPr>
          <w:ilvl w:val="1"/>
          <w:numId w:val="36"/>
        </w:numPr>
        <w:ind w:left="851" w:right="851" w:firstLine="709"/>
        <w:jc w:val="both"/>
        <w:rPr>
          <w:color w:val="000000" w:themeColor="text1"/>
          <w:bdr w:val="none" w:sz="0" w:space="0" w:color="auto" w:frame="1"/>
          <w:lang w:val="es-CR" w:eastAsia="es-CR"/>
        </w:rPr>
      </w:pPr>
      <w:r w:rsidRPr="00CF7396">
        <w:rPr>
          <w:color w:val="000000" w:themeColor="text1"/>
          <w:bdr w:val="none" w:sz="0" w:space="0" w:color="auto" w:frame="1"/>
          <w:lang w:val="es-CR" w:eastAsia="es-CR"/>
        </w:rPr>
        <w:t>El Consejo Superior en sesión</w:t>
      </w:r>
      <w:r w:rsidRPr="00CF7396">
        <w:rPr>
          <w:color w:val="000000" w:themeColor="text1"/>
          <w:shd w:val="clear" w:color="auto" w:fill="FFFFFF"/>
          <w:lang w:val="es-CR"/>
        </w:rPr>
        <w:t xml:space="preserve"> 30-21 artículo XX, aprobó el informe 389-PLA-RH-MI-2021 relacionado con el estudio de requerimiento humano sobre el impacto organizacional y presupuestario en el Poder Judicial a partir de la promulgación del Código Procesal de Familia para el 2022. Al respecto mediante informes 1985-PLA-MI-2020, 174-PLA-MI-2021, 414-PLA-MI-2021 y 448-PLA-EV-2021, se abordaron al Juzgado Contravencional de </w:t>
      </w:r>
      <w:proofErr w:type="spellStart"/>
      <w:r w:rsidRPr="00CF7396">
        <w:rPr>
          <w:color w:val="000000" w:themeColor="text1"/>
          <w:shd w:val="clear" w:color="auto" w:fill="FFFFFF"/>
          <w:lang w:val="es-CR"/>
        </w:rPr>
        <w:t>Bribrí</w:t>
      </w:r>
      <w:proofErr w:type="spellEnd"/>
      <w:r w:rsidRPr="00CF7396">
        <w:rPr>
          <w:color w:val="000000" w:themeColor="text1"/>
          <w:shd w:val="clear" w:color="auto" w:fill="FFFFFF"/>
          <w:lang w:val="es-CR"/>
        </w:rPr>
        <w:t>, Juzgado Contravencional de Matina, Juzgado de Familia y Juzgado de Pensiones Alimentarias del Primer Circuito Judicial de la Zona Atlántica.</w:t>
      </w:r>
    </w:p>
    <w:p w14:paraId="1F1F3845" w14:textId="77777777" w:rsidR="00CF7396" w:rsidRPr="00CF7396" w:rsidRDefault="00CF7396" w:rsidP="00CF7396">
      <w:pPr>
        <w:ind w:left="851" w:right="851" w:firstLine="709"/>
        <w:jc w:val="both"/>
        <w:rPr>
          <w:color w:val="000000" w:themeColor="text1"/>
          <w:bdr w:val="none" w:sz="0" w:space="0" w:color="auto" w:frame="1"/>
          <w:lang w:val="es-CR" w:eastAsia="es-CR"/>
        </w:rPr>
      </w:pPr>
    </w:p>
    <w:p w14:paraId="0BBE6791" w14:textId="77777777" w:rsidR="00CF7396" w:rsidRPr="00CF7396" w:rsidRDefault="00CF7396" w:rsidP="00CF7396">
      <w:pPr>
        <w:numPr>
          <w:ilvl w:val="1"/>
          <w:numId w:val="36"/>
        </w:numPr>
        <w:ind w:left="851" w:right="851" w:firstLine="709"/>
        <w:jc w:val="both"/>
        <w:rPr>
          <w:color w:val="000000" w:themeColor="text1"/>
          <w:bdr w:val="none" w:sz="0" w:space="0" w:color="auto" w:frame="1"/>
          <w:lang w:val="es-CR" w:eastAsia="es-CR"/>
        </w:rPr>
      </w:pPr>
      <w:r w:rsidRPr="00CF7396">
        <w:rPr>
          <w:color w:val="000000" w:themeColor="text1"/>
          <w:bdr w:val="none" w:sz="0" w:space="0" w:color="auto" w:frame="1"/>
          <w:lang w:val="es-CR" w:eastAsia="es-CR"/>
        </w:rPr>
        <w:t>Acuerdo del Consejo Superior en sesión 49-21 artículo XII, tuvo por recibido el informe 556-PLA-MI-2021, relacionado con el análisis de las cuotas de trabajo en materia Laboral -entre otros- del Juzgado de Trabajo del Primer Circuito Judicial de la Zona Atlántica.</w:t>
      </w:r>
    </w:p>
    <w:p w14:paraId="2297D781" w14:textId="77777777" w:rsidR="00CF7396" w:rsidRPr="00CF7396" w:rsidRDefault="00CF7396" w:rsidP="00CF7396">
      <w:pPr>
        <w:ind w:left="851" w:right="851" w:firstLine="709"/>
        <w:jc w:val="both"/>
        <w:rPr>
          <w:color w:val="000000" w:themeColor="text1"/>
          <w:bdr w:val="none" w:sz="0" w:space="0" w:color="auto" w:frame="1"/>
          <w:lang w:val="es-CR" w:eastAsia="es-CR"/>
        </w:rPr>
      </w:pPr>
    </w:p>
    <w:p w14:paraId="363341B0" w14:textId="77777777" w:rsidR="00CF7396" w:rsidRPr="00CF7396" w:rsidRDefault="00CF7396" w:rsidP="00CF7396">
      <w:pPr>
        <w:numPr>
          <w:ilvl w:val="1"/>
          <w:numId w:val="36"/>
        </w:numPr>
        <w:ind w:left="851" w:right="851" w:firstLine="709"/>
        <w:jc w:val="both"/>
        <w:rPr>
          <w:color w:val="000000" w:themeColor="text1"/>
          <w:bdr w:val="none" w:sz="0" w:space="0" w:color="auto" w:frame="1"/>
          <w:lang w:val="es-CR" w:eastAsia="es-CR"/>
        </w:rPr>
      </w:pPr>
      <w:r w:rsidRPr="00CF7396">
        <w:rPr>
          <w:color w:val="000000" w:themeColor="text1"/>
          <w:bdr w:val="none" w:sz="0" w:space="0" w:color="auto" w:frame="1"/>
          <w:lang w:val="es-CR" w:eastAsia="es-CR"/>
        </w:rPr>
        <w:t>El Consejo Superior en sesión 56-2021 celebrada el 6 de julio del 2021, artículo XLIV, aprobó el informe 729-PLA-MI-2021 relacionado al seguimiento del cumplimiento de Indicadores establecidos en la Sección de Flagrancia del Primer Circuito Judicial de la Zona Atlántica.</w:t>
      </w:r>
    </w:p>
    <w:p w14:paraId="676BBDE6" w14:textId="77777777" w:rsidR="00CF7396" w:rsidRPr="00CF7396" w:rsidRDefault="00CF7396" w:rsidP="00CF7396">
      <w:pPr>
        <w:ind w:left="851" w:right="851" w:firstLine="709"/>
        <w:jc w:val="both"/>
        <w:rPr>
          <w:color w:val="000000" w:themeColor="text1"/>
          <w:bdr w:val="none" w:sz="0" w:space="0" w:color="auto" w:frame="1"/>
          <w:lang w:val="es-CR" w:eastAsia="es-CR"/>
        </w:rPr>
      </w:pPr>
    </w:p>
    <w:p w14:paraId="2B610CE7" w14:textId="77777777" w:rsidR="00CF7396" w:rsidRPr="00CF7396" w:rsidRDefault="00CF7396" w:rsidP="00CF7396">
      <w:pPr>
        <w:numPr>
          <w:ilvl w:val="1"/>
          <w:numId w:val="36"/>
        </w:numPr>
        <w:ind w:left="851" w:right="851" w:firstLine="709"/>
        <w:jc w:val="both"/>
        <w:rPr>
          <w:color w:val="000000" w:themeColor="text1"/>
          <w:bdr w:val="none" w:sz="0" w:space="0" w:color="auto" w:frame="1"/>
          <w:lang w:val="es-CR" w:eastAsia="es-CR"/>
        </w:rPr>
      </w:pPr>
      <w:r w:rsidRPr="00CF7396">
        <w:rPr>
          <w:color w:val="000000" w:themeColor="text1"/>
          <w:bdr w:val="none" w:sz="0" w:space="0" w:color="auto" w:frame="1"/>
          <w:lang w:val="es-CR" w:eastAsia="es-CR"/>
        </w:rPr>
        <w:t xml:space="preserve">Acuerdo de la Comisión de la Jurisdicción Agraria, en sesión 7-2021 del 16 de julio del 2021, artículo XIX, conoció sobre la propuesta de </w:t>
      </w:r>
      <w:r w:rsidRPr="00CF7396">
        <w:rPr>
          <w:color w:val="000000" w:themeColor="text1"/>
          <w:bdr w:val="none" w:sz="0" w:space="0" w:color="auto" w:frame="1"/>
          <w:lang w:val="es-CR" w:eastAsia="es-CR"/>
        </w:rPr>
        <w:lastRenderedPageBreak/>
        <w:t>audiencias anticipadas en materia agraria por medio del Centro de Conciliación del Primer Circuito Judicial de la Zona Atlántica.</w:t>
      </w:r>
    </w:p>
    <w:p w14:paraId="4538C66B" w14:textId="77777777" w:rsidR="00CF7396" w:rsidRPr="00CF7396" w:rsidRDefault="00CF7396" w:rsidP="00CF7396">
      <w:pPr>
        <w:ind w:left="851" w:right="851" w:firstLine="709"/>
        <w:jc w:val="both"/>
        <w:rPr>
          <w:color w:val="000000" w:themeColor="text1"/>
          <w:bdr w:val="none" w:sz="0" w:space="0" w:color="auto" w:frame="1"/>
          <w:lang w:val="es-CR" w:eastAsia="es-CR"/>
        </w:rPr>
      </w:pPr>
    </w:p>
    <w:p w14:paraId="2E20E22B" w14:textId="77777777" w:rsidR="00CF7396" w:rsidRPr="00CF7396" w:rsidRDefault="00CF7396" w:rsidP="00CF7396">
      <w:pPr>
        <w:numPr>
          <w:ilvl w:val="1"/>
          <w:numId w:val="36"/>
        </w:numPr>
        <w:ind w:left="851" w:right="851" w:firstLine="709"/>
        <w:jc w:val="both"/>
        <w:rPr>
          <w:color w:val="000000" w:themeColor="text1"/>
          <w:bdr w:val="none" w:sz="0" w:space="0" w:color="auto" w:frame="1"/>
          <w:lang w:val="es-CR" w:eastAsia="es-CR"/>
        </w:rPr>
      </w:pPr>
      <w:r w:rsidRPr="00CF7396">
        <w:rPr>
          <w:color w:val="000000" w:themeColor="text1"/>
          <w:bdr w:val="none" w:sz="0" w:space="0" w:color="auto" w:frame="1"/>
          <w:lang w:val="es-CR" w:eastAsia="es-CR"/>
        </w:rPr>
        <w:t>Acuerdo del Consejo Superior, en sesión 65-2021 del 29 de junio del 2021, artículo XLIV, tuvo por rendido el informe 692-PLA-EV-2021 de la Dirección de Planificación, relacionado con los resultados derivados del seguimiento realizado -entre otros- en el Juzgado de Trabajo del Primer Circuito Judicial de la Zona Atlántica. Y acordó que el Centro de Apoyo, Coordinación y Mejoramiento de la Función Jurisdiccional continuaría brindando colaboración al despacho, considerando que el personal adscrito es insuficiente para atender la carga de trabajo existente, según el parámetro actual de producción establecido para esa oficina.</w:t>
      </w:r>
    </w:p>
    <w:p w14:paraId="3E9169A8" w14:textId="77777777" w:rsidR="00CF7396" w:rsidRPr="00CF7396" w:rsidRDefault="00CF7396" w:rsidP="00CF7396">
      <w:pPr>
        <w:ind w:left="851" w:right="851" w:firstLine="709"/>
        <w:jc w:val="both"/>
        <w:rPr>
          <w:color w:val="000000" w:themeColor="text1"/>
          <w:bdr w:val="none" w:sz="0" w:space="0" w:color="auto" w:frame="1"/>
          <w:lang w:val="es-CR" w:eastAsia="es-CR"/>
        </w:rPr>
      </w:pPr>
    </w:p>
    <w:p w14:paraId="6B8F2A4B" w14:textId="77777777" w:rsidR="00CF7396" w:rsidRPr="00CF7396" w:rsidRDefault="00CF7396" w:rsidP="00CF7396">
      <w:pPr>
        <w:numPr>
          <w:ilvl w:val="1"/>
          <w:numId w:val="36"/>
        </w:numPr>
        <w:ind w:left="851" w:right="851" w:firstLine="709"/>
        <w:jc w:val="both"/>
        <w:rPr>
          <w:color w:val="000000" w:themeColor="text1"/>
          <w:bdr w:val="none" w:sz="0" w:space="0" w:color="auto" w:frame="1"/>
          <w:lang w:val="es-CR" w:eastAsia="es-CR"/>
        </w:rPr>
      </w:pPr>
      <w:r w:rsidRPr="00CF7396">
        <w:rPr>
          <w:color w:val="000000" w:themeColor="text1"/>
          <w:bdr w:val="none" w:sz="0" w:space="0" w:color="auto" w:frame="1"/>
          <w:lang w:val="es-CR" w:eastAsia="es-CR"/>
        </w:rPr>
        <w:t>Visita de los integrantes del Consejo Superior por parte de la licenciada Sandra Pizarro Gutiérrez y el doctor Gary Amador Badilla el 24 de setiembre del 2021 en el Circuito, y en la cual estuvo invitada la Profesional de Planificación destacada en el Circuito, las personas juzgadoras del Circuito -entre otros puntos- expresaron la problemática que existe en el Circuito con la rotación constante de personal juzgador, debido a que en la mayoría de los casos el personal juzgador cumple con el período de prueba y luego se movilizan a otras zonas, provocando que las personas técnicas judiciales tengan constantemente cambio de jefaturas, con formas y maneras diferentes de trabajar, por lo que en algunos casos ha producido desmotivación para el personal subalterno. La anterior visita fue conocida por el Consejo Superior en sesión 89-2021 del 14 de octubre del 2021, artículo LII, en lo conducente dice: “</w:t>
      </w:r>
      <w:r w:rsidRPr="00CF7396">
        <w:rPr>
          <w:i/>
          <w:iCs/>
          <w:color w:val="000000" w:themeColor="text1"/>
          <w:bdr w:val="none" w:sz="0" w:space="0" w:color="auto" w:frame="1"/>
          <w:lang w:val="es-CR" w:eastAsia="es-CR"/>
        </w:rPr>
        <w:t>Una última situación que se abordó fue un tema circunstancial del Circuito, mediante el cual algunos funcionarios establecen que los nombramientos en el circuito se utilizan a modo de trampolín, siendo que posterior a esto no se toman el arraigo necesario para poder trabajar dentro del circuito que es una problemática que deberá ser abordada”.</w:t>
      </w:r>
      <w:r w:rsidRPr="00CF7396">
        <w:rPr>
          <w:color w:val="000000" w:themeColor="text1"/>
          <w:bdr w:val="none" w:sz="0" w:space="0" w:color="auto" w:frame="1"/>
          <w:lang w:val="es-CR" w:eastAsia="es-CR"/>
        </w:rPr>
        <w:t xml:space="preserve"> Lo anterior fue trasladado -entre otros- a la Dirección de Gestión Humana. </w:t>
      </w:r>
    </w:p>
    <w:p w14:paraId="6E567E66" w14:textId="77777777" w:rsidR="00CF7396" w:rsidRPr="00CF7396" w:rsidRDefault="00CF7396" w:rsidP="00CF7396">
      <w:pPr>
        <w:ind w:left="851" w:right="851" w:firstLine="709"/>
        <w:jc w:val="both"/>
        <w:rPr>
          <w:color w:val="000000" w:themeColor="text1"/>
          <w:bdr w:val="none" w:sz="0" w:space="0" w:color="auto" w:frame="1"/>
          <w:lang w:val="es-CR" w:eastAsia="es-CR"/>
        </w:rPr>
      </w:pPr>
    </w:p>
    <w:p w14:paraId="073BF257" w14:textId="77777777" w:rsidR="00CF7396" w:rsidRPr="00CF7396" w:rsidRDefault="00CF7396" w:rsidP="00CF7396">
      <w:pPr>
        <w:numPr>
          <w:ilvl w:val="1"/>
          <w:numId w:val="36"/>
        </w:numPr>
        <w:ind w:left="851" w:right="851" w:firstLine="709"/>
        <w:jc w:val="both"/>
        <w:rPr>
          <w:color w:val="000000" w:themeColor="text1"/>
          <w:bdr w:val="none" w:sz="0" w:space="0" w:color="auto" w:frame="1"/>
          <w:lang w:val="es-CR" w:eastAsia="es-CR"/>
        </w:rPr>
      </w:pPr>
      <w:r w:rsidRPr="00CF7396">
        <w:rPr>
          <w:color w:val="000000" w:themeColor="text1"/>
          <w:bdr w:val="none" w:sz="0" w:space="0" w:color="auto" w:frame="1"/>
          <w:lang w:val="es-CR" w:eastAsia="es-CR"/>
        </w:rPr>
        <w:t>Acuerdo del Consejo Superior en sesión 90-2021 del 19 de octubre del 2021, artículo XXXVII, tomó nota del oficio 1146-PLA-EV-MI-2021, en dónde informó que el plan de descongestionamiento para la Sección de Flagrancia y el Tribunal Penal del Primer Circuito Judicial de la Zona Atlántica está a la espera del informe definitivo el cual queda sujeto a la implementación del nuevo plan de trabajo.</w:t>
      </w:r>
    </w:p>
    <w:p w14:paraId="21CC9AA5" w14:textId="77777777" w:rsidR="00CF7396" w:rsidRPr="00CF7396" w:rsidRDefault="00CF7396" w:rsidP="00CF7396">
      <w:pPr>
        <w:ind w:left="851" w:right="851" w:firstLine="709"/>
        <w:jc w:val="both"/>
        <w:rPr>
          <w:color w:val="000000" w:themeColor="text1"/>
          <w:bdr w:val="none" w:sz="0" w:space="0" w:color="auto" w:frame="1"/>
          <w:lang w:val="es-CR" w:eastAsia="es-CR"/>
        </w:rPr>
      </w:pPr>
    </w:p>
    <w:p w14:paraId="415577C5" w14:textId="77777777" w:rsidR="00CF7396" w:rsidRPr="00CF7396" w:rsidRDefault="00CF7396" w:rsidP="00CF7396">
      <w:pPr>
        <w:numPr>
          <w:ilvl w:val="1"/>
          <w:numId w:val="36"/>
        </w:numPr>
        <w:ind w:left="851" w:right="851" w:firstLine="709"/>
        <w:jc w:val="both"/>
        <w:rPr>
          <w:color w:val="000000" w:themeColor="text1"/>
          <w:bdr w:val="none" w:sz="0" w:space="0" w:color="auto" w:frame="1"/>
          <w:lang w:val="es-CR" w:eastAsia="es-CR"/>
        </w:rPr>
      </w:pPr>
      <w:r w:rsidRPr="00CF7396">
        <w:rPr>
          <w:color w:val="000000" w:themeColor="text1"/>
          <w:bdr w:val="none" w:sz="0" w:space="0" w:color="auto" w:frame="1"/>
          <w:lang w:val="es-CR" w:eastAsia="es-CR"/>
        </w:rPr>
        <w:t xml:space="preserve">Criterio de la Comisión Nacional de Flagrancia, según oficio 32-CNFLAG-2021 del 2 de noviembre del 2021, en relación con la posibilidad que </w:t>
      </w:r>
      <w:r w:rsidRPr="00CF7396">
        <w:rPr>
          <w:color w:val="000000" w:themeColor="text1"/>
          <w:bdr w:val="none" w:sz="0" w:space="0" w:color="auto" w:frame="1"/>
          <w:lang w:val="es-CR" w:eastAsia="es-CR"/>
        </w:rPr>
        <w:lastRenderedPageBreak/>
        <w:t>las personas juzgadoras ordinarias decreten la incompetencia en casos de flagrancias vigentes.</w:t>
      </w:r>
    </w:p>
    <w:p w14:paraId="06E09384" w14:textId="77777777" w:rsidR="00CF7396" w:rsidRPr="00CF7396" w:rsidRDefault="00CF7396" w:rsidP="00CF7396">
      <w:pPr>
        <w:ind w:left="851" w:right="851" w:firstLine="709"/>
        <w:jc w:val="both"/>
        <w:rPr>
          <w:color w:val="000000" w:themeColor="text1"/>
          <w:bdr w:val="none" w:sz="0" w:space="0" w:color="auto" w:frame="1"/>
          <w:lang w:val="es-CR" w:eastAsia="es-CR"/>
        </w:rPr>
      </w:pPr>
    </w:p>
    <w:p w14:paraId="7087E559" w14:textId="77777777" w:rsidR="00CF7396" w:rsidRPr="00CF7396" w:rsidRDefault="00CF7396" w:rsidP="00CF7396">
      <w:pPr>
        <w:numPr>
          <w:ilvl w:val="1"/>
          <w:numId w:val="36"/>
        </w:numPr>
        <w:ind w:left="851" w:right="851" w:firstLine="709"/>
        <w:jc w:val="both"/>
        <w:rPr>
          <w:color w:val="000000" w:themeColor="text1"/>
          <w:bdr w:val="none" w:sz="0" w:space="0" w:color="auto" w:frame="1"/>
          <w:lang w:val="es-CR" w:eastAsia="es-CR"/>
        </w:rPr>
      </w:pPr>
      <w:r w:rsidRPr="00CF7396">
        <w:rPr>
          <w:color w:val="000000" w:themeColor="text1"/>
          <w:bdr w:val="none" w:sz="0" w:space="0" w:color="auto" w:frame="1"/>
          <w:lang w:val="es-CR" w:eastAsia="es-CR"/>
        </w:rPr>
        <w:t>Acuerdo del Consejo Superior en sesión 95-2021 del 4 de noviembre del 2021, artículo XXXIII, conoció el informe 702-PLA-EV-2021 relacionado al plan de trabajo 2021 para el Juzgado de Cobro y el Juzgado Civil del Primer Circuito Judicial de la Zona Atlántica, relacionado con el Plan de Trabajo de variación de cuotas de trabajo para que las personas técnicas judiciales de civil y tramitaran materia cobratoria.</w:t>
      </w:r>
    </w:p>
    <w:p w14:paraId="28768297" w14:textId="77777777" w:rsidR="00CF7396" w:rsidRPr="00CF7396" w:rsidRDefault="00CF7396" w:rsidP="00CF7396">
      <w:pPr>
        <w:ind w:left="851" w:right="851" w:firstLine="709"/>
        <w:jc w:val="both"/>
        <w:rPr>
          <w:color w:val="000000" w:themeColor="text1"/>
          <w:bdr w:val="none" w:sz="0" w:space="0" w:color="auto" w:frame="1"/>
          <w:lang w:val="es-CR" w:eastAsia="es-CR"/>
        </w:rPr>
      </w:pPr>
    </w:p>
    <w:p w14:paraId="657CAD0D" w14:textId="77777777" w:rsidR="00CF7396" w:rsidRPr="00CF7396" w:rsidRDefault="00CF7396" w:rsidP="00CF7396">
      <w:pPr>
        <w:numPr>
          <w:ilvl w:val="1"/>
          <w:numId w:val="36"/>
        </w:numPr>
        <w:ind w:left="851" w:right="851" w:firstLine="709"/>
        <w:jc w:val="both"/>
        <w:rPr>
          <w:color w:val="000000" w:themeColor="text1"/>
          <w:bdr w:val="none" w:sz="0" w:space="0" w:color="auto" w:frame="1"/>
          <w:lang w:val="es-CR" w:eastAsia="es-CR"/>
        </w:rPr>
      </w:pPr>
      <w:r w:rsidRPr="00CF7396">
        <w:rPr>
          <w:color w:val="000000" w:themeColor="text1"/>
          <w:bdr w:val="none" w:sz="0" w:space="0" w:color="auto" w:frame="1"/>
          <w:lang w:val="es-CR" w:eastAsia="es-CR"/>
        </w:rPr>
        <w:t xml:space="preserve">El Consejo Superior en sesión 103-2021 del 1 de diciembre del 2021, artículo XLVI, aprobó el informe 1274-PLA-EV-2021 relacionado al Seguimiento del Modelo de Seguimiento y Sostenibilidad del Primer Circuito Judicial de la Zona Atlántica. </w:t>
      </w:r>
    </w:p>
    <w:p w14:paraId="7B07AF86" w14:textId="77777777" w:rsidR="00CF7396" w:rsidRPr="00CF7396" w:rsidRDefault="00CF7396" w:rsidP="00CF7396">
      <w:pPr>
        <w:ind w:left="851" w:right="851" w:firstLine="709"/>
        <w:jc w:val="both"/>
        <w:rPr>
          <w:color w:val="000000" w:themeColor="text1"/>
          <w:bdr w:val="none" w:sz="0" w:space="0" w:color="auto" w:frame="1"/>
          <w:lang w:val="es-CR" w:eastAsia="es-CR"/>
        </w:rPr>
      </w:pPr>
    </w:p>
    <w:p w14:paraId="70E5A5C8" w14:textId="77777777" w:rsidR="00CF7396" w:rsidRPr="00CF7396" w:rsidRDefault="00CF7396" w:rsidP="00CF7396">
      <w:pPr>
        <w:numPr>
          <w:ilvl w:val="1"/>
          <w:numId w:val="36"/>
        </w:numPr>
        <w:ind w:left="851" w:right="851" w:firstLine="709"/>
        <w:jc w:val="both"/>
        <w:rPr>
          <w:color w:val="000000" w:themeColor="text1"/>
          <w:bdr w:val="none" w:sz="0" w:space="0" w:color="auto" w:frame="1"/>
          <w:lang w:val="es-CR" w:eastAsia="es-CR"/>
        </w:rPr>
      </w:pPr>
      <w:r w:rsidRPr="00CF7396">
        <w:rPr>
          <w:color w:val="000000" w:themeColor="text1"/>
          <w:bdr w:val="none" w:sz="0" w:space="0" w:color="auto" w:frame="1"/>
          <w:lang w:val="es-CR" w:eastAsia="es-CR"/>
        </w:rPr>
        <w:t>Circular 107-21 de la Secretaría General de la Corte, en la cual se comunica el acuerdo de Consejo Superior 39-21 del 13 de mayo de 2021, sobre las disposiciones obligatorias temporales ante la situación presupuestaria actual de la Institución y las proyecciones del gasto.</w:t>
      </w:r>
    </w:p>
    <w:p w14:paraId="3515DE78" w14:textId="77777777" w:rsidR="00CF7396" w:rsidRPr="00CF7396" w:rsidRDefault="00CF7396" w:rsidP="00CF7396">
      <w:pPr>
        <w:ind w:left="851" w:right="851" w:firstLine="709"/>
        <w:jc w:val="both"/>
        <w:rPr>
          <w:color w:val="000000" w:themeColor="text1"/>
          <w:bdr w:val="none" w:sz="0" w:space="0" w:color="auto" w:frame="1"/>
          <w:lang w:val="es-CR" w:eastAsia="es-CR"/>
        </w:rPr>
      </w:pPr>
    </w:p>
    <w:p w14:paraId="23048254" w14:textId="77777777" w:rsidR="00CF7396" w:rsidRPr="00CF7396" w:rsidRDefault="00CF7396" w:rsidP="00CF7396">
      <w:pPr>
        <w:numPr>
          <w:ilvl w:val="1"/>
          <w:numId w:val="36"/>
        </w:numPr>
        <w:ind w:left="851" w:right="851" w:firstLine="709"/>
        <w:jc w:val="both"/>
        <w:rPr>
          <w:color w:val="000000" w:themeColor="text1"/>
          <w:shd w:val="clear" w:color="auto" w:fill="FFFFFF"/>
          <w:lang w:val="es-CR"/>
        </w:rPr>
      </w:pPr>
      <w:r w:rsidRPr="00CF7396">
        <w:rPr>
          <w:color w:val="000000" w:themeColor="text1"/>
          <w:bdr w:val="none" w:sz="0" w:space="0" w:color="auto" w:frame="1"/>
          <w:lang w:val="es-CR" w:eastAsia="es-CR"/>
        </w:rPr>
        <w:t>Circular 222-21 de la Secretaría General de la Corte, sobre acuerdo del Consejo Superior 79-21 del 09 de setiembre de 2021, sobre obligación de los Consejos de Administración con despachos rediseñados, de convocar a las personas profesionales de la Dirección de Planificación destacadas</w:t>
      </w:r>
      <w:r w:rsidRPr="00CF7396">
        <w:rPr>
          <w:color w:val="000000" w:themeColor="text1"/>
          <w:shd w:val="clear" w:color="auto" w:fill="FFFFFF"/>
          <w:lang w:val="es-CR"/>
        </w:rPr>
        <w:t xml:space="preserve"> en los Circuitos Judiciales, según lo dispuesto en el Modelo de Sostenibilidad.</w:t>
      </w:r>
    </w:p>
    <w:p w14:paraId="7F089718" w14:textId="77777777" w:rsidR="00CF7396" w:rsidRPr="00CF7396" w:rsidRDefault="00CF7396" w:rsidP="00CF7396">
      <w:pPr>
        <w:ind w:left="851" w:right="851" w:firstLine="709"/>
        <w:jc w:val="both"/>
        <w:rPr>
          <w:color w:val="000000" w:themeColor="text1"/>
          <w:lang w:val="es-CR"/>
        </w:rPr>
      </w:pPr>
    </w:p>
    <w:p w14:paraId="079977F9" w14:textId="77777777" w:rsidR="00CF7396" w:rsidRPr="00CF7396" w:rsidRDefault="00CF7396" w:rsidP="00CF7396">
      <w:pPr>
        <w:ind w:left="851" w:right="851" w:firstLine="709"/>
        <w:rPr>
          <w:b/>
          <w:bCs/>
          <w:color w:val="000000" w:themeColor="text1"/>
          <w:lang w:val="es-CR"/>
        </w:rPr>
      </w:pPr>
      <w:bookmarkStart w:id="4" w:name="_Toc78876651"/>
      <w:r w:rsidRPr="00CF7396">
        <w:rPr>
          <w:b/>
          <w:bCs/>
          <w:color w:val="000000" w:themeColor="text1"/>
          <w:lang w:val="es-CR"/>
        </w:rPr>
        <w:t>2. Metodología de Análisis</w:t>
      </w:r>
      <w:bookmarkEnd w:id="4"/>
    </w:p>
    <w:p w14:paraId="259C2F80" w14:textId="77777777" w:rsidR="00CF7396" w:rsidRPr="00CF7396" w:rsidRDefault="00CF7396" w:rsidP="00CF7396">
      <w:pPr>
        <w:ind w:left="851" w:right="851" w:firstLine="709"/>
        <w:jc w:val="both"/>
        <w:rPr>
          <w:color w:val="000000" w:themeColor="text1"/>
          <w:lang w:val="es-CR"/>
        </w:rPr>
      </w:pPr>
    </w:p>
    <w:p w14:paraId="73D70322" w14:textId="77777777" w:rsidR="00CF7396" w:rsidRPr="00CF7396" w:rsidRDefault="00CF7396" w:rsidP="00CF7396">
      <w:pPr>
        <w:widowControl w:val="0"/>
        <w:tabs>
          <w:tab w:val="left" w:pos="10065"/>
        </w:tabs>
        <w:ind w:left="851" w:right="851" w:firstLine="709"/>
        <w:jc w:val="both"/>
        <w:rPr>
          <w:color w:val="000000" w:themeColor="text1"/>
          <w:lang w:val="es-CR"/>
        </w:rPr>
      </w:pPr>
      <w:r w:rsidRPr="00CF7396">
        <w:rPr>
          <w:rFonts w:eastAsia="Calibri"/>
          <w:color w:val="000000" w:themeColor="text1"/>
          <w:lang w:val="es-CR" w:eastAsia="zh-CN"/>
        </w:rPr>
        <w:t>La metodología empleada en este análisis comprende tanto un en</w:t>
      </w:r>
      <w:r w:rsidRPr="00CF7396">
        <w:rPr>
          <w:color w:val="000000" w:themeColor="text1"/>
          <w:lang w:val="es-CR"/>
        </w:rPr>
        <w:t xml:space="preserve">foque cuantitativo como cualitativo.  El primero se sustenta en la recolección de datos procedentes de las Matrices de Indicadores de Gestión y su respectiva clasificación mediante el Modelo de Análisis Integral del Circuito denominado MAIC, para establecer mediante una base de medición numérica y análisis estadístico, el comportamiento de dichos Indicadores y los rendimientos de los recursos asignados al cumplimiento de estos.  </w:t>
      </w:r>
    </w:p>
    <w:p w14:paraId="1AA0340D" w14:textId="77777777" w:rsidR="00CF7396" w:rsidRPr="00CF7396" w:rsidRDefault="00CF7396" w:rsidP="00CF7396">
      <w:pPr>
        <w:widowControl w:val="0"/>
        <w:tabs>
          <w:tab w:val="left" w:pos="10065"/>
        </w:tabs>
        <w:ind w:left="851" w:right="851" w:firstLine="709"/>
        <w:jc w:val="both"/>
        <w:rPr>
          <w:color w:val="000000" w:themeColor="text1"/>
          <w:lang w:val="es-CR"/>
        </w:rPr>
      </w:pPr>
    </w:p>
    <w:p w14:paraId="0EF9A494" w14:textId="77777777" w:rsidR="00CF7396" w:rsidRPr="00CF7396" w:rsidRDefault="00CF7396" w:rsidP="00CF7396">
      <w:pPr>
        <w:widowControl w:val="0"/>
        <w:tabs>
          <w:tab w:val="left" w:pos="10065"/>
        </w:tabs>
        <w:ind w:left="851" w:right="851" w:firstLine="709"/>
        <w:jc w:val="both"/>
        <w:rPr>
          <w:color w:val="000000" w:themeColor="text1"/>
          <w:lang w:val="es-CR"/>
        </w:rPr>
      </w:pPr>
      <w:r w:rsidRPr="00CF7396">
        <w:rPr>
          <w:color w:val="000000" w:themeColor="text1"/>
          <w:lang w:val="es-CR"/>
        </w:rPr>
        <w:t>Los aspectos cualitativos se desprenden de información contenida en las minutas de trabajo (o reunión) de los equipos de mejora, así como de las entrevistas, reuniones realizadas en los despachos judiciales, en las cuales se realizan seguimientos y en los despachos que se implementan planes de trabajo.</w:t>
      </w:r>
    </w:p>
    <w:p w14:paraId="1A2B6AAE" w14:textId="77777777" w:rsidR="00CF7396" w:rsidRPr="00CF7396" w:rsidRDefault="00CF7396" w:rsidP="00CF7396">
      <w:pPr>
        <w:ind w:left="851" w:right="851" w:firstLine="709"/>
        <w:jc w:val="both"/>
        <w:rPr>
          <w:b/>
          <w:bCs/>
          <w:color w:val="000000" w:themeColor="text1"/>
          <w:lang w:val="es-CR"/>
        </w:rPr>
      </w:pPr>
    </w:p>
    <w:p w14:paraId="0EA84F6F" w14:textId="77777777" w:rsidR="00CF7396" w:rsidRPr="00CF7396" w:rsidRDefault="00CF7396" w:rsidP="00CF7396">
      <w:pPr>
        <w:ind w:left="851" w:right="851" w:firstLine="709"/>
        <w:jc w:val="both"/>
        <w:rPr>
          <w:rFonts w:eastAsia="Calibri"/>
          <w:b/>
          <w:bCs/>
          <w:color w:val="000000" w:themeColor="text1"/>
          <w:lang w:val="es-CR" w:eastAsia="zh-CN"/>
        </w:rPr>
      </w:pPr>
      <w:proofErr w:type="gramStart"/>
      <w:r w:rsidRPr="00CF7396">
        <w:rPr>
          <w:rFonts w:eastAsia="Calibri"/>
          <w:b/>
          <w:bCs/>
          <w:color w:val="000000" w:themeColor="text1"/>
          <w:lang w:val="es-CR" w:eastAsia="zh-CN"/>
        </w:rPr>
        <w:lastRenderedPageBreak/>
        <w:t>2.1  Rol</w:t>
      </w:r>
      <w:proofErr w:type="gramEnd"/>
      <w:r w:rsidRPr="00CF7396">
        <w:rPr>
          <w:rFonts w:eastAsia="Calibri"/>
          <w:b/>
          <w:bCs/>
          <w:color w:val="000000" w:themeColor="text1"/>
          <w:lang w:val="es-CR" w:eastAsia="zh-CN"/>
        </w:rPr>
        <w:t xml:space="preserve"> de trabajo de la persona Profesional de Planificación de la Dirección de Planificación del Modelo de Seguimiento y Sostenibilidad del Primer Circuito Judicial de la Zona Atlántica.</w:t>
      </w:r>
    </w:p>
    <w:p w14:paraId="69FC0DF8" w14:textId="77777777" w:rsidR="00CF7396" w:rsidRPr="00CF7396" w:rsidRDefault="00CF7396" w:rsidP="00CF7396">
      <w:pPr>
        <w:widowControl w:val="0"/>
        <w:tabs>
          <w:tab w:val="left" w:pos="10065"/>
        </w:tabs>
        <w:ind w:left="851" w:right="851" w:firstLine="709"/>
        <w:jc w:val="both"/>
        <w:rPr>
          <w:color w:val="000000" w:themeColor="text1"/>
          <w:lang w:val="es-CR" w:eastAsia="es-CR"/>
        </w:rPr>
      </w:pPr>
    </w:p>
    <w:p w14:paraId="05B0C93A" w14:textId="77777777" w:rsidR="00CF7396" w:rsidRPr="00CF7396" w:rsidRDefault="00CF7396" w:rsidP="00CF7396">
      <w:pPr>
        <w:widowControl w:val="0"/>
        <w:tabs>
          <w:tab w:val="left" w:pos="10065"/>
        </w:tabs>
        <w:ind w:left="851" w:right="851" w:firstLine="709"/>
        <w:jc w:val="both"/>
        <w:rPr>
          <w:color w:val="000000" w:themeColor="text1"/>
          <w:lang w:val="es-CR" w:eastAsia="es-CR"/>
        </w:rPr>
      </w:pPr>
      <w:r w:rsidRPr="00CF7396">
        <w:rPr>
          <w:color w:val="000000" w:themeColor="text1"/>
          <w:lang w:val="es-CR" w:eastAsia="es-CR"/>
        </w:rPr>
        <w:t>La persona Profesional de Planificación de la Dirección de Planificación del Modelo de Seguimiento y Sostenibilidad del Primer Circuito Judicial de la Zona Atlántica, durante el 2021 mantuvo un rol de trabajo con diversas tareas, las cuales se desglosan brevemente a continuación:</w:t>
      </w:r>
    </w:p>
    <w:p w14:paraId="6A245949" w14:textId="77777777" w:rsidR="00CF7396" w:rsidRPr="00CF7396" w:rsidRDefault="00CF7396" w:rsidP="00CF7396">
      <w:pPr>
        <w:widowControl w:val="0"/>
        <w:tabs>
          <w:tab w:val="left" w:pos="10065"/>
        </w:tabs>
        <w:ind w:left="851" w:right="851" w:firstLine="709"/>
        <w:jc w:val="both"/>
        <w:rPr>
          <w:color w:val="000000" w:themeColor="text1"/>
          <w:lang w:val="es-CR" w:eastAsia="zh-CN"/>
        </w:rPr>
      </w:pPr>
    </w:p>
    <w:p w14:paraId="0F822D99" w14:textId="77777777" w:rsidR="00CF7396" w:rsidRPr="00CF7396" w:rsidRDefault="00CF7396" w:rsidP="00CF7396">
      <w:pPr>
        <w:widowControl w:val="0"/>
        <w:numPr>
          <w:ilvl w:val="0"/>
          <w:numId w:val="70"/>
        </w:numPr>
        <w:tabs>
          <w:tab w:val="left" w:pos="10065"/>
        </w:tabs>
        <w:ind w:right="851"/>
        <w:jc w:val="both"/>
        <w:rPr>
          <w:color w:val="000000" w:themeColor="text1"/>
          <w:lang w:val="es-CR" w:eastAsia="zh-CN"/>
        </w:rPr>
      </w:pPr>
      <w:r w:rsidRPr="00CF7396">
        <w:rPr>
          <w:color w:val="000000" w:themeColor="text1"/>
          <w:lang w:val="es-CR" w:eastAsia="zh-CN"/>
        </w:rPr>
        <w:t>Revisar, analizar, verificar y modificar planes remediales propuestos por los despachos judiciales por medio de los equipos de mejora.</w:t>
      </w:r>
    </w:p>
    <w:p w14:paraId="101C0586" w14:textId="77777777" w:rsidR="00CF7396" w:rsidRPr="00CF7396" w:rsidRDefault="00CF7396" w:rsidP="00CF7396">
      <w:pPr>
        <w:widowControl w:val="0"/>
        <w:tabs>
          <w:tab w:val="left" w:pos="10065"/>
        </w:tabs>
        <w:ind w:left="851" w:right="851"/>
        <w:jc w:val="both"/>
        <w:rPr>
          <w:color w:val="000000" w:themeColor="text1"/>
          <w:lang w:val="es-CR" w:eastAsia="zh-CN"/>
        </w:rPr>
      </w:pPr>
    </w:p>
    <w:p w14:paraId="1E0CAF56" w14:textId="77777777" w:rsidR="00CF7396" w:rsidRPr="00CF7396" w:rsidRDefault="00CF7396" w:rsidP="00CF7396">
      <w:pPr>
        <w:widowControl w:val="0"/>
        <w:numPr>
          <w:ilvl w:val="0"/>
          <w:numId w:val="70"/>
        </w:numPr>
        <w:tabs>
          <w:tab w:val="left" w:pos="10065"/>
        </w:tabs>
        <w:ind w:right="851"/>
        <w:jc w:val="both"/>
        <w:rPr>
          <w:color w:val="000000" w:themeColor="text1"/>
          <w:lang w:val="es-CR" w:eastAsia="zh-CN"/>
        </w:rPr>
      </w:pPr>
      <w:r w:rsidRPr="00CF7396">
        <w:rPr>
          <w:color w:val="000000" w:themeColor="text1"/>
          <w:lang w:val="es-CR" w:eastAsia="zh-CN"/>
        </w:rPr>
        <w:t>Elaborar planes de trabajo para los despachos judiciales con recursos propios de la oficina, que así lo requieran de conformidad con el resultado de los Indicadores de Gestión o bien como oportunidades de mejora.</w:t>
      </w:r>
    </w:p>
    <w:p w14:paraId="67AF3EEC" w14:textId="77777777" w:rsidR="00CF7396" w:rsidRPr="00CF7396" w:rsidRDefault="00CF7396" w:rsidP="00CF7396">
      <w:pPr>
        <w:widowControl w:val="0"/>
        <w:tabs>
          <w:tab w:val="left" w:pos="10065"/>
        </w:tabs>
        <w:ind w:left="851" w:right="851"/>
        <w:jc w:val="both"/>
        <w:rPr>
          <w:color w:val="000000" w:themeColor="text1"/>
          <w:lang w:val="es-CR" w:eastAsia="zh-CN"/>
        </w:rPr>
      </w:pPr>
    </w:p>
    <w:p w14:paraId="490DC4EB" w14:textId="77777777" w:rsidR="00CF7396" w:rsidRPr="00CF7396" w:rsidRDefault="00CF7396" w:rsidP="00CF7396">
      <w:pPr>
        <w:widowControl w:val="0"/>
        <w:numPr>
          <w:ilvl w:val="0"/>
          <w:numId w:val="70"/>
        </w:numPr>
        <w:tabs>
          <w:tab w:val="left" w:pos="10065"/>
        </w:tabs>
        <w:ind w:right="851"/>
        <w:jc w:val="both"/>
        <w:rPr>
          <w:color w:val="000000" w:themeColor="text1"/>
          <w:lang w:val="es-CR" w:eastAsia="zh-CN"/>
        </w:rPr>
      </w:pPr>
      <w:r w:rsidRPr="00CF7396">
        <w:rPr>
          <w:color w:val="000000" w:themeColor="text1"/>
          <w:lang w:val="es-CR" w:eastAsia="zh-CN"/>
        </w:rPr>
        <w:t>Ajustar Matrices de Indicadores de Gestión.</w:t>
      </w:r>
    </w:p>
    <w:p w14:paraId="30483567" w14:textId="77777777" w:rsidR="00CF7396" w:rsidRPr="00CF7396" w:rsidRDefault="00CF7396" w:rsidP="00CF7396">
      <w:pPr>
        <w:widowControl w:val="0"/>
        <w:tabs>
          <w:tab w:val="left" w:pos="10065"/>
        </w:tabs>
        <w:ind w:left="851" w:right="851"/>
        <w:jc w:val="both"/>
        <w:rPr>
          <w:color w:val="000000" w:themeColor="text1"/>
          <w:lang w:val="es-CR" w:eastAsia="zh-CN"/>
        </w:rPr>
      </w:pPr>
    </w:p>
    <w:p w14:paraId="5D357593" w14:textId="77777777" w:rsidR="00CF7396" w:rsidRPr="00CF7396" w:rsidRDefault="00CF7396" w:rsidP="00CF7396">
      <w:pPr>
        <w:numPr>
          <w:ilvl w:val="0"/>
          <w:numId w:val="37"/>
        </w:numPr>
        <w:ind w:left="851" w:right="851"/>
        <w:contextualSpacing/>
        <w:jc w:val="both"/>
        <w:rPr>
          <w:color w:val="000000" w:themeColor="text1"/>
          <w:lang w:val="es-CR" w:eastAsia="zh-CN"/>
        </w:rPr>
      </w:pPr>
      <w:r w:rsidRPr="00CF7396">
        <w:rPr>
          <w:color w:val="000000" w:themeColor="text1"/>
          <w:lang w:val="es-CR" w:eastAsia="zh-CN"/>
        </w:rPr>
        <w:t xml:space="preserve">Asesorar a los equipos de mejora en la formulación e implementación de planes de mejora generados a partir de las reuniones programadas, así como realimentaciones respecto a la Matriz de Indicadores y completado de la minuta de reunión. </w:t>
      </w:r>
    </w:p>
    <w:p w14:paraId="66EC7B57" w14:textId="77777777" w:rsidR="00CF7396" w:rsidRPr="00CF7396" w:rsidRDefault="00CF7396" w:rsidP="00CF7396">
      <w:pPr>
        <w:ind w:left="851" w:right="851"/>
        <w:contextualSpacing/>
        <w:jc w:val="both"/>
        <w:rPr>
          <w:color w:val="000000" w:themeColor="text1"/>
          <w:lang w:val="es-CR" w:eastAsia="zh-CN"/>
        </w:rPr>
      </w:pPr>
    </w:p>
    <w:p w14:paraId="1944AAE0" w14:textId="77777777" w:rsidR="00CF7396" w:rsidRPr="00CF7396" w:rsidRDefault="00CF7396" w:rsidP="00CF7396">
      <w:pPr>
        <w:numPr>
          <w:ilvl w:val="0"/>
          <w:numId w:val="37"/>
        </w:numPr>
        <w:ind w:left="851" w:right="851"/>
        <w:contextualSpacing/>
        <w:jc w:val="both"/>
        <w:rPr>
          <w:color w:val="000000" w:themeColor="text1"/>
          <w:lang w:val="es-CR" w:eastAsia="zh-CN"/>
        </w:rPr>
      </w:pPr>
      <w:r w:rsidRPr="00CF7396">
        <w:rPr>
          <w:color w:val="000000" w:themeColor="text1"/>
          <w:lang w:val="es-CR" w:eastAsia="zh-CN"/>
        </w:rPr>
        <w:t>Analizar cargas de trabajo y estructuras organizacionales, para determinar propuestas de cambios que permitan ajustarse ante los cambios en las demandas de servicio que se presentan en los despachos y oficinas judiciales del circuito.</w:t>
      </w:r>
    </w:p>
    <w:p w14:paraId="7A5C06EC" w14:textId="77777777" w:rsidR="00CF7396" w:rsidRPr="00CF7396" w:rsidRDefault="00CF7396" w:rsidP="00CF7396">
      <w:pPr>
        <w:ind w:left="851" w:right="851"/>
        <w:contextualSpacing/>
        <w:jc w:val="both"/>
        <w:rPr>
          <w:color w:val="000000" w:themeColor="text1"/>
          <w:lang w:val="es-CR" w:eastAsia="zh-CN"/>
        </w:rPr>
      </w:pPr>
    </w:p>
    <w:p w14:paraId="37828ABD" w14:textId="77777777" w:rsidR="00CF7396" w:rsidRPr="00CF7396" w:rsidRDefault="00CF7396" w:rsidP="00CF7396">
      <w:pPr>
        <w:numPr>
          <w:ilvl w:val="0"/>
          <w:numId w:val="37"/>
        </w:numPr>
        <w:ind w:left="851" w:right="851"/>
        <w:contextualSpacing/>
        <w:jc w:val="both"/>
        <w:rPr>
          <w:color w:val="000000" w:themeColor="text1"/>
          <w:lang w:val="es-CR" w:eastAsia="zh-CN"/>
        </w:rPr>
      </w:pPr>
      <w:r w:rsidRPr="00CF7396">
        <w:rPr>
          <w:color w:val="000000" w:themeColor="text1"/>
          <w:lang w:val="es-CR" w:eastAsia="zh-CN"/>
        </w:rPr>
        <w:t>Analizar cargas de trabajo mensualmente de los despachos que conforman el Modelo de Seguimiento y Sostenibilidad para detectar las necesidades del Circuito y brindar apoyos con recursos de personas técnicas judiciales y juzgadoras supernumerarias de la Administración Regional del Primer Circuito Judicial de la Zona Atlántica.</w:t>
      </w:r>
    </w:p>
    <w:p w14:paraId="26114A01" w14:textId="77777777" w:rsidR="00CF7396" w:rsidRPr="00CF7396" w:rsidRDefault="00CF7396" w:rsidP="00CF7396">
      <w:pPr>
        <w:ind w:left="851" w:right="851"/>
        <w:contextualSpacing/>
        <w:jc w:val="both"/>
        <w:rPr>
          <w:color w:val="000000" w:themeColor="text1"/>
          <w:lang w:val="es-CR" w:eastAsia="zh-CN"/>
        </w:rPr>
      </w:pPr>
    </w:p>
    <w:p w14:paraId="0050DDF0" w14:textId="77777777" w:rsidR="00CF7396" w:rsidRPr="00CF7396" w:rsidRDefault="00CF7396" w:rsidP="00CF7396">
      <w:pPr>
        <w:numPr>
          <w:ilvl w:val="0"/>
          <w:numId w:val="37"/>
        </w:numPr>
        <w:ind w:left="851" w:right="851"/>
        <w:contextualSpacing/>
        <w:jc w:val="both"/>
        <w:rPr>
          <w:color w:val="000000" w:themeColor="text1"/>
          <w:lang w:val="es-CR" w:eastAsia="zh-CN"/>
        </w:rPr>
      </w:pPr>
      <w:r w:rsidRPr="00CF7396">
        <w:rPr>
          <w:color w:val="000000" w:themeColor="text1"/>
          <w:lang w:val="es-CR" w:eastAsia="zh-CN"/>
        </w:rPr>
        <w:t>Seguimiento de la materia de Pensiones Alimentarias a nivel nacional.</w:t>
      </w:r>
    </w:p>
    <w:p w14:paraId="395EDDEF" w14:textId="77777777" w:rsidR="00CF7396" w:rsidRPr="00CF7396" w:rsidRDefault="00CF7396" w:rsidP="00CF7396">
      <w:pPr>
        <w:ind w:left="851" w:right="851"/>
        <w:contextualSpacing/>
        <w:jc w:val="both"/>
        <w:rPr>
          <w:color w:val="000000" w:themeColor="text1"/>
          <w:lang w:val="es-CR" w:eastAsia="zh-CN"/>
        </w:rPr>
      </w:pPr>
    </w:p>
    <w:p w14:paraId="0774F7F0" w14:textId="77777777" w:rsidR="00CF7396" w:rsidRPr="00CF7396" w:rsidRDefault="00CF7396" w:rsidP="00CF7396">
      <w:pPr>
        <w:numPr>
          <w:ilvl w:val="0"/>
          <w:numId w:val="37"/>
        </w:numPr>
        <w:ind w:left="851" w:right="851"/>
        <w:contextualSpacing/>
        <w:jc w:val="both"/>
        <w:rPr>
          <w:color w:val="000000" w:themeColor="text1"/>
          <w:lang w:val="es-CR" w:eastAsia="zh-CN"/>
        </w:rPr>
      </w:pPr>
      <w:r w:rsidRPr="00CF7396">
        <w:rPr>
          <w:color w:val="000000" w:themeColor="text1"/>
          <w:lang w:val="es-CR" w:eastAsia="zh-CN"/>
        </w:rPr>
        <w:t>Elaboración de informes de seguimiento o planes de trabajo que son de conocimiento del Consejo Superior.</w:t>
      </w:r>
    </w:p>
    <w:p w14:paraId="2D587972" w14:textId="77777777" w:rsidR="00CF7396" w:rsidRPr="00CF7396" w:rsidRDefault="00CF7396" w:rsidP="00CF7396">
      <w:pPr>
        <w:ind w:left="851" w:right="851"/>
        <w:contextualSpacing/>
        <w:jc w:val="both"/>
        <w:rPr>
          <w:color w:val="000000" w:themeColor="text1"/>
          <w:lang w:val="es-CR" w:eastAsia="zh-CN"/>
        </w:rPr>
      </w:pPr>
    </w:p>
    <w:p w14:paraId="3637DA4A" w14:textId="77777777" w:rsidR="00CF7396" w:rsidRPr="00CF7396" w:rsidRDefault="00CF7396" w:rsidP="00CF7396">
      <w:pPr>
        <w:numPr>
          <w:ilvl w:val="0"/>
          <w:numId w:val="37"/>
        </w:numPr>
        <w:ind w:left="851" w:right="851"/>
        <w:contextualSpacing/>
        <w:jc w:val="both"/>
        <w:rPr>
          <w:color w:val="000000" w:themeColor="text1"/>
          <w:lang w:val="es-CR" w:eastAsia="zh-CN"/>
        </w:rPr>
      </w:pPr>
      <w:r w:rsidRPr="00CF7396">
        <w:rPr>
          <w:color w:val="000000" w:themeColor="text1"/>
          <w:lang w:val="es-CR" w:eastAsia="zh-CN"/>
        </w:rPr>
        <w:t>Elaboración del informe anual del 2020 Modelo de Seguimiento y Sostenibilidad.</w:t>
      </w:r>
    </w:p>
    <w:p w14:paraId="17BE147D" w14:textId="77777777" w:rsidR="00CF7396" w:rsidRPr="00CF7396" w:rsidRDefault="00CF7396" w:rsidP="00CF7396">
      <w:pPr>
        <w:ind w:left="851" w:right="851"/>
        <w:contextualSpacing/>
        <w:jc w:val="both"/>
        <w:rPr>
          <w:color w:val="000000" w:themeColor="text1"/>
          <w:lang w:val="es-CR" w:eastAsia="zh-CN"/>
        </w:rPr>
      </w:pPr>
    </w:p>
    <w:p w14:paraId="7224BD73" w14:textId="77777777" w:rsidR="00CF7396" w:rsidRPr="00CF7396" w:rsidRDefault="00CF7396" w:rsidP="00CF7396">
      <w:pPr>
        <w:numPr>
          <w:ilvl w:val="0"/>
          <w:numId w:val="37"/>
        </w:numPr>
        <w:ind w:left="851" w:right="851"/>
        <w:contextualSpacing/>
        <w:jc w:val="both"/>
        <w:rPr>
          <w:color w:val="000000" w:themeColor="text1"/>
          <w:lang w:val="es-CR" w:eastAsia="zh-CN"/>
        </w:rPr>
      </w:pPr>
      <w:r w:rsidRPr="00CF7396">
        <w:rPr>
          <w:color w:val="000000" w:themeColor="text1"/>
          <w:lang w:val="es-CR" w:eastAsia="zh-CN"/>
        </w:rPr>
        <w:lastRenderedPageBreak/>
        <w:t>Elaboración parcial del informe anual por materia en Pensiones Alimentarias.</w:t>
      </w:r>
    </w:p>
    <w:p w14:paraId="0684CDE8" w14:textId="77777777" w:rsidR="00CF7396" w:rsidRPr="00CF7396" w:rsidRDefault="00CF7396" w:rsidP="00CF7396">
      <w:pPr>
        <w:ind w:left="851" w:right="851"/>
        <w:contextualSpacing/>
        <w:jc w:val="both"/>
        <w:rPr>
          <w:color w:val="000000" w:themeColor="text1"/>
          <w:lang w:val="es-CR" w:eastAsia="zh-CN"/>
        </w:rPr>
      </w:pPr>
    </w:p>
    <w:p w14:paraId="2FDBEAC4" w14:textId="77777777" w:rsidR="00CF7396" w:rsidRPr="00CF7396" w:rsidRDefault="00CF7396" w:rsidP="00CF7396">
      <w:pPr>
        <w:numPr>
          <w:ilvl w:val="0"/>
          <w:numId w:val="37"/>
        </w:numPr>
        <w:ind w:left="851" w:right="851"/>
        <w:contextualSpacing/>
        <w:jc w:val="both"/>
        <w:rPr>
          <w:color w:val="000000" w:themeColor="text1"/>
          <w:lang w:val="es-CR" w:eastAsia="zh-CN"/>
        </w:rPr>
      </w:pPr>
      <w:r w:rsidRPr="00CF7396">
        <w:rPr>
          <w:color w:val="000000" w:themeColor="text1"/>
          <w:lang w:val="es-CR" w:eastAsia="zh-CN"/>
        </w:rPr>
        <w:t xml:space="preserve">Cualquier otra labor requerida por la Jefatura del Subproceso de Evaluación o de la Dirección de Planificación. </w:t>
      </w:r>
    </w:p>
    <w:p w14:paraId="22CA1E7F" w14:textId="77777777" w:rsidR="00CF7396" w:rsidRPr="00CF7396" w:rsidRDefault="00CF7396" w:rsidP="00CF7396">
      <w:pPr>
        <w:ind w:left="851" w:right="851"/>
        <w:contextualSpacing/>
        <w:jc w:val="both"/>
        <w:rPr>
          <w:color w:val="000000" w:themeColor="text1"/>
          <w:lang w:val="es-CR" w:eastAsia="zh-CN"/>
        </w:rPr>
      </w:pPr>
    </w:p>
    <w:p w14:paraId="3F00B7F1" w14:textId="77777777" w:rsidR="00CF7396" w:rsidRPr="00CF7396" w:rsidRDefault="00CF7396" w:rsidP="00CF7396">
      <w:pPr>
        <w:numPr>
          <w:ilvl w:val="0"/>
          <w:numId w:val="37"/>
        </w:numPr>
        <w:ind w:left="851" w:right="851"/>
        <w:contextualSpacing/>
        <w:jc w:val="both"/>
        <w:rPr>
          <w:color w:val="000000" w:themeColor="text1"/>
          <w:lang w:val="es-CR" w:eastAsia="zh-CN"/>
        </w:rPr>
      </w:pPr>
      <w:r w:rsidRPr="00CF7396">
        <w:rPr>
          <w:color w:val="000000" w:themeColor="text1"/>
          <w:lang w:val="es-CR" w:eastAsia="zh-CN"/>
        </w:rPr>
        <w:t>Según el cumplimiento de las funciones del Modelo de Seguimiento y Sostenibilidad, referente a los planes de trabajo realizados de forma conjunta con la Administración Regional del Primer Circuito Judicial de la Zona Atlántica, de las personas supernumerarias asignadas a esa oficina se tienen los siguientes oficios:</w:t>
      </w:r>
    </w:p>
    <w:p w14:paraId="199D6F2C" w14:textId="77777777" w:rsidR="00CF7396" w:rsidRPr="00CF7396" w:rsidRDefault="00CF7396" w:rsidP="00CF7396">
      <w:pPr>
        <w:contextualSpacing/>
        <w:jc w:val="both"/>
        <w:rPr>
          <w:color w:val="000000" w:themeColor="text1"/>
          <w:lang w:val="es-CR" w:eastAsia="zh-CN"/>
        </w:rPr>
      </w:pPr>
    </w:p>
    <w:p w14:paraId="47BE9D90" w14:textId="77777777" w:rsidR="00CF7396" w:rsidRPr="00CF7396" w:rsidRDefault="00CF7396" w:rsidP="00CF7396">
      <w:pPr>
        <w:jc w:val="center"/>
        <w:rPr>
          <w:b/>
          <w:bCs/>
          <w:i/>
          <w:iCs/>
          <w:color w:val="000000" w:themeColor="text1"/>
          <w:lang w:val="es-CR"/>
        </w:rPr>
      </w:pPr>
      <w:r w:rsidRPr="00CF7396">
        <w:rPr>
          <w:b/>
          <w:bCs/>
          <w:i/>
          <w:iCs/>
          <w:color w:val="000000" w:themeColor="text1"/>
          <w:lang w:val="es-CR"/>
        </w:rPr>
        <w:t>Cuadro 1</w:t>
      </w:r>
    </w:p>
    <w:p w14:paraId="76AF6817" w14:textId="77777777" w:rsidR="00CF7396" w:rsidRPr="00CF7396" w:rsidRDefault="00CF7396" w:rsidP="00CF7396">
      <w:pPr>
        <w:jc w:val="center"/>
        <w:rPr>
          <w:b/>
          <w:bCs/>
          <w:i/>
          <w:iCs/>
          <w:color w:val="000000" w:themeColor="text1"/>
          <w:lang w:val="es-CR" w:eastAsia="es-CR"/>
        </w:rPr>
      </w:pPr>
      <w:r w:rsidRPr="00CF7396">
        <w:rPr>
          <w:b/>
          <w:bCs/>
          <w:i/>
          <w:iCs/>
          <w:color w:val="000000" w:themeColor="text1"/>
          <w:lang w:val="es-CR"/>
        </w:rPr>
        <w:t xml:space="preserve">Planes de Trabajo de las personas supernumerarias asignadas </w:t>
      </w:r>
      <w:r w:rsidRPr="00CF7396">
        <w:rPr>
          <w:b/>
          <w:bCs/>
          <w:i/>
          <w:iCs/>
          <w:color w:val="000000" w:themeColor="text1"/>
          <w:lang w:val="es-CR" w:eastAsia="es-CR"/>
        </w:rPr>
        <w:t xml:space="preserve">a la Administración Regional del Primer Circuito Judicial de la Zona Atlántica </w:t>
      </w:r>
    </w:p>
    <w:p w14:paraId="42391ED6" w14:textId="77777777" w:rsidR="00CF7396" w:rsidRPr="00CF7396" w:rsidRDefault="00CF7396" w:rsidP="00CF7396">
      <w:pPr>
        <w:jc w:val="center"/>
        <w:rPr>
          <w:b/>
          <w:bCs/>
          <w:i/>
          <w:iCs/>
          <w:color w:val="000000" w:themeColor="text1"/>
          <w:lang w:val="es-CR"/>
        </w:rPr>
      </w:pPr>
      <w:r w:rsidRPr="00CF7396">
        <w:rPr>
          <w:b/>
          <w:bCs/>
          <w:i/>
          <w:iCs/>
          <w:color w:val="000000" w:themeColor="text1"/>
          <w:lang w:val="es-CR"/>
        </w:rPr>
        <w:t>Período 2021</w:t>
      </w:r>
    </w:p>
    <w:p w14:paraId="2460C18C" w14:textId="77777777" w:rsidR="00CF7396" w:rsidRPr="00CF7396" w:rsidRDefault="00CF7396" w:rsidP="00CF7396">
      <w:pPr>
        <w:jc w:val="center"/>
        <w:rPr>
          <w:color w:val="000000" w:themeColor="text1"/>
          <w:lang w:val="es-CR"/>
        </w:rPr>
      </w:pPr>
    </w:p>
    <w:tbl>
      <w:tblPr>
        <w:tblW w:w="3880" w:type="dxa"/>
        <w:jc w:val="center"/>
        <w:tblCellMar>
          <w:left w:w="70" w:type="dxa"/>
          <w:right w:w="70" w:type="dxa"/>
        </w:tblCellMar>
        <w:tblLook w:val="04A0" w:firstRow="1" w:lastRow="0" w:firstColumn="1" w:lastColumn="0" w:noHBand="0" w:noVBand="1"/>
      </w:tblPr>
      <w:tblGrid>
        <w:gridCol w:w="415"/>
        <w:gridCol w:w="3465"/>
      </w:tblGrid>
      <w:tr w:rsidR="00CF7396" w:rsidRPr="00CF7396" w14:paraId="78E29742" w14:textId="77777777" w:rsidTr="00AF369B">
        <w:trPr>
          <w:trHeight w:val="552"/>
          <w:tblHeader/>
          <w:jc w:val="center"/>
        </w:trPr>
        <w:tc>
          <w:tcPr>
            <w:tcW w:w="3880" w:type="dxa"/>
            <w:gridSpan w:val="2"/>
            <w:tcBorders>
              <w:top w:val="single" w:sz="4" w:space="0" w:color="auto"/>
              <w:left w:val="single" w:sz="4" w:space="0" w:color="auto"/>
              <w:bottom w:val="single" w:sz="4" w:space="0" w:color="auto"/>
              <w:right w:val="single" w:sz="4" w:space="0" w:color="auto"/>
            </w:tcBorders>
            <w:shd w:val="clear" w:color="000000" w:fill="1F497D"/>
            <w:vAlign w:val="center"/>
            <w:hideMark/>
          </w:tcPr>
          <w:p w14:paraId="2EEDEE7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Oficio de Planes de Trabajo con personal Supernumerario durante el 2021</w:t>
            </w:r>
          </w:p>
        </w:tc>
      </w:tr>
      <w:tr w:rsidR="00CF7396" w:rsidRPr="00CF7396" w14:paraId="67B739B5"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000000" w:fill="A6A6A6"/>
            <w:noWrap/>
            <w:vAlign w:val="bottom"/>
            <w:hideMark/>
          </w:tcPr>
          <w:p w14:paraId="27D1B01F" w14:textId="77777777" w:rsidR="00CF7396" w:rsidRPr="00CF7396" w:rsidRDefault="00CF7396" w:rsidP="00CF7396">
            <w:pPr>
              <w:jc w:val="center"/>
              <w:rPr>
                <w:color w:val="000000" w:themeColor="text1"/>
                <w:lang w:val="es-CR" w:eastAsia="es-CR"/>
              </w:rPr>
            </w:pPr>
            <w:proofErr w:type="spellStart"/>
            <w:r w:rsidRPr="00CF7396">
              <w:rPr>
                <w:color w:val="000000" w:themeColor="text1"/>
                <w:lang w:val="es-CR" w:eastAsia="es-CR"/>
              </w:rPr>
              <w:t>N°</w:t>
            </w:r>
            <w:proofErr w:type="spellEnd"/>
          </w:p>
        </w:tc>
        <w:tc>
          <w:tcPr>
            <w:tcW w:w="3465" w:type="dxa"/>
            <w:tcBorders>
              <w:top w:val="nil"/>
              <w:left w:val="nil"/>
              <w:bottom w:val="single" w:sz="4" w:space="0" w:color="auto"/>
              <w:right w:val="single" w:sz="4" w:space="0" w:color="auto"/>
            </w:tcBorders>
            <w:shd w:val="clear" w:color="000000" w:fill="A6A6A6"/>
            <w:noWrap/>
            <w:vAlign w:val="bottom"/>
            <w:hideMark/>
          </w:tcPr>
          <w:p w14:paraId="325E538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Número de documento</w:t>
            </w:r>
          </w:p>
        </w:tc>
      </w:tr>
      <w:tr w:rsidR="00CF7396" w:rsidRPr="00CF7396" w14:paraId="172AE123"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7B2DC28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w:t>
            </w:r>
          </w:p>
        </w:tc>
        <w:tc>
          <w:tcPr>
            <w:tcW w:w="3465" w:type="dxa"/>
            <w:tcBorders>
              <w:top w:val="nil"/>
              <w:left w:val="nil"/>
              <w:bottom w:val="single" w:sz="4" w:space="0" w:color="auto"/>
              <w:right w:val="single" w:sz="4" w:space="0" w:color="auto"/>
            </w:tcBorders>
            <w:shd w:val="clear" w:color="auto" w:fill="auto"/>
            <w:noWrap/>
            <w:vAlign w:val="bottom"/>
            <w:hideMark/>
          </w:tcPr>
          <w:p w14:paraId="258C6C7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229-PLA-EV-TR-2021</w:t>
            </w:r>
          </w:p>
        </w:tc>
      </w:tr>
      <w:tr w:rsidR="00CF7396" w:rsidRPr="00CF7396" w14:paraId="706FBCD6"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630BBA8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w:t>
            </w:r>
          </w:p>
        </w:tc>
        <w:tc>
          <w:tcPr>
            <w:tcW w:w="3465" w:type="dxa"/>
            <w:tcBorders>
              <w:top w:val="nil"/>
              <w:left w:val="nil"/>
              <w:bottom w:val="single" w:sz="4" w:space="0" w:color="auto"/>
              <w:right w:val="single" w:sz="4" w:space="0" w:color="auto"/>
            </w:tcBorders>
            <w:shd w:val="clear" w:color="auto" w:fill="auto"/>
            <w:noWrap/>
            <w:vAlign w:val="bottom"/>
            <w:hideMark/>
          </w:tcPr>
          <w:p w14:paraId="53FEC8F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274-PLA-EV-TR-2021</w:t>
            </w:r>
          </w:p>
        </w:tc>
      </w:tr>
      <w:tr w:rsidR="00CF7396" w:rsidRPr="00CF7396" w14:paraId="5C77781C"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09AC3E2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w:t>
            </w:r>
          </w:p>
        </w:tc>
        <w:tc>
          <w:tcPr>
            <w:tcW w:w="3465" w:type="dxa"/>
            <w:tcBorders>
              <w:top w:val="nil"/>
              <w:left w:val="nil"/>
              <w:bottom w:val="single" w:sz="4" w:space="0" w:color="auto"/>
              <w:right w:val="single" w:sz="4" w:space="0" w:color="auto"/>
            </w:tcBorders>
            <w:shd w:val="clear" w:color="auto" w:fill="auto"/>
            <w:noWrap/>
            <w:vAlign w:val="bottom"/>
            <w:hideMark/>
          </w:tcPr>
          <w:p w14:paraId="2FDA157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362-PLA-EV-TR-2021</w:t>
            </w:r>
          </w:p>
        </w:tc>
      </w:tr>
      <w:tr w:rsidR="00CF7396" w:rsidRPr="00CF7396" w14:paraId="50AAAD15"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6E47B53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w:t>
            </w:r>
          </w:p>
        </w:tc>
        <w:tc>
          <w:tcPr>
            <w:tcW w:w="3465" w:type="dxa"/>
            <w:tcBorders>
              <w:top w:val="nil"/>
              <w:left w:val="nil"/>
              <w:bottom w:val="single" w:sz="4" w:space="0" w:color="auto"/>
              <w:right w:val="single" w:sz="4" w:space="0" w:color="auto"/>
            </w:tcBorders>
            <w:shd w:val="clear" w:color="auto" w:fill="auto"/>
            <w:noWrap/>
            <w:vAlign w:val="bottom"/>
            <w:hideMark/>
          </w:tcPr>
          <w:p w14:paraId="5000FB0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428-PLA-EV-TR-2021</w:t>
            </w:r>
          </w:p>
        </w:tc>
      </w:tr>
      <w:tr w:rsidR="00CF7396" w:rsidRPr="00CF7396" w14:paraId="5B0B1C43"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3EBED64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w:t>
            </w:r>
          </w:p>
        </w:tc>
        <w:tc>
          <w:tcPr>
            <w:tcW w:w="3465" w:type="dxa"/>
            <w:tcBorders>
              <w:top w:val="nil"/>
              <w:left w:val="nil"/>
              <w:bottom w:val="single" w:sz="4" w:space="0" w:color="auto"/>
              <w:right w:val="single" w:sz="4" w:space="0" w:color="auto"/>
            </w:tcBorders>
            <w:shd w:val="clear" w:color="auto" w:fill="auto"/>
            <w:noWrap/>
            <w:vAlign w:val="bottom"/>
            <w:hideMark/>
          </w:tcPr>
          <w:p w14:paraId="3A2FE90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439-PLA-EV-TR-2021</w:t>
            </w:r>
          </w:p>
        </w:tc>
      </w:tr>
      <w:tr w:rsidR="00CF7396" w:rsidRPr="00CF7396" w14:paraId="00FCE7D1"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5448201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w:t>
            </w:r>
          </w:p>
        </w:tc>
        <w:tc>
          <w:tcPr>
            <w:tcW w:w="3465" w:type="dxa"/>
            <w:tcBorders>
              <w:top w:val="nil"/>
              <w:left w:val="nil"/>
              <w:bottom w:val="single" w:sz="4" w:space="0" w:color="auto"/>
              <w:right w:val="single" w:sz="4" w:space="0" w:color="auto"/>
            </w:tcBorders>
            <w:shd w:val="clear" w:color="auto" w:fill="auto"/>
            <w:noWrap/>
            <w:vAlign w:val="bottom"/>
            <w:hideMark/>
          </w:tcPr>
          <w:p w14:paraId="6E02EAF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619-PLA-EV-TR-2021</w:t>
            </w:r>
          </w:p>
        </w:tc>
      </w:tr>
      <w:tr w:rsidR="00CF7396" w:rsidRPr="00CF7396" w14:paraId="602E9525"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0155E79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w:t>
            </w:r>
          </w:p>
        </w:tc>
        <w:tc>
          <w:tcPr>
            <w:tcW w:w="3465" w:type="dxa"/>
            <w:tcBorders>
              <w:top w:val="nil"/>
              <w:left w:val="nil"/>
              <w:bottom w:val="single" w:sz="4" w:space="0" w:color="auto"/>
              <w:right w:val="single" w:sz="4" w:space="0" w:color="auto"/>
            </w:tcBorders>
            <w:shd w:val="clear" w:color="auto" w:fill="auto"/>
            <w:noWrap/>
            <w:vAlign w:val="bottom"/>
            <w:hideMark/>
          </w:tcPr>
          <w:p w14:paraId="57A1405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668-PLA-EV-TR-2021</w:t>
            </w:r>
          </w:p>
        </w:tc>
      </w:tr>
      <w:tr w:rsidR="00CF7396" w:rsidRPr="00CF7396" w14:paraId="174AA130"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761C92D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w:t>
            </w:r>
          </w:p>
        </w:tc>
        <w:tc>
          <w:tcPr>
            <w:tcW w:w="3465" w:type="dxa"/>
            <w:tcBorders>
              <w:top w:val="nil"/>
              <w:left w:val="nil"/>
              <w:bottom w:val="single" w:sz="4" w:space="0" w:color="auto"/>
              <w:right w:val="single" w:sz="4" w:space="0" w:color="auto"/>
            </w:tcBorders>
            <w:shd w:val="clear" w:color="auto" w:fill="auto"/>
            <w:noWrap/>
            <w:vAlign w:val="bottom"/>
            <w:hideMark/>
          </w:tcPr>
          <w:p w14:paraId="413B341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831-PLA-EV-TR-2021</w:t>
            </w:r>
          </w:p>
        </w:tc>
      </w:tr>
      <w:tr w:rsidR="00CF7396" w:rsidRPr="00CF7396" w14:paraId="3F05AE59"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25167CD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w:t>
            </w:r>
          </w:p>
        </w:tc>
        <w:tc>
          <w:tcPr>
            <w:tcW w:w="3465" w:type="dxa"/>
            <w:tcBorders>
              <w:top w:val="nil"/>
              <w:left w:val="nil"/>
              <w:bottom w:val="single" w:sz="4" w:space="0" w:color="auto"/>
              <w:right w:val="single" w:sz="4" w:space="0" w:color="auto"/>
            </w:tcBorders>
            <w:shd w:val="clear" w:color="auto" w:fill="auto"/>
            <w:noWrap/>
            <w:vAlign w:val="bottom"/>
            <w:hideMark/>
          </w:tcPr>
          <w:p w14:paraId="6ABF114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1036-PLA-EV-TR-2021</w:t>
            </w:r>
          </w:p>
        </w:tc>
      </w:tr>
      <w:tr w:rsidR="00CF7396" w:rsidRPr="00CF7396" w14:paraId="2170460D"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57FE6DF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w:t>
            </w:r>
          </w:p>
        </w:tc>
        <w:tc>
          <w:tcPr>
            <w:tcW w:w="3465" w:type="dxa"/>
            <w:tcBorders>
              <w:top w:val="nil"/>
              <w:left w:val="nil"/>
              <w:bottom w:val="single" w:sz="4" w:space="0" w:color="auto"/>
              <w:right w:val="single" w:sz="4" w:space="0" w:color="auto"/>
            </w:tcBorders>
            <w:shd w:val="clear" w:color="auto" w:fill="auto"/>
            <w:noWrap/>
            <w:vAlign w:val="bottom"/>
            <w:hideMark/>
          </w:tcPr>
          <w:p w14:paraId="56CD6A3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1407-PLA-EV-TR-2021</w:t>
            </w:r>
          </w:p>
        </w:tc>
      </w:tr>
      <w:tr w:rsidR="00CF7396" w:rsidRPr="00CF7396" w14:paraId="2E5C0A16"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6B3C2F8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w:t>
            </w:r>
          </w:p>
        </w:tc>
        <w:tc>
          <w:tcPr>
            <w:tcW w:w="3465" w:type="dxa"/>
            <w:tcBorders>
              <w:top w:val="nil"/>
              <w:left w:val="nil"/>
              <w:bottom w:val="single" w:sz="4" w:space="0" w:color="auto"/>
              <w:right w:val="single" w:sz="4" w:space="0" w:color="auto"/>
            </w:tcBorders>
            <w:shd w:val="clear" w:color="auto" w:fill="auto"/>
            <w:noWrap/>
            <w:vAlign w:val="bottom"/>
            <w:hideMark/>
          </w:tcPr>
          <w:p w14:paraId="7EF8EAF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1478-PLA-EV-TR-2021</w:t>
            </w:r>
          </w:p>
        </w:tc>
      </w:tr>
      <w:tr w:rsidR="00CF7396" w:rsidRPr="00CF7396" w14:paraId="1BDA3B2B"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1BFBB28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w:t>
            </w:r>
          </w:p>
        </w:tc>
        <w:tc>
          <w:tcPr>
            <w:tcW w:w="3465" w:type="dxa"/>
            <w:tcBorders>
              <w:top w:val="nil"/>
              <w:left w:val="nil"/>
              <w:bottom w:val="single" w:sz="4" w:space="0" w:color="auto"/>
              <w:right w:val="single" w:sz="4" w:space="0" w:color="auto"/>
            </w:tcBorders>
            <w:shd w:val="clear" w:color="auto" w:fill="auto"/>
            <w:noWrap/>
            <w:vAlign w:val="bottom"/>
            <w:hideMark/>
          </w:tcPr>
          <w:p w14:paraId="21FDACC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1749-PLA-EV-TR-2021</w:t>
            </w:r>
          </w:p>
        </w:tc>
      </w:tr>
      <w:tr w:rsidR="00CF7396" w:rsidRPr="00CF7396" w14:paraId="428827C4"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1E1C912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w:t>
            </w:r>
          </w:p>
        </w:tc>
        <w:tc>
          <w:tcPr>
            <w:tcW w:w="3465" w:type="dxa"/>
            <w:tcBorders>
              <w:top w:val="nil"/>
              <w:left w:val="nil"/>
              <w:bottom w:val="single" w:sz="4" w:space="0" w:color="auto"/>
              <w:right w:val="single" w:sz="4" w:space="0" w:color="auto"/>
            </w:tcBorders>
            <w:shd w:val="clear" w:color="auto" w:fill="auto"/>
            <w:noWrap/>
            <w:vAlign w:val="bottom"/>
            <w:hideMark/>
          </w:tcPr>
          <w:p w14:paraId="48FA39C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1806-PLA-EV-TR-2021</w:t>
            </w:r>
          </w:p>
        </w:tc>
      </w:tr>
      <w:tr w:rsidR="00CF7396" w:rsidRPr="00CF7396" w14:paraId="34FD3ACD"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7C6A702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w:t>
            </w:r>
          </w:p>
        </w:tc>
        <w:tc>
          <w:tcPr>
            <w:tcW w:w="3465" w:type="dxa"/>
            <w:tcBorders>
              <w:top w:val="nil"/>
              <w:left w:val="nil"/>
              <w:bottom w:val="single" w:sz="4" w:space="0" w:color="auto"/>
              <w:right w:val="single" w:sz="4" w:space="0" w:color="auto"/>
            </w:tcBorders>
            <w:shd w:val="clear" w:color="auto" w:fill="auto"/>
            <w:noWrap/>
            <w:vAlign w:val="bottom"/>
            <w:hideMark/>
          </w:tcPr>
          <w:p w14:paraId="1A5E76B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1966-PLA-EV-TR-2021</w:t>
            </w:r>
          </w:p>
        </w:tc>
      </w:tr>
      <w:tr w:rsidR="00CF7396" w:rsidRPr="00CF7396" w14:paraId="4882FE1B"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71C588A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w:t>
            </w:r>
          </w:p>
        </w:tc>
        <w:tc>
          <w:tcPr>
            <w:tcW w:w="3465" w:type="dxa"/>
            <w:tcBorders>
              <w:top w:val="nil"/>
              <w:left w:val="nil"/>
              <w:bottom w:val="single" w:sz="4" w:space="0" w:color="auto"/>
              <w:right w:val="single" w:sz="4" w:space="0" w:color="auto"/>
            </w:tcBorders>
            <w:shd w:val="clear" w:color="auto" w:fill="auto"/>
            <w:noWrap/>
            <w:vAlign w:val="bottom"/>
            <w:hideMark/>
          </w:tcPr>
          <w:p w14:paraId="4218B27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2197-PLA-EV-TR-2021</w:t>
            </w:r>
          </w:p>
        </w:tc>
      </w:tr>
      <w:tr w:rsidR="00CF7396" w:rsidRPr="00CF7396" w14:paraId="7C45B2CA"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645B363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w:t>
            </w:r>
          </w:p>
        </w:tc>
        <w:tc>
          <w:tcPr>
            <w:tcW w:w="3465" w:type="dxa"/>
            <w:tcBorders>
              <w:top w:val="nil"/>
              <w:left w:val="nil"/>
              <w:bottom w:val="single" w:sz="4" w:space="0" w:color="auto"/>
              <w:right w:val="single" w:sz="4" w:space="0" w:color="auto"/>
            </w:tcBorders>
            <w:shd w:val="clear" w:color="auto" w:fill="auto"/>
            <w:noWrap/>
            <w:vAlign w:val="bottom"/>
            <w:hideMark/>
          </w:tcPr>
          <w:p w14:paraId="1A3B9EB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2225-PLA-EV-TR-2021</w:t>
            </w:r>
          </w:p>
        </w:tc>
      </w:tr>
      <w:tr w:rsidR="00CF7396" w:rsidRPr="00CF7396" w14:paraId="6AFAFF5C"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18E8F26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w:t>
            </w:r>
          </w:p>
        </w:tc>
        <w:tc>
          <w:tcPr>
            <w:tcW w:w="3465" w:type="dxa"/>
            <w:tcBorders>
              <w:top w:val="nil"/>
              <w:left w:val="nil"/>
              <w:bottom w:val="single" w:sz="4" w:space="0" w:color="auto"/>
              <w:right w:val="single" w:sz="4" w:space="0" w:color="auto"/>
            </w:tcBorders>
            <w:shd w:val="clear" w:color="auto" w:fill="auto"/>
            <w:noWrap/>
            <w:vAlign w:val="bottom"/>
            <w:hideMark/>
          </w:tcPr>
          <w:p w14:paraId="3BA95A5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2450-PLA-EV-TR-2021</w:t>
            </w:r>
          </w:p>
        </w:tc>
      </w:tr>
      <w:tr w:rsidR="00CF7396" w:rsidRPr="00CF7396" w14:paraId="30B9908F" w14:textId="77777777" w:rsidTr="00AF369B">
        <w:trPr>
          <w:trHeight w:val="300"/>
          <w:jc w:val="center"/>
        </w:trPr>
        <w:tc>
          <w:tcPr>
            <w:tcW w:w="415" w:type="dxa"/>
            <w:tcBorders>
              <w:top w:val="nil"/>
              <w:left w:val="single" w:sz="4" w:space="0" w:color="auto"/>
              <w:bottom w:val="single" w:sz="4" w:space="0" w:color="auto"/>
              <w:right w:val="single" w:sz="4" w:space="0" w:color="auto"/>
            </w:tcBorders>
            <w:shd w:val="clear" w:color="auto" w:fill="auto"/>
            <w:noWrap/>
            <w:vAlign w:val="bottom"/>
            <w:hideMark/>
          </w:tcPr>
          <w:p w14:paraId="3A236B2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w:t>
            </w:r>
          </w:p>
        </w:tc>
        <w:tc>
          <w:tcPr>
            <w:tcW w:w="3465" w:type="dxa"/>
            <w:tcBorders>
              <w:top w:val="nil"/>
              <w:left w:val="nil"/>
              <w:bottom w:val="single" w:sz="4" w:space="0" w:color="auto"/>
              <w:right w:val="single" w:sz="4" w:space="0" w:color="auto"/>
            </w:tcBorders>
            <w:shd w:val="clear" w:color="auto" w:fill="auto"/>
            <w:noWrap/>
            <w:vAlign w:val="bottom"/>
            <w:hideMark/>
          </w:tcPr>
          <w:p w14:paraId="7BD18A7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2601-PLA-EV-TR-2021</w:t>
            </w:r>
          </w:p>
        </w:tc>
      </w:tr>
    </w:tbl>
    <w:p w14:paraId="59EB80B6" w14:textId="77777777" w:rsidR="00CF7396" w:rsidRPr="00CF7396" w:rsidRDefault="00CF7396" w:rsidP="00CF7396">
      <w:pPr>
        <w:tabs>
          <w:tab w:val="left" w:pos="3631"/>
        </w:tabs>
        <w:ind w:left="1276"/>
        <w:contextualSpacing/>
        <w:rPr>
          <w:color w:val="000000" w:themeColor="text1"/>
          <w:lang w:val="es-CR" w:eastAsia="zh-CN"/>
        </w:rPr>
      </w:pPr>
      <w:r w:rsidRPr="00CF7396">
        <w:rPr>
          <w:b/>
          <w:bCs/>
          <w:color w:val="000000" w:themeColor="text1"/>
          <w:lang w:val="es-CR" w:eastAsia="zh-CN"/>
        </w:rPr>
        <w:lastRenderedPageBreak/>
        <w:t>Nota:</w:t>
      </w:r>
      <w:r w:rsidRPr="00CF7396">
        <w:rPr>
          <w:color w:val="000000" w:themeColor="text1"/>
          <w:lang w:val="es-CR" w:eastAsia="zh-CN"/>
        </w:rPr>
        <w:t xml:space="preserve"> Incluye planes de trabajo, modificaciones y ampliaciones de estos.</w:t>
      </w:r>
      <w:r w:rsidRPr="00CF7396">
        <w:rPr>
          <w:color w:val="000000" w:themeColor="text1"/>
          <w:lang w:val="es-CR" w:eastAsia="zh-CN"/>
        </w:rPr>
        <w:tab/>
      </w:r>
    </w:p>
    <w:p w14:paraId="3AB599E3" w14:textId="77777777" w:rsidR="00CF7396" w:rsidRPr="00CF7396" w:rsidRDefault="00CF7396" w:rsidP="00CF7396">
      <w:pPr>
        <w:tabs>
          <w:tab w:val="left" w:pos="3631"/>
        </w:tabs>
        <w:ind w:left="1276"/>
        <w:contextualSpacing/>
        <w:rPr>
          <w:i/>
          <w:iCs/>
          <w:color w:val="000000" w:themeColor="text1"/>
          <w:lang w:val="es-CR" w:eastAsia="zh-CN"/>
        </w:rPr>
      </w:pPr>
      <w:r w:rsidRPr="00CF7396">
        <w:rPr>
          <w:b/>
          <w:bCs/>
          <w:i/>
          <w:iCs/>
          <w:color w:val="000000" w:themeColor="text1"/>
          <w:lang w:val="es-CR" w:eastAsia="zh-CN"/>
        </w:rPr>
        <w:t>Fuente:</w:t>
      </w:r>
      <w:r w:rsidRPr="00CF7396">
        <w:rPr>
          <w:i/>
          <w:iCs/>
          <w:color w:val="000000" w:themeColor="text1"/>
          <w:lang w:val="es-CR" w:eastAsia="zh-CN"/>
        </w:rPr>
        <w:t xml:space="preserve"> Elaboración propia.</w:t>
      </w:r>
    </w:p>
    <w:p w14:paraId="63DD7626" w14:textId="77777777" w:rsidR="00CF7396" w:rsidRPr="00CF7396" w:rsidRDefault="00CF7396" w:rsidP="00CF7396">
      <w:pPr>
        <w:contextualSpacing/>
        <w:jc w:val="both"/>
        <w:rPr>
          <w:color w:val="000000" w:themeColor="text1"/>
          <w:lang w:val="es-CR" w:eastAsia="zh-CN"/>
        </w:rPr>
      </w:pPr>
    </w:p>
    <w:p w14:paraId="420A8418" w14:textId="77777777" w:rsidR="00CF7396" w:rsidRPr="00CF7396" w:rsidRDefault="00CF7396" w:rsidP="00CF7396">
      <w:pPr>
        <w:ind w:left="851" w:right="851" w:firstLine="709"/>
        <w:contextualSpacing/>
        <w:jc w:val="both"/>
        <w:rPr>
          <w:color w:val="000000" w:themeColor="text1"/>
          <w:lang w:val="es-CR" w:eastAsia="zh-CN"/>
        </w:rPr>
      </w:pPr>
      <w:r w:rsidRPr="00CF7396">
        <w:rPr>
          <w:color w:val="000000" w:themeColor="text1"/>
          <w:lang w:val="es-CR" w:eastAsia="zh-CN"/>
        </w:rPr>
        <w:t>En total durante el 2021 se realizaron 18 planes de trabajo con personas técnicas y supernumerarias los cuales también contemplan modificaciones o ampliaciones a los mismos. Los planes fueron para apoyar a diversas oficinas del Primer Circuito Judicial de la Zona Atlántica, en el apartado 6 se ampliará el tema.</w:t>
      </w:r>
    </w:p>
    <w:p w14:paraId="287A62F7" w14:textId="77777777" w:rsidR="00CF7396" w:rsidRPr="00CF7396" w:rsidRDefault="00CF7396" w:rsidP="00CF7396">
      <w:pPr>
        <w:ind w:left="851" w:right="851" w:firstLine="709"/>
        <w:contextualSpacing/>
        <w:jc w:val="both"/>
        <w:rPr>
          <w:color w:val="000000" w:themeColor="text1"/>
          <w:lang w:val="es-CR" w:eastAsia="zh-CN"/>
        </w:rPr>
      </w:pPr>
    </w:p>
    <w:p w14:paraId="7A3353D3" w14:textId="77777777" w:rsidR="00CF7396" w:rsidRPr="00CF7396" w:rsidRDefault="00CF7396" w:rsidP="00CF7396">
      <w:pPr>
        <w:numPr>
          <w:ilvl w:val="0"/>
          <w:numId w:val="38"/>
        </w:numPr>
        <w:ind w:left="851" w:right="851" w:firstLine="709"/>
        <w:contextualSpacing/>
        <w:jc w:val="both"/>
        <w:rPr>
          <w:color w:val="000000" w:themeColor="text1"/>
          <w:lang w:val="es-CR" w:eastAsia="zh-CN"/>
        </w:rPr>
      </w:pPr>
      <w:r w:rsidRPr="00CF7396">
        <w:rPr>
          <w:color w:val="000000" w:themeColor="text1"/>
          <w:lang w:val="es-CR" w:eastAsia="zh-CN"/>
        </w:rPr>
        <w:t>Por otro lado, dentro de las funciones del Modelo de Seguimiento y Sostenibilidad se encuentra la participación en las sesiones del Consejo de Administración del Primer Circuito Judicial de la Zona Atlántica, durante el 2021 se realizaron las siguientes presentaciones:</w:t>
      </w:r>
    </w:p>
    <w:p w14:paraId="1E23CB67" w14:textId="77777777" w:rsidR="00CF7396" w:rsidRPr="00CF7396" w:rsidRDefault="00CF7396" w:rsidP="00CF7396">
      <w:pPr>
        <w:ind w:left="720"/>
        <w:contextualSpacing/>
        <w:jc w:val="both"/>
        <w:rPr>
          <w:color w:val="000000" w:themeColor="text1"/>
          <w:lang w:val="es-CR" w:eastAsia="zh-CN"/>
        </w:rPr>
      </w:pPr>
    </w:p>
    <w:p w14:paraId="5E3EEABC" w14:textId="77777777" w:rsidR="00CF7396" w:rsidRPr="00CF7396" w:rsidRDefault="00CF7396" w:rsidP="00CF7396">
      <w:pPr>
        <w:jc w:val="center"/>
        <w:rPr>
          <w:b/>
          <w:bCs/>
          <w:i/>
          <w:iCs/>
          <w:color w:val="000000" w:themeColor="text1"/>
          <w:lang w:val="es-CR"/>
        </w:rPr>
      </w:pPr>
      <w:r w:rsidRPr="00CF7396">
        <w:rPr>
          <w:b/>
          <w:bCs/>
          <w:i/>
          <w:iCs/>
          <w:color w:val="000000" w:themeColor="text1"/>
          <w:lang w:val="es-CR"/>
        </w:rPr>
        <w:t>Cuadro 2</w:t>
      </w:r>
    </w:p>
    <w:p w14:paraId="2EC0109B" w14:textId="77777777" w:rsidR="00CF7396" w:rsidRPr="00CF7396" w:rsidRDefault="00CF7396" w:rsidP="00CF7396">
      <w:pPr>
        <w:jc w:val="center"/>
        <w:rPr>
          <w:b/>
          <w:bCs/>
          <w:i/>
          <w:iCs/>
          <w:color w:val="000000" w:themeColor="text1"/>
          <w:lang w:val="es-CR" w:eastAsia="es-CR"/>
        </w:rPr>
      </w:pPr>
      <w:r w:rsidRPr="00CF7396">
        <w:rPr>
          <w:b/>
          <w:bCs/>
          <w:i/>
          <w:iCs/>
          <w:color w:val="000000" w:themeColor="text1"/>
          <w:lang w:val="es-CR" w:eastAsia="zh-CN"/>
        </w:rPr>
        <w:t xml:space="preserve">Participaciones en el Consejo de Administración </w:t>
      </w:r>
      <w:r w:rsidRPr="00CF7396">
        <w:rPr>
          <w:b/>
          <w:bCs/>
          <w:i/>
          <w:iCs/>
          <w:color w:val="000000" w:themeColor="text1"/>
          <w:lang w:val="es-CR" w:eastAsia="es-CR"/>
        </w:rPr>
        <w:t xml:space="preserve">del </w:t>
      </w:r>
    </w:p>
    <w:p w14:paraId="1949C9C7" w14:textId="77777777" w:rsidR="00CF7396" w:rsidRPr="00CF7396" w:rsidRDefault="00CF7396" w:rsidP="00CF7396">
      <w:pPr>
        <w:jc w:val="center"/>
        <w:rPr>
          <w:b/>
          <w:bCs/>
          <w:i/>
          <w:iCs/>
          <w:color w:val="000000" w:themeColor="text1"/>
          <w:lang w:val="es-CR" w:eastAsia="zh-CN"/>
        </w:rPr>
      </w:pPr>
      <w:r w:rsidRPr="00CF7396">
        <w:rPr>
          <w:b/>
          <w:bCs/>
          <w:i/>
          <w:iCs/>
          <w:color w:val="000000" w:themeColor="text1"/>
          <w:lang w:val="es-CR" w:eastAsia="es-CR"/>
        </w:rPr>
        <w:t>Primer Circuito Judicial de la Zona Atlántica</w:t>
      </w:r>
    </w:p>
    <w:p w14:paraId="3ECE8500" w14:textId="77777777" w:rsidR="00CF7396" w:rsidRPr="00CF7396" w:rsidRDefault="00CF7396" w:rsidP="00CF7396">
      <w:pPr>
        <w:jc w:val="center"/>
        <w:rPr>
          <w:b/>
          <w:bCs/>
          <w:i/>
          <w:iCs/>
          <w:color w:val="000000" w:themeColor="text1"/>
          <w:lang w:val="es-CR" w:eastAsia="zh-CN"/>
        </w:rPr>
      </w:pPr>
      <w:r w:rsidRPr="00CF7396">
        <w:rPr>
          <w:b/>
          <w:bCs/>
          <w:i/>
          <w:iCs/>
          <w:color w:val="000000" w:themeColor="text1"/>
          <w:lang w:val="es-CR" w:eastAsia="zh-CN"/>
        </w:rPr>
        <w:t>Período 2021</w:t>
      </w:r>
    </w:p>
    <w:tbl>
      <w:tblPr>
        <w:tblW w:w="3681" w:type="dxa"/>
        <w:jc w:val="center"/>
        <w:tblCellMar>
          <w:left w:w="70" w:type="dxa"/>
          <w:right w:w="70" w:type="dxa"/>
        </w:tblCellMar>
        <w:tblLook w:val="04A0" w:firstRow="1" w:lastRow="0" w:firstColumn="1" w:lastColumn="0" w:noHBand="0" w:noVBand="1"/>
      </w:tblPr>
      <w:tblGrid>
        <w:gridCol w:w="456"/>
        <w:gridCol w:w="3225"/>
      </w:tblGrid>
      <w:tr w:rsidR="00CF7396" w:rsidRPr="00CF7396" w14:paraId="594018F8" w14:textId="77777777" w:rsidTr="00AF369B">
        <w:trPr>
          <w:trHeight w:val="980"/>
          <w:tblHeader/>
          <w:jc w:val="center"/>
        </w:trPr>
        <w:tc>
          <w:tcPr>
            <w:tcW w:w="3681" w:type="dxa"/>
            <w:gridSpan w:val="2"/>
            <w:tcBorders>
              <w:top w:val="single" w:sz="4" w:space="0" w:color="auto"/>
              <w:left w:val="single" w:sz="4" w:space="0" w:color="auto"/>
              <w:bottom w:val="single" w:sz="4" w:space="0" w:color="auto"/>
              <w:right w:val="single" w:sz="4" w:space="0" w:color="auto"/>
            </w:tcBorders>
            <w:shd w:val="clear" w:color="000000" w:fill="244062"/>
            <w:vAlign w:val="center"/>
            <w:hideMark/>
          </w:tcPr>
          <w:p w14:paraId="13D12333"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Presentaciones realizadas al Consejo de Administración del Primer Circuito Judicial de la Zona Atlántica Período 2021</w:t>
            </w:r>
          </w:p>
        </w:tc>
      </w:tr>
      <w:tr w:rsidR="00CF7396" w:rsidRPr="00CF7396" w14:paraId="409EF997" w14:textId="77777777" w:rsidTr="00AF369B">
        <w:trPr>
          <w:trHeight w:val="300"/>
          <w:jc w:val="center"/>
        </w:trPr>
        <w:tc>
          <w:tcPr>
            <w:tcW w:w="456" w:type="dxa"/>
            <w:tcBorders>
              <w:top w:val="nil"/>
              <w:left w:val="single" w:sz="4" w:space="0" w:color="auto"/>
              <w:bottom w:val="single" w:sz="4" w:space="0" w:color="auto"/>
              <w:right w:val="single" w:sz="4" w:space="0" w:color="auto"/>
            </w:tcBorders>
            <w:shd w:val="clear" w:color="000000" w:fill="BFBFBF"/>
            <w:noWrap/>
            <w:vAlign w:val="bottom"/>
            <w:hideMark/>
          </w:tcPr>
          <w:p w14:paraId="0B0AB9D7" w14:textId="77777777" w:rsidR="00CF7396" w:rsidRPr="00CF7396" w:rsidRDefault="00CF7396" w:rsidP="00CF7396">
            <w:pPr>
              <w:jc w:val="center"/>
              <w:rPr>
                <w:color w:val="000000" w:themeColor="text1"/>
                <w:lang w:val="es-CR" w:eastAsia="es-CR"/>
              </w:rPr>
            </w:pPr>
            <w:proofErr w:type="spellStart"/>
            <w:r w:rsidRPr="00CF7396">
              <w:rPr>
                <w:color w:val="000000" w:themeColor="text1"/>
                <w:lang w:val="es-CR" w:eastAsia="es-CR"/>
              </w:rPr>
              <w:t>N°</w:t>
            </w:r>
            <w:proofErr w:type="spellEnd"/>
          </w:p>
        </w:tc>
        <w:tc>
          <w:tcPr>
            <w:tcW w:w="3225" w:type="dxa"/>
            <w:tcBorders>
              <w:top w:val="nil"/>
              <w:left w:val="nil"/>
              <w:bottom w:val="single" w:sz="4" w:space="0" w:color="auto"/>
              <w:right w:val="single" w:sz="4" w:space="0" w:color="auto"/>
            </w:tcBorders>
            <w:shd w:val="clear" w:color="000000" w:fill="BFBFBF"/>
            <w:noWrap/>
            <w:vAlign w:val="bottom"/>
            <w:hideMark/>
          </w:tcPr>
          <w:p w14:paraId="3588151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Número de documento</w:t>
            </w:r>
          </w:p>
        </w:tc>
      </w:tr>
      <w:tr w:rsidR="00CF7396" w:rsidRPr="00CF7396" w14:paraId="789223E2" w14:textId="77777777" w:rsidTr="00AF369B">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2DD9D99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w:t>
            </w:r>
          </w:p>
        </w:tc>
        <w:tc>
          <w:tcPr>
            <w:tcW w:w="3225" w:type="dxa"/>
            <w:tcBorders>
              <w:top w:val="nil"/>
              <w:left w:val="nil"/>
              <w:bottom w:val="single" w:sz="4" w:space="0" w:color="auto"/>
              <w:right w:val="single" w:sz="4" w:space="0" w:color="auto"/>
            </w:tcBorders>
            <w:shd w:val="clear" w:color="auto" w:fill="auto"/>
            <w:noWrap/>
            <w:vAlign w:val="bottom"/>
            <w:hideMark/>
          </w:tcPr>
          <w:p w14:paraId="197D577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418-PLA-EV-TR-2021</w:t>
            </w:r>
          </w:p>
        </w:tc>
      </w:tr>
      <w:tr w:rsidR="00CF7396" w:rsidRPr="00CF7396" w14:paraId="0B4D5B45" w14:textId="77777777" w:rsidTr="00AF369B">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19778E4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w:t>
            </w:r>
          </w:p>
        </w:tc>
        <w:tc>
          <w:tcPr>
            <w:tcW w:w="3225" w:type="dxa"/>
            <w:tcBorders>
              <w:top w:val="nil"/>
              <w:left w:val="nil"/>
              <w:bottom w:val="single" w:sz="4" w:space="0" w:color="auto"/>
              <w:right w:val="single" w:sz="4" w:space="0" w:color="auto"/>
            </w:tcBorders>
            <w:shd w:val="clear" w:color="auto" w:fill="auto"/>
            <w:noWrap/>
            <w:vAlign w:val="bottom"/>
            <w:hideMark/>
          </w:tcPr>
          <w:p w14:paraId="1A996F3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859-PLA-EV-TR-2021</w:t>
            </w:r>
          </w:p>
        </w:tc>
      </w:tr>
      <w:tr w:rsidR="00CF7396" w:rsidRPr="00CF7396" w14:paraId="7CCEBC60" w14:textId="77777777" w:rsidTr="00AF369B">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31B30CF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w:t>
            </w:r>
          </w:p>
        </w:tc>
        <w:tc>
          <w:tcPr>
            <w:tcW w:w="3225" w:type="dxa"/>
            <w:tcBorders>
              <w:top w:val="nil"/>
              <w:left w:val="nil"/>
              <w:bottom w:val="single" w:sz="4" w:space="0" w:color="auto"/>
              <w:right w:val="single" w:sz="4" w:space="0" w:color="auto"/>
            </w:tcBorders>
            <w:shd w:val="clear" w:color="auto" w:fill="auto"/>
            <w:noWrap/>
            <w:vAlign w:val="bottom"/>
            <w:hideMark/>
          </w:tcPr>
          <w:p w14:paraId="3D04D0E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860-PLA-EV-TR-2021</w:t>
            </w:r>
          </w:p>
        </w:tc>
      </w:tr>
      <w:tr w:rsidR="00CF7396" w:rsidRPr="00CF7396" w14:paraId="0B4AC669" w14:textId="77777777" w:rsidTr="00AF369B">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221DB14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w:t>
            </w:r>
          </w:p>
        </w:tc>
        <w:tc>
          <w:tcPr>
            <w:tcW w:w="3225" w:type="dxa"/>
            <w:tcBorders>
              <w:top w:val="nil"/>
              <w:left w:val="nil"/>
              <w:bottom w:val="single" w:sz="4" w:space="0" w:color="auto"/>
              <w:right w:val="single" w:sz="4" w:space="0" w:color="auto"/>
            </w:tcBorders>
            <w:shd w:val="clear" w:color="auto" w:fill="auto"/>
            <w:noWrap/>
            <w:vAlign w:val="bottom"/>
            <w:hideMark/>
          </w:tcPr>
          <w:p w14:paraId="6825C02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1073-PLA-EV-TR-2021</w:t>
            </w:r>
          </w:p>
        </w:tc>
      </w:tr>
      <w:tr w:rsidR="00CF7396" w:rsidRPr="00CF7396" w14:paraId="06974ED0" w14:textId="77777777" w:rsidTr="00AF369B">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4EAA5CD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w:t>
            </w:r>
          </w:p>
        </w:tc>
        <w:tc>
          <w:tcPr>
            <w:tcW w:w="3225" w:type="dxa"/>
            <w:tcBorders>
              <w:top w:val="nil"/>
              <w:left w:val="nil"/>
              <w:bottom w:val="single" w:sz="4" w:space="0" w:color="auto"/>
              <w:right w:val="single" w:sz="4" w:space="0" w:color="auto"/>
            </w:tcBorders>
            <w:shd w:val="clear" w:color="auto" w:fill="auto"/>
            <w:noWrap/>
            <w:vAlign w:val="bottom"/>
            <w:hideMark/>
          </w:tcPr>
          <w:p w14:paraId="78B9AFB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1775-PLA-EV-TR-2021</w:t>
            </w:r>
          </w:p>
        </w:tc>
      </w:tr>
      <w:tr w:rsidR="00CF7396" w:rsidRPr="00CF7396" w14:paraId="692F322E" w14:textId="77777777" w:rsidTr="00AF369B">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75B725C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w:t>
            </w:r>
          </w:p>
        </w:tc>
        <w:tc>
          <w:tcPr>
            <w:tcW w:w="3225" w:type="dxa"/>
            <w:tcBorders>
              <w:top w:val="nil"/>
              <w:left w:val="nil"/>
              <w:bottom w:val="single" w:sz="4" w:space="0" w:color="auto"/>
              <w:right w:val="single" w:sz="4" w:space="0" w:color="auto"/>
            </w:tcBorders>
            <w:shd w:val="clear" w:color="auto" w:fill="auto"/>
            <w:noWrap/>
            <w:vAlign w:val="bottom"/>
            <w:hideMark/>
          </w:tcPr>
          <w:p w14:paraId="0E302CB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1958-PLA-EV-TR-2021</w:t>
            </w:r>
          </w:p>
        </w:tc>
      </w:tr>
      <w:tr w:rsidR="00CF7396" w:rsidRPr="00CF7396" w14:paraId="4ED2B6C1" w14:textId="77777777" w:rsidTr="00AF369B">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52A4EB2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w:t>
            </w:r>
          </w:p>
        </w:tc>
        <w:tc>
          <w:tcPr>
            <w:tcW w:w="3225" w:type="dxa"/>
            <w:tcBorders>
              <w:top w:val="nil"/>
              <w:left w:val="nil"/>
              <w:bottom w:val="single" w:sz="4" w:space="0" w:color="auto"/>
              <w:right w:val="single" w:sz="4" w:space="0" w:color="auto"/>
            </w:tcBorders>
            <w:shd w:val="clear" w:color="auto" w:fill="auto"/>
            <w:noWrap/>
            <w:vAlign w:val="bottom"/>
            <w:hideMark/>
          </w:tcPr>
          <w:p w14:paraId="1BDED65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1968-PLA-EV-TR-2021</w:t>
            </w:r>
          </w:p>
        </w:tc>
      </w:tr>
      <w:tr w:rsidR="00CF7396" w:rsidRPr="00CF7396" w14:paraId="3D9FF144" w14:textId="77777777" w:rsidTr="00AF369B">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04B9E57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w:t>
            </w:r>
          </w:p>
        </w:tc>
        <w:tc>
          <w:tcPr>
            <w:tcW w:w="3225" w:type="dxa"/>
            <w:tcBorders>
              <w:top w:val="nil"/>
              <w:left w:val="nil"/>
              <w:bottom w:val="single" w:sz="4" w:space="0" w:color="auto"/>
              <w:right w:val="single" w:sz="4" w:space="0" w:color="auto"/>
            </w:tcBorders>
            <w:shd w:val="clear" w:color="auto" w:fill="auto"/>
            <w:noWrap/>
            <w:vAlign w:val="bottom"/>
            <w:hideMark/>
          </w:tcPr>
          <w:p w14:paraId="6AA456B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1970-PLA-EV-TR-2021</w:t>
            </w:r>
          </w:p>
        </w:tc>
      </w:tr>
      <w:tr w:rsidR="00CF7396" w:rsidRPr="00CF7396" w14:paraId="4CB06806" w14:textId="77777777" w:rsidTr="00AF369B">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3BF7936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w:t>
            </w:r>
          </w:p>
        </w:tc>
        <w:tc>
          <w:tcPr>
            <w:tcW w:w="3225" w:type="dxa"/>
            <w:tcBorders>
              <w:top w:val="nil"/>
              <w:left w:val="nil"/>
              <w:bottom w:val="single" w:sz="4" w:space="0" w:color="auto"/>
              <w:right w:val="single" w:sz="4" w:space="0" w:color="auto"/>
            </w:tcBorders>
            <w:shd w:val="clear" w:color="auto" w:fill="auto"/>
            <w:noWrap/>
            <w:vAlign w:val="bottom"/>
            <w:hideMark/>
          </w:tcPr>
          <w:p w14:paraId="23DF684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2248-PLA-EV-TR-2021</w:t>
            </w:r>
          </w:p>
        </w:tc>
      </w:tr>
      <w:tr w:rsidR="00CF7396" w:rsidRPr="00CF7396" w14:paraId="725EF4D5" w14:textId="77777777" w:rsidTr="00AF369B">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26938E2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w:t>
            </w:r>
          </w:p>
        </w:tc>
        <w:tc>
          <w:tcPr>
            <w:tcW w:w="3225" w:type="dxa"/>
            <w:tcBorders>
              <w:top w:val="nil"/>
              <w:left w:val="nil"/>
              <w:bottom w:val="single" w:sz="4" w:space="0" w:color="auto"/>
              <w:right w:val="single" w:sz="4" w:space="0" w:color="auto"/>
            </w:tcBorders>
            <w:shd w:val="clear" w:color="auto" w:fill="auto"/>
            <w:noWrap/>
            <w:vAlign w:val="bottom"/>
            <w:hideMark/>
          </w:tcPr>
          <w:p w14:paraId="05C1AEE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2421-PLA-EV-TR-2021</w:t>
            </w:r>
          </w:p>
        </w:tc>
      </w:tr>
      <w:tr w:rsidR="00CF7396" w:rsidRPr="00CF7396" w14:paraId="5501BBB4" w14:textId="77777777" w:rsidTr="00AF369B">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3FE37C5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w:t>
            </w:r>
          </w:p>
        </w:tc>
        <w:tc>
          <w:tcPr>
            <w:tcW w:w="3225" w:type="dxa"/>
            <w:tcBorders>
              <w:top w:val="nil"/>
              <w:left w:val="nil"/>
              <w:bottom w:val="single" w:sz="4" w:space="0" w:color="auto"/>
              <w:right w:val="single" w:sz="4" w:space="0" w:color="auto"/>
            </w:tcBorders>
            <w:shd w:val="clear" w:color="auto" w:fill="auto"/>
            <w:noWrap/>
            <w:vAlign w:val="bottom"/>
            <w:hideMark/>
          </w:tcPr>
          <w:p w14:paraId="15255A3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2637-PLA-EV-TR-2021</w:t>
            </w:r>
          </w:p>
        </w:tc>
      </w:tr>
      <w:tr w:rsidR="00CF7396" w:rsidRPr="00CF7396" w14:paraId="6B57D1BA" w14:textId="77777777" w:rsidTr="00AF369B">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14:paraId="3E8AC12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w:t>
            </w:r>
          </w:p>
        </w:tc>
        <w:tc>
          <w:tcPr>
            <w:tcW w:w="3225" w:type="dxa"/>
            <w:tcBorders>
              <w:top w:val="nil"/>
              <w:left w:val="nil"/>
              <w:bottom w:val="single" w:sz="4" w:space="0" w:color="auto"/>
              <w:right w:val="single" w:sz="4" w:space="0" w:color="auto"/>
            </w:tcBorders>
            <w:shd w:val="clear" w:color="auto" w:fill="auto"/>
            <w:noWrap/>
            <w:vAlign w:val="bottom"/>
            <w:hideMark/>
          </w:tcPr>
          <w:p w14:paraId="6C21E4E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2785-PLA-EV-TR-2021</w:t>
            </w:r>
          </w:p>
        </w:tc>
      </w:tr>
    </w:tbl>
    <w:p w14:paraId="2315BBFE" w14:textId="77777777" w:rsidR="00CF7396" w:rsidRPr="00CF7396" w:rsidRDefault="00CF7396" w:rsidP="00CF7396">
      <w:pPr>
        <w:jc w:val="center"/>
        <w:rPr>
          <w:i/>
          <w:iCs/>
          <w:color w:val="000000" w:themeColor="text1"/>
          <w:lang w:val="es-CR" w:eastAsia="zh-CN"/>
        </w:rPr>
      </w:pPr>
      <w:r w:rsidRPr="00CF7396">
        <w:rPr>
          <w:b/>
          <w:bCs/>
          <w:i/>
          <w:iCs/>
          <w:color w:val="000000" w:themeColor="text1"/>
          <w:lang w:val="es-CR" w:eastAsia="zh-CN"/>
        </w:rPr>
        <w:t>Fuente:</w:t>
      </w:r>
      <w:r w:rsidRPr="00CF7396">
        <w:rPr>
          <w:i/>
          <w:iCs/>
          <w:color w:val="000000" w:themeColor="text1"/>
          <w:lang w:val="es-CR" w:eastAsia="zh-CN"/>
        </w:rPr>
        <w:t xml:space="preserve"> Elaboración propia.</w:t>
      </w:r>
    </w:p>
    <w:p w14:paraId="13D9B6A6" w14:textId="77777777" w:rsidR="00CF7396" w:rsidRPr="00CF7396" w:rsidRDefault="00CF7396" w:rsidP="00CF7396">
      <w:pPr>
        <w:jc w:val="center"/>
        <w:rPr>
          <w:i/>
          <w:iCs/>
          <w:color w:val="000000" w:themeColor="text1"/>
          <w:lang w:val="es-CR" w:eastAsia="zh-CN"/>
        </w:rPr>
      </w:pPr>
    </w:p>
    <w:p w14:paraId="2240BAB3" w14:textId="77777777" w:rsidR="00CF7396" w:rsidRPr="00CF7396" w:rsidRDefault="00CF7396" w:rsidP="00CF7396">
      <w:pPr>
        <w:ind w:left="851" w:right="851" w:firstLine="709"/>
        <w:jc w:val="both"/>
        <w:rPr>
          <w:color w:val="000000" w:themeColor="text1"/>
          <w:lang w:val="es-CR" w:eastAsia="zh-CN"/>
        </w:rPr>
      </w:pPr>
      <w:r w:rsidRPr="00CF7396">
        <w:rPr>
          <w:color w:val="000000" w:themeColor="text1"/>
          <w:lang w:val="es-CR" w:eastAsia="zh-CN"/>
        </w:rPr>
        <w:t xml:space="preserve">En dichas presentaciones se exponen las calificaciones que obtuvieron los despachos según el Modelo MAIC, Indicadores que posicionaron a los despachos </w:t>
      </w:r>
      <w:r w:rsidRPr="00CF7396">
        <w:rPr>
          <w:color w:val="000000" w:themeColor="text1"/>
          <w:lang w:val="es-CR" w:eastAsia="zh-CN"/>
        </w:rPr>
        <w:lastRenderedPageBreak/>
        <w:t>dentro de esa calificación, hallazgos detectados en los documentos mensuales y sistemas judiciales, seguimiento de los planes de trabajo de las personas supernumerarias, seguimiento de los acuerdos tomados por dicho órgano superior y elaboración de recomendaciones. En el apartado 4.3 se ampliaría el tema.</w:t>
      </w:r>
    </w:p>
    <w:p w14:paraId="284727F1" w14:textId="77777777" w:rsidR="00CF7396" w:rsidRPr="00CF7396" w:rsidRDefault="00CF7396" w:rsidP="00CF7396">
      <w:pPr>
        <w:ind w:left="851" w:right="851" w:firstLine="709"/>
        <w:jc w:val="both"/>
        <w:rPr>
          <w:i/>
          <w:iCs/>
          <w:color w:val="000000" w:themeColor="text1"/>
          <w:lang w:val="es-CR" w:eastAsia="zh-CN"/>
        </w:rPr>
      </w:pPr>
    </w:p>
    <w:p w14:paraId="4CD403E5" w14:textId="77777777" w:rsidR="00CF7396" w:rsidRPr="00CF7396" w:rsidRDefault="00CF7396" w:rsidP="00CF7396">
      <w:pPr>
        <w:numPr>
          <w:ilvl w:val="0"/>
          <w:numId w:val="38"/>
        </w:numPr>
        <w:ind w:left="851" w:right="851" w:firstLine="709"/>
        <w:contextualSpacing/>
        <w:jc w:val="both"/>
        <w:rPr>
          <w:color w:val="000000" w:themeColor="text1"/>
          <w:lang w:val="es-CR" w:eastAsia="zh-CN"/>
        </w:rPr>
      </w:pPr>
      <w:r w:rsidRPr="00CF7396">
        <w:rPr>
          <w:color w:val="000000" w:themeColor="text1"/>
          <w:lang w:val="es-CR" w:eastAsia="zh-CN"/>
        </w:rPr>
        <w:t>Entre las principales reuniones efectuadas por la Profesional de Planificación, durante el 2021 con los equipos de mejora, jefaturas y personal de los despachos judiciales, se encuentran las siguientes minutas de reunión:</w:t>
      </w:r>
    </w:p>
    <w:p w14:paraId="7CA63CA2" w14:textId="77777777" w:rsidR="00CF7396" w:rsidRPr="00CF7396" w:rsidRDefault="00CF7396" w:rsidP="00CF7396">
      <w:pPr>
        <w:ind w:left="720"/>
        <w:contextualSpacing/>
        <w:jc w:val="both"/>
        <w:rPr>
          <w:color w:val="000000" w:themeColor="text1"/>
          <w:lang w:val="es-CR" w:eastAsia="zh-CN"/>
        </w:rPr>
      </w:pPr>
    </w:p>
    <w:p w14:paraId="107107E5" w14:textId="77777777" w:rsidR="00CF7396" w:rsidRPr="00CF7396" w:rsidRDefault="00CF7396" w:rsidP="00CF7396">
      <w:pPr>
        <w:jc w:val="center"/>
        <w:rPr>
          <w:b/>
          <w:bCs/>
          <w:i/>
          <w:iCs/>
          <w:color w:val="000000" w:themeColor="text1"/>
          <w:lang w:val="es-CR"/>
        </w:rPr>
      </w:pPr>
      <w:r w:rsidRPr="00CF7396">
        <w:rPr>
          <w:b/>
          <w:bCs/>
          <w:i/>
          <w:iCs/>
          <w:color w:val="000000" w:themeColor="text1"/>
          <w:lang w:val="es-CR"/>
        </w:rPr>
        <w:t>Cuadro 3</w:t>
      </w:r>
    </w:p>
    <w:p w14:paraId="5B48852D" w14:textId="77777777" w:rsidR="00CF7396" w:rsidRPr="00CF7396" w:rsidRDefault="00CF7396" w:rsidP="00CF7396">
      <w:pPr>
        <w:jc w:val="center"/>
        <w:rPr>
          <w:b/>
          <w:bCs/>
          <w:i/>
          <w:iCs/>
          <w:color w:val="000000" w:themeColor="text1"/>
          <w:lang w:val="es-CR" w:eastAsia="zh-CN"/>
        </w:rPr>
      </w:pPr>
      <w:r w:rsidRPr="00CF7396">
        <w:rPr>
          <w:b/>
          <w:bCs/>
          <w:i/>
          <w:iCs/>
          <w:color w:val="000000" w:themeColor="text1"/>
          <w:lang w:val="es-CR" w:eastAsia="zh-CN"/>
        </w:rPr>
        <w:t>Minutas de reunión efectuadas por la Profesional de Planificación</w:t>
      </w:r>
    </w:p>
    <w:p w14:paraId="0829F6E7" w14:textId="77777777" w:rsidR="00CF7396" w:rsidRPr="00CF7396" w:rsidRDefault="00CF7396" w:rsidP="00CF7396">
      <w:pPr>
        <w:jc w:val="center"/>
        <w:rPr>
          <w:b/>
          <w:bCs/>
          <w:i/>
          <w:iCs/>
          <w:color w:val="000000" w:themeColor="text1"/>
          <w:lang w:val="es-CR" w:eastAsia="zh-CN"/>
        </w:rPr>
      </w:pPr>
      <w:r w:rsidRPr="00CF7396">
        <w:rPr>
          <w:b/>
          <w:bCs/>
          <w:i/>
          <w:iCs/>
          <w:color w:val="000000" w:themeColor="text1"/>
          <w:lang w:val="es-CR" w:eastAsia="zh-CN"/>
        </w:rPr>
        <w:t>Modelo de Seguimiento y Sostenibilidad Primer</w:t>
      </w:r>
    </w:p>
    <w:p w14:paraId="4CF1B071" w14:textId="77777777" w:rsidR="00CF7396" w:rsidRPr="00CF7396" w:rsidRDefault="00CF7396" w:rsidP="00CF7396">
      <w:pPr>
        <w:jc w:val="center"/>
        <w:rPr>
          <w:b/>
          <w:bCs/>
          <w:i/>
          <w:iCs/>
          <w:color w:val="000000" w:themeColor="text1"/>
          <w:lang w:val="es-CR" w:eastAsia="es-CR"/>
        </w:rPr>
      </w:pPr>
      <w:r w:rsidRPr="00CF7396">
        <w:rPr>
          <w:b/>
          <w:bCs/>
          <w:i/>
          <w:iCs/>
          <w:color w:val="000000" w:themeColor="text1"/>
          <w:lang w:val="es-CR" w:eastAsia="zh-CN"/>
        </w:rPr>
        <w:t xml:space="preserve"> Circuito Judicial de la Zona Atlántica</w:t>
      </w:r>
    </w:p>
    <w:p w14:paraId="6F0AC58D" w14:textId="77777777" w:rsidR="00CF7396" w:rsidRPr="00CF7396" w:rsidRDefault="00CF7396" w:rsidP="00CF7396">
      <w:pPr>
        <w:jc w:val="center"/>
        <w:rPr>
          <w:b/>
          <w:bCs/>
          <w:i/>
          <w:iCs/>
          <w:color w:val="000000" w:themeColor="text1"/>
          <w:lang w:val="es-CR" w:eastAsia="zh-CN"/>
        </w:rPr>
      </w:pPr>
      <w:r w:rsidRPr="00CF7396">
        <w:rPr>
          <w:b/>
          <w:bCs/>
          <w:i/>
          <w:iCs/>
          <w:color w:val="000000" w:themeColor="text1"/>
          <w:lang w:val="es-CR" w:eastAsia="zh-CN"/>
        </w:rPr>
        <w:t>Período 2021</w:t>
      </w:r>
    </w:p>
    <w:tbl>
      <w:tblPr>
        <w:tblW w:w="11483" w:type="dxa"/>
        <w:tblInd w:w="-1423" w:type="dxa"/>
        <w:tblCellMar>
          <w:left w:w="70" w:type="dxa"/>
          <w:right w:w="70" w:type="dxa"/>
        </w:tblCellMar>
        <w:tblLook w:val="04A0" w:firstRow="1" w:lastRow="0" w:firstColumn="1" w:lastColumn="0" w:noHBand="0" w:noVBand="1"/>
      </w:tblPr>
      <w:tblGrid>
        <w:gridCol w:w="425"/>
        <w:gridCol w:w="2269"/>
        <w:gridCol w:w="8789"/>
      </w:tblGrid>
      <w:tr w:rsidR="00CF7396" w:rsidRPr="00CF7396" w14:paraId="556D9417" w14:textId="77777777" w:rsidTr="00AF369B">
        <w:trPr>
          <w:trHeight w:val="600"/>
          <w:tblHeader/>
        </w:trPr>
        <w:tc>
          <w:tcPr>
            <w:tcW w:w="425" w:type="dxa"/>
            <w:tcBorders>
              <w:top w:val="single" w:sz="4" w:space="0" w:color="auto"/>
              <w:left w:val="single" w:sz="4" w:space="0" w:color="auto"/>
              <w:bottom w:val="single" w:sz="4" w:space="0" w:color="auto"/>
              <w:right w:val="single" w:sz="4" w:space="0" w:color="auto"/>
            </w:tcBorders>
            <w:shd w:val="clear" w:color="000000" w:fill="244062"/>
            <w:noWrap/>
            <w:vAlign w:val="center"/>
            <w:hideMark/>
          </w:tcPr>
          <w:p w14:paraId="0B499EA6" w14:textId="77777777" w:rsidR="00CF7396" w:rsidRPr="00CF7396" w:rsidRDefault="00CF7396" w:rsidP="00CF7396">
            <w:pPr>
              <w:jc w:val="center"/>
              <w:rPr>
                <w:b/>
                <w:bCs/>
                <w:color w:val="000000" w:themeColor="text1"/>
                <w:lang w:val="es-CR" w:eastAsia="es-CR"/>
              </w:rPr>
            </w:pPr>
            <w:proofErr w:type="spellStart"/>
            <w:r w:rsidRPr="00CF7396">
              <w:rPr>
                <w:b/>
                <w:bCs/>
                <w:color w:val="000000" w:themeColor="text1"/>
                <w:lang w:val="es-CR" w:eastAsia="es-CR"/>
              </w:rPr>
              <w:t>N°</w:t>
            </w:r>
            <w:proofErr w:type="spellEnd"/>
          </w:p>
        </w:tc>
        <w:tc>
          <w:tcPr>
            <w:tcW w:w="2269" w:type="dxa"/>
            <w:tcBorders>
              <w:top w:val="single" w:sz="4" w:space="0" w:color="auto"/>
              <w:left w:val="nil"/>
              <w:bottom w:val="single" w:sz="4" w:space="0" w:color="auto"/>
              <w:right w:val="single" w:sz="4" w:space="0" w:color="auto"/>
            </w:tcBorders>
            <w:shd w:val="clear" w:color="000000" w:fill="244062"/>
            <w:vAlign w:val="center"/>
            <w:hideMark/>
          </w:tcPr>
          <w:p w14:paraId="2257F37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Número de Minuta de Reunión</w:t>
            </w:r>
          </w:p>
        </w:tc>
        <w:tc>
          <w:tcPr>
            <w:tcW w:w="8789" w:type="dxa"/>
            <w:tcBorders>
              <w:top w:val="single" w:sz="4" w:space="0" w:color="auto"/>
              <w:left w:val="nil"/>
              <w:bottom w:val="single" w:sz="4" w:space="0" w:color="auto"/>
              <w:right w:val="single" w:sz="4" w:space="0" w:color="auto"/>
            </w:tcBorders>
            <w:shd w:val="clear" w:color="000000" w:fill="244062"/>
            <w:vAlign w:val="center"/>
            <w:hideMark/>
          </w:tcPr>
          <w:p w14:paraId="2324CA3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Asunto</w:t>
            </w:r>
          </w:p>
        </w:tc>
      </w:tr>
      <w:tr w:rsidR="00CF7396" w:rsidRPr="00CF7396" w14:paraId="4375DFCD" w14:textId="77777777" w:rsidTr="00AF369B">
        <w:trPr>
          <w:trHeight w:val="521"/>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67D70B7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w:t>
            </w:r>
          </w:p>
        </w:tc>
        <w:tc>
          <w:tcPr>
            <w:tcW w:w="2269" w:type="dxa"/>
            <w:tcBorders>
              <w:top w:val="nil"/>
              <w:left w:val="nil"/>
              <w:bottom w:val="single" w:sz="4" w:space="0" w:color="auto"/>
              <w:right w:val="single" w:sz="4" w:space="0" w:color="auto"/>
            </w:tcBorders>
            <w:shd w:val="clear" w:color="auto" w:fill="auto"/>
            <w:vAlign w:val="center"/>
            <w:hideMark/>
          </w:tcPr>
          <w:p w14:paraId="3FE007F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96-PLA-EV-MNTA-2021</w:t>
            </w:r>
          </w:p>
        </w:tc>
        <w:tc>
          <w:tcPr>
            <w:tcW w:w="8789" w:type="dxa"/>
            <w:tcBorders>
              <w:top w:val="nil"/>
              <w:left w:val="nil"/>
              <w:bottom w:val="single" w:sz="4" w:space="0" w:color="auto"/>
              <w:right w:val="single" w:sz="4" w:space="0" w:color="auto"/>
            </w:tcBorders>
            <w:shd w:val="clear" w:color="auto" w:fill="auto"/>
            <w:vAlign w:val="center"/>
            <w:hideMark/>
          </w:tcPr>
          <w:p w14:paraId="109F1F06"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 xml:space="preserve">Minuta de reunión del 8-02-2021 con el Tribunal Penal de Limón sobre plan remedial, oficio de la Secretaría General de Corte, situación de la plaza vacante de </w:t>
            </w:r>
            <w:proofErr w:type="spellStart"/>
            <w:r w:rsidRPr="00CF7396">
              <w:rPr>
                <w:color w:val="000000" w:themeColor="text1"/>
                <w:lang w:val="es-CR" w:eastAsia="es-CR"/>
              </w:rPr>
              <w:t>Bribrí</w:t>
            </w:r>
            <w:proofErr w:type="spellEnd"/>
            <w:r w:rsidRPr="00CF7396">
              <w:rPr>
                <w:color w:val="000000" w:themeColor="text1"/>
                <w:lang w:val="es-CR" w:eastAsia="es-CR"/>
              </w:rPr>
              <w:t>, entre otros</w:t>
            </w:r>
          </w:p>
        </w:tc>
      </w:tr>
      <w:tr w:rsidR="00CF7396" w:rsidRPr="00CF7396" w14:paraId="5EB8615A" w14:textId="77777777" w:rsidTr="00AF369B">
        <w:trPr>
          <w:trHeight w:val="379"/>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1C17A54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w:t>
            </w:r>
          </w:p>
        </w:tc>
        <w:tc>
          <w:tcPr>
            <w:tcW w:w="2269" w:type="dxa"/>
            <w:tcBorders>
              <w:top w:val="nil"/>
              <w:left w:val="nil"/>
              <w:bottom w:val="single" w:sz="4" w:space="0" w:color="auto"/>
              <w:right w:val="single" w:sz="4" w:space="0" w:color="auto"/>
            </w:tcBorders>
            <w:shd w:val="clear" w:color="auto" w:fill="auto"/>
            <w:vAlign w:val="center"/>
            <w:hideMark/>
          </w:tcPr>
          <w:p w14:paraId="522C343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128-PLA-EV-MNTA-2021</w:t>
            </w:r>
          </w:p>
        </w:tc>
        <w:tc>
          <w:tcPr>
            <w:tcW w:w="8789" w:type="dxa"/>
            <w:tcBorders>
              <w:top w:val="nil"/>
              <w:left w:val="nil"/>
              <w:bottom w:val="single" w:sz="4" w:space="0" w:color="auto"/>
              <w:right w:val="single" w:sz="4" w:space="0" w:color="auto"/>
            </w:tcBorders>
            <w:shd w:val="clear" w:color="auto" w:fill="auto"/>
            <w:vAlign w:val="center"/>
            <w:hideMark/>
          </w:tcPr>
          <w:p w14:paraId="04DAF367"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18 de febrero del 2021 con el Tribunal Colegiado de Primer Instancia Civil de Limón sobre refrescamiento del Modelo de Sostenibilidad solicitado por el nuevo Juez Coordinador.</w:t>
            </w:r>
          </w:p>
        </w:tc>
      </w:tr>
      <w:tr w:rsidR="00CF7396" w:rsidRPr="00CF7396" w14:paraId="5AFDFD97" w14:textId="77777777" w:rsidTr="00AF369B">
        <w:trPr>
          <w:trHeight w:val="52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627B969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w:t>
            </w:r>
          </w:p>
        </w:tc>
        <w:tc>
          <w:tcPr>
            <w:tcW w:w="2269" w:type="dxa"/>
            <w:tcBorders>
              <w:top w:val="nil"/>
              <w:left w:val="nil"/>
              <w:bottom w:val="single" w:sz="4" w:space="0" w:color="auto"/>
              <w:right w:val="single" w:sz="4" w:space="0" w:color="auto"/>
            </w:tcBorders>
            <w:shd w:val="clear" w:color="auto" w:fill="auto"/>
            <w:vAlign w:val="center"/>
            <w:hideMark/>
          </w:tcPr>
          <w:p w14:paraId="3A4D9B2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153-PLA-EV-MNTA-2021</w:t>
            </w:r>
          </w:p>
        </w:tc>
        <w:tc>
          <w:tcPr>
            <w:tcW w:w="8789" w:type="dxa"/>
            <w:tcBorders>
              <w:top w:val="nil"/>
              <w:left w:val="nil"/>
              <w:bottom w:val="single" w:sz="4" w:space="0" w:color="auto"/>
              <w:right w:val="single" w:sz="4" w:space="0" w:color="auto"/>
            </w:tcBorders>
            <w:shd w:val="clear" w:color="auto" w:fill="auto"/>
            <w:vAlign w:val="center"/>
            <w:hideMark/>
          </w:tcPr>
          <w:p w14:paraId="4E457DF5"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23 de febrero con la Contraloría de Servicios de Limón para identificar mejoras en el circuito y quejas de los usuarios</w:t>
            </w:r>
          </w:p>
        </w:tc>
      </w:tr>
      <w:tr w:rsidR="00CF7396" w:rsidRPr="00CF7396" w14:paraId="4B9D40A4" w14:textId="77777777" w:rsidTr="00AF369B">
        <w:trPr>
          <w:trHeight w:val="557"/>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5CF65EA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w:t>
            </w:r>
          </w:p>
        </w:tc>
        <w:tc>
          <w:tcPr>
            <w:tcW w:w="2269" w:type="dxa"/>
            <w:tcBorders>
              <w:top w:val="nil"/>
              <w:left w:val="nil"/>
              <w:bottom w:val="single" w:sz="4" w:space="0" w:color="auto"/>
              <w:right w:val="single" w:sz="4" w:space="0" w:color="auto"/>
            </w:tcBorders>
            <w:shd w:val="clear" w:color="auto" w:fill="auto"/>
            <w:vAlign w:val="center"/>
            <w:hideMark/>
          </w:tcPr>
          <w:p w14:paraId="729ADDF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157-PLA-EV-MNTA-2021</w:t>
            </w:r>
          </w:p>
        </w:tc>
        <w:tc>
          <w:tcPr>
            <w:tcW w:w="8789" w:type="dxa"/>
            <w:tcBorders>
              <w:top w:val="nil"/>
              <w:left w:val="nil"/>
              <w:bottom w:val="single" w:sz="4" w:space="0" w:color="auto"/>
              <w:right w:val="single" w:sz="4" w:space="0" w:color="auto"/>
            </w:tcBorders>
            <w:shd w:val="clear" w:color="auto" w:fill="auto"/>
            <w:vAlign w:val="center"/>
            <w:hideMark/>
          </w:tcPr>
          <w:p w14:paraId="3A4386F5"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del 26 de febrero 2021 con el Tribunal Penal y Flagrancia de Limón sobre refrescamiento del Modelo de Sostenibilidad.</w:t>
            </w:r>
          </w:p>
        </w:tc>
      </w:tr>
      <w:tr w:rsidR="00CF7396" w:rsidRPr="00CF7396" w14:paraId="461495C5" w14:textId="77777777" w:rsidTr="00AF369B">
        <w:trPr>
          <w:trHeight w:val="549"/>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6AC5B30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w:t>
            </w:r>
          </w:p>
        </w:tc>
        <w:tc>
          <w:tcPr>
            <w:tcW w:w="2269" w:type="dxa"/>
            <w:tcBorders>
              <w:top w:val="nil"/>
              <w:left w:val="nil"/>
              <w:bottom w:val="single" w:sz="4" w:space="0" w:color="auto"/>
              <w:right w:val="single" w:sz="4" w:space="0" w:color="auto"/>
            </w:tcBorders>
            <w:shd w:val="clear" w:color="auto" w:fill="auto"/>
            <w:vAlign w:val="center"/>
            <w:hideMark/>
          </w:tcPr>
          <w:p w14:paraId="3D7249D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192-PLA-EV-MNTA-2021</w:t>
            </w:r>
          </w:p>
        </w:tc>
        <w:tc>
          <w:tcPr>
            <w:tcW w:w="8789" w:type="dxa"/>
            <w:tcBorders>
              <w:top w:val="nil"/>
              <w:left w:val="nil"/>
              <w:bottom w:val="single" w:sz="4" w:space="0" w:color="auto"/>
              <w:right w:val="single" w:sz="4" w:space="0" w:color="auto"/>
            </w:tcBorders>
            <w:shd w:val="clear" w:color="auto" w:fill="auto"/>
            <w:vAlign w:val="center"/>
            <w:hideMark/>
          </w:tcPr>
          <w:p w14:paraId="6487BAC2"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27-01-2020 con la Administración Regional de Limón y el Modelo de Sostenibilidad: Identificar mejoras para la Administración dentro del Modelo y realimentación</w:t>
            </w:r>
          </w:p>
        </w:tc>
      </w:tr>
      <w:tr w:rsidR="00CF7396" w:rsidRPr="00CF7396" w14:paraId="3B295853" w14:textId="77777777" w:rsidTr="00AF369B">
        <w:trPr>
          <w:trHeight w:val="558"/>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1EC2729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w:t>
            </w:r>
          </w:p>
        </w:tc>
        <w:tc>
          <w:tcPr>
            <w:tcW w:w="2269" w:type="dxa"/>
            <w:tcBorders>
              <w:top w:val="nil"/>
              <w:left w:val="nil"/>
              <w:bottom w:val="single" w:sz="4" w:space="0" w:color="auto"/>
              <w:right w:val="single" w:sz="4" w:space="0" w:color="auto"/>
            </w:tcBorders>
            <w:shd w:val="clear" w:color="auto" w:fill="auto"/>
            <w:vAlign w:val="center"/>
            <w:hideMark/>
          </w:tcPr>
          <w:p w14:paraId="24B3FF4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198-PLA-EV-MNTA-2021</w:t>
            </w:r>
          </w:p>
        </w:tc>
        <w:tc>
          <w:tcPr>
            <w:tcW w:w="8789" w:type="dxa"/>
            <w:tcBorders>
              <w:top w:val="nil"/>
              <w:left w:val="nil"/>
              <w:bottom w:val="single" w:sz="4" w:space="0" w:color="auto"/>
              <w:right w:val="single" w:sz="4" w:space="0" w:color="auto"/>
            </w:tcBorders>
            <w:shd w:val="clear" w:color="auto" w:fill="auto"/>
            <w:vAlign w:val="center"/>
            <w:hideMark/>
          </w:tcPr>
          <w:p w14:paraId="28540AA6"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del 9 de marzo del 2021 con el Juzgado Civil y Juzgado de Cobro del Primer Circuito Judicial de la Zona Atlántica para plan de trabajo del personal técnico de Civil brinde apoyo a Cobro</w:t>
            </w:r>
          </w:p>
        </w:tc>
      </w:tr>
      <w:tr w:rsidR="00CF7396" w:rsidRPr="00CF7396" w14:paraId="4E408416" w14:textId="77777777" w:rsidTr="00AF369B">
        <w:trPr>
          <w:trHeight w:val="552"/>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C2E2FB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w:t>
            </w:r>
          </w:p>
        </w:tc>
        <w:tc>
          <w:tcPr>
            <w:tcW w:w="2269" w:type="dxa"/>
            <w:tcBorders>
              <w:top w:val="nil"/>
              <w:left w:val="nil"/>
              <w:bottom w:val="single" w:sz="4" w:space="0" w:color="auto"/>
              <w:right w:val="single" w:sz="4" w:space="0" w:color="auto"/>
            </w:tcBorders>
            <w:shd w:val="clear" w:color="auto" w:fill="auto"/>
            <w:vAlign w:val="center"/>
            <w:hideMark/>
          </w:tcPr>
          <w:p w14:paraId="52E91E8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555-PLA-EV-MNTA-2021</w:t>
            </w:r>
          </w:p>
        </w:tc>
        <w:tc>
          <w:tcPr>
            <w:tcW w:w="8789" w:type="dxa"/>
            <w:tcBorders>
              <w:top w:val="nil"/>
              <w:left w:val="nil"/>
              <w:bottom w:val="single" w:sz="4" w:space="0" w:color="auto"/>
              <w:right w:val="single" w:sz="4" w:space="0" w:color="auto"/>
            </w:tcBorders>
            <w:shd w:val="clear" w:color="auto" w:fill="auto"/>
            <w:vAlign w:val="center"/>
            <w:hideMark/>
          </w:tcPr>
          <w:p w14:paraId="5443F5FB"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1/06/21 con la Administración de Limón sobre cronograma o plan de trabajo del 2021 de la profesional de Planificación destacada en el ICJ Zona Atlántica.</w:t>
            </w:r>
          </w:p>
        </w:tc>
      </w:tr>
      <w:tr w:rsidR="00CF7396" w:rsidRPr="00CF7396" w14:paraId="32282801" w14:textId="77777777" w:rsidTr="00AF369B">
        <w:trPr>
          <w:trHeight w:val="432"/>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1C181B0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w:t>
            </w:r>
          </w:p>
        </w:tc>
        <w:tc>
          <w:tcPr>
            <w:tcW w:w="2269" w:type="dxa"/>
            <w:tcBorders>
              <w:top w:val="nil"/>
              <w:left w:val="nil"/>
              <w:bottom w:val="single" w:sz="4" w:space="0" w:color="auto"/>
              <w:right w:val="single" w:sz="4" w:space="0" w:color="auto"/>
            </w:tcBorders>
            <w:shd w:val="clear" w:color="auto" w:fill="auto"/>
            <w:vAlign w:val="center"/>
            <w:hideMark/>
          </w:tcPr>
          <w:p w14:paraId="63D1CFF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613-PLA-EV-MNTA-2021</w:t>
            </w:r>
          </w:p>
        </w:tc>
        <w:tc>
          <w:tcPr>
            <w:tcW w:w="8789" w:type="dxa"/>
            <w:tcBorders>
              <w:top w:val="nil"/>
              <w:left w:val="nil"/>
              <w:bottom w:val="single" w:sz="4" w:space="0" w:color="auto"/>
              <w:right w:val="single" w:sz="4" w:space="0" w:color="auto"/>
            </w:tcBorders>
            <w:shd w:val="clear" w:color="auto" w:fill="auto"/>
            <w:vAlign w:val="center"/>
            <w:hideMark/>
          </w:tcPr>
          <w:p w14:paraId="0324B45E"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23 de junio con el Juzgado Agrario de Limón sobre capacitación del Modelo de sostenibilidad</w:t>
            </w:r>
          </w:p>
        </w:tc>
      </w:tr>
      <w:tr w:rsidR="00CF7396" w:rsidRPr="00CF7396" w14:paraId="0ECED216" w14:textId="77777777" w:rsidTr="00AF369B">
        <w:trPr>
          <w:trHeight w:val="524"/>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49938E8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w:t>
            </w:r>
          </w:p>
        </w:tc>
        <w:tc>
          <w:tcPr>
            <w:tcW w:w="2269" w:type="dxa"/>
            <w:tcBorders>
              <w:top w:val="nil"/>
              <w:left w:val="nil"/>
              <w:bottom w:val="single" w:sz="4" w:space="0" w:color="auto"/>
              <w:right w:val="single" w:sz="4" w:space="0" w:color="auto"/>
            </w:tcBorders>
            <w:shd w:val="clear" w:color="auto" w:fill="auto"/>
            <w:vAlign w:val="center"/>
            <w:hideMark/>
          </w:tcPr>
          <w:p w14:paraId="3CCE90B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627-PLA-EV-MNTA-2021</w:t>
            </w:r>
          </w:p>
        </w:tc>
        <w:tc>
          <w:tcPr>
            <w:tcW w:w="8789" w:type="dxa"/>
            <w:tcBorders>
              <w:top w:val="nil"/>
              <w:left w:val="nil"/>
              <w:bottom w:val="single" w:sz="4" w:space="0" w:color="auto"/>
              <w:right w:val="single" w:sz="4" w:space="0" w:color="auto"/>
            </w:tcBorders>
            <w:shd w:val="clear" w:color="auto" w:fill="auto"/>
            <w:vAlign w:val="center"/>
            <w:hideMark/>
          </w:tcPr>
          <w:p w14:paraId="5B9218D0"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28-06-21 con el Centro de Conciliación de Limón y la Gestora de Agrario, para ver el tema de audiencias tempranas o previas en materia Agraria.</w:t>
            </w:r>
          </w:p>
        </w:tc>
      </w:tr>
      <w:tr w:rsidR="00CF7396" w:rsidRPr="00CF7396" w14:paraId="131992A2" w14:textId="77777777" w:rsidTr="00AF369B">
        <w:trPr>
          <w:trHeight w:val="56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2F5E466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w:t>
            </w:r>
          </w:p>
        </w:tc>
        <w:tc>
          <w:tcPr>
            <w:tcW w:w="2269" w:type="dxa"/>
            <w:tcBorders>
              <w:top w:val="nil"/>
              <w:left w:val="nil"/>
              <w:bottom w:val="single" w:sz="4" w:space="0" w:color="auto"/>
              <w:right w:val="single" w:sz="4" w:space="0" w:color="auto"/>
            </w:tcBorders>
            <w:shd w:val="clear" w:color="auto" w:fill="auto"/>
            <w:vAlign w:val="center"/>
            <w:hideMark/>
          </w:tcPr>
          <w:p w14:paraId="4EBF779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713-PLA-EV-MNTA-2021</w:t>
            </w:r>
          </w:p>
        </w:tc>
        <w:tc>
          <w:tcPr>
            <w:tcW w:w="8789" w:type="dxa"/>
            <w:tcBorders>
              <w:top w:val="nil"/>
              <w:left w:val="nil"/>
              <w:bottom w:val="single" w:sz="4" w:space="0" w:color="auto"/>
              <w:right w:val="single" w:sz="4" w:space="0" w:color="auto"/>
            </w:tcBorders>
            <w:shd w:val="clear" w:color="auto" w:fill="auto"/>
            <w:vAlign w:val="center"/>
            <w:hideMark/>
          </w:tcPr>
          <w:p w14:paraId="225ADE94"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9-08-21 con el Juzgado Civil de Limón para mejorar el Indicador plazo de espera de escritos y formular plan remedial</w:t>
            </w:r>
          </w:p>
        </w:tc>
      </w:tr>
      <w:tr w:rsidR="00CF7396" w:rsidRPr="00CF7396" w14:paraId="43D58A67" w14:textId="77777777" w:rsidTr="00AF369B">
        <w:trPr>
          <w:trHeight w:val="425"/>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571B138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lastRenderedPageBreak/>
              <w:t>11</w:t>
            </w:r>
          </w:p>
        </w:tc>
        <w:tc>
          <w:tcPr>
            <w:tcW w:w="2269" w:type="dxa"/>
            <w:tcBorders>
              <w:top w:val="nil"/>
              <w:left w:val="nil"/>
              <w:bottom w:val="single" w:sz="4" w:space="0" w:color="auto"/>
              <w:right w:val="single" w:sz="4" w:space="0" w:color="auto"/>
            </w:tcBorders>
            <w:shd w:val="clear" w:color="auto" w:fill="auto"/>
            <w:vAlign w:val="center"/>
            <w:hideMark/>
          </w:tcPr>
          <w:p w14:paraId="44C961E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742-PLA-EV-MNTA-2021</w:t>
            </w:r>
          </w:p>
        </w:tc>
        <w:tc>
          <w:tcPr>
            <w:tcW w:w="8789" w:type="dxa"/>
            <w:tcBorders>
              <w:top w:val="nil"/>
              <w:left w:val="nil"/>
              <w:bottom w:val="single" w:sz="4" w:space="0" w:color="auto"/>
              <w:right w:val="single" w:sz="4" w:space="0" w:color="auto"/>
            </w:tcBorders>
            <w:shd w:val="clear" w:color="auto" w:fill="auto"/>
            <w:vAlign w:val="center"/>
            <w:hideMark/>
          </w:tcPr>
          <w:p w14:paraId="7CBEEEA1"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10-08-21 visita realizada en el Juzgado Contravencional de Matina, para diversos temas.</w:t>
            </w:r>
          </w:p>
        </w:tc>
      </w:tr>
      <w:tr w:rsidR="00CF7396" w:rsidRPr="00CF7396" w14:paraId="7C3DA3A1" w14:textId="77777777" w:rsidTr="00AF369B">
        <w:trPr>
          <w:trHeight w:val="545"/>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722B6B4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w:t>
            </w:r>
          </w:p>
        </w:tc>
        <w:tc>
          <w:tcPr>
            <w:tcW w:w="2269" w:type="dxa"/>
            <w:tcBorders>
              <w:top w:val="nil"/>
              <w:left w:val="nil"/>
              <w:bottom w:val="single" w:sz="4" w:space="0" w:color="auto"/>
              <w:right w:val="single" w:sz="4" w:space="0" w:color="auto"/>
            </w:tcBorders>
            <w:shd w:val="clear" w:color="auto" w:fill="auto"/>
            <w:vAlign w:val="center"/>
            <w:hideMark/>
          </w:tcPr>
          <w:p w14:paraId="06BE94A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749-PLA-EV-MNTA-2021</w:t>
            </w:r>
          </w:p>
        </w:tc>
        <w:tc>
          <w:tcPr>
            <w:tcW w:w="8789" w:type="dxa"/>
            <w:tcBorders>
              <w:top w:val="nil"/>
              <w:left w:val="nil"/>
              <w:bottom w:val="single" w:sz="4" w:space="0" w:color="auto"/>
              <w:right w:val="single" w:sz="4" w:space="0" w:color="auto"/>
            </w:tcBorders>
            <w:shd w:val="clear" w:color="auto" w:fill="auto"/>
            <w:vAlign w:val="center"/>
            <w:hideMark/>
          </w:tcPr>
          <w:p w14:paraId="58597DD8"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 la gira realizada en la Defensa Pública de Batán, el 10-08-2021, para oportunidades de mejora para el Tribunal Penal, entre otros temas.</w:t>
            </w:r>
          </w:p>
        </w:tc>
      </w:tr>
      <w:tr w:rsidR="00CF7396" w:rsidRPr="00CF7396" w14:paraId="4FAC4786" w14:textId="77777777" w:rsidTr="00AF369B">
        <w:trPr>
          <w:trHeight w:val="567"/>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63BB415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w:t>
            </w:r>
          </w:p>
        </w:tc>
        <w:tc>
          <w:tcPr>
            <w:tcW w:w="2269" w:type="dxa"/>
            <w:tcBorders>
              <w:top w:val="nil"/>
              <w:left w:val="nil"/>
              <w:bottom w:val="single" w:sz="4" w:space="0" w:color="auto"/>
              <w:right w:val="single" w:sz="4" w:space="0" w:color="auto"/>
            </w:tcBorders>
            <w:shd w:val="clear" w:color="auto" w:fill="auto"/>
            <w:vAlign w:val="center"/>
            <w:hideMark/>
          </w:tcPr>
          <w:p w14:paraId="21C7599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753-PLA-EV-MNTA-2021</w:t>
            </w:r>
          </w:p>
        </w:tc>
        <w:tc>
          <w:tcPr>
            <w:tcW w:w="8789" w:type="dxa"/>
            <w:tcBorders>
              <w:top w:val="nil"/>
              <w:left w:val="nil"/>
              <w:bottom w:val="single" w:sz="4" w:space="0" w:color="auto"/>
              <w:right w:val="single" w:sz="4" w:space="0" w:color="auto"/>
            </w:tcBorders>
            <w:shd w:val="clear" w:color="auto" w:fill="auto"/>
            <w:vAlign w:val="center"/>
            <w:hideMark/>
          </w:tcPr>
          <w:p w14:paraId="77C4B04C"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 la gira realizada en el Juzgado Penal de Batán, el 10-08-2021, para oportunidades de mejora para el Tribunal Penal, entre otros temas.</w:t>
            </w:r>
          </w:p>
        </w:tc>
      </w:tr>
      <w:tr w:rsidR="00CF7396" w:rsidRPr="00CF7396" w14:paraId="27FFC333" w14:textId="77777777" w:rsidTr="00AF369B">
        <w:trPr>
          <w:trHeight w:val="561"/>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1F40B98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w:t>
            </w:r>
          </w:p>
        </w:tc>
        <w:tc>
          <w:tcPr>
            <w:tcW w:w="2269" w:type="dxa"/>
            <w:tcBorders>
              <w:top w:val="nil"/>
              <w:left w:val="nil"/>
              <w:bottom w:val="single" w:sz="4" w:space="0" w:color="auto"/>
              <w:right w:val="single" w:sz="4" w:space="0" w:color="auto"/>
            </w:tcBorders>
            <w:shd w:val="clear" w:color="auto" w:fill="auto"/>
            <w:vAlign w:val="center"/>
            <w:hideMark/>
          </w:tcPr>
          <w:p w14:paraId="1119F4F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754-PLA-EV-MNTA-2021</w:t>
            </w:r>
          </w:p>
        </w:tc>
        <w:tc>
          <w:tcPr>
            <w:tcW w:w="8789" w:type="dxa"/>
            <w:tcBorders>
              <w:top w:val="nil"/>
              <w:left w:val="nil"/>
              <w:bottom w:val="single" w:sz="4" w:space="0" w:color="auto"/>
              <w:right w:val="single" w:sz="4" w:space="0" w:color="auto"/>
            </w:tcBorders>
            <w:shd w:val="clear" w:color="auto" w:fill="auto"/>
            <w:vAlign w:val="center"/>
            <w:hideMark/>
          </w:tcPr>
          <w:p w14:paraId="2BD8674D"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gira realizada al OIJ de Batán el 10-8-2021, para oportunidades de mejora para el Tribunal Penal, así como otros temas.</w:t>
            </w:r>
          </w:p>
        </w:tc>
      </w:tr>
      <w:tr w:rsidR="00CF7396" w:rsidRPr="00CF7396" w14:paraId="72FF7050" w14:textId="77777777" w:rsidTr="00AF369B">
        <w:trPr>
          <w:trHeight w:val="683"/>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19F0474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w:t>
            </w:r>
          </w:p>
        </w:tc>
        <w:tc>
          <w:tcPr>
            <w:tcW w:w="2269" w:type="dxa"/>
            <w:tcBorders>
              <w:top w:val="nil"/>
              <w:left w:val="nil"/>
              <w:bottom w:val="single" w:sz="4" w:space="0" w:color="auto"/>
              <w:right w:val="single" w:sz="4" w:space="0" w:color="auto"/>
            </w:tcBorders>
            <w:shd w:val="clear" w:color="auto" w:fill="auto"/>
            <w:vAlign w:val="center"/>
            <w:hideMark/>
          </w:tcPr>
          <w:p w14:paraId="31EB612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764-PLA-EV-MNTA-2021</w:t>
            </w:r>
          </w:p>
        </w:tc>
        <w:tc>
          <w:tcPr>
            <w:tcW w:w="8789" w:type="dxa"/>
            <w:tcBorders>
              <w:top w:val="nil"/>
              <w:left w:val="nil"/>
              <w:bottom w:val="single" w:sz="4" w:space="0" w:color="auto"/>
              <w:right w:val="single" w:sz="4" w:space="0" w:color="auto"/>
            </w:tcBorders>
            <w:shd w:val="clear" w:color="auto" w:fill="auto"/>
            <w:vAlign w:val="center"/>
            <w:hideMark/>
          </w:tcPr>
          <w:p w14:paraId="2DFA363C"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10-8-21 con la Fiscalía de Batán para oportunidades de mejora para el Tribunal Penal de Limón y otros temas.</w:t>
            </w:r>
          </w:p>
        </w:tc>
      </w:tr>
      <w:tr w:rsidR="00CF7396" w:rsidRPr="00CF7396" w14:paraId="30C29C77" w14:textId="77777777" w:rsidTr="00AF369B">
        <w:trPr>
          <w:trHeight w:val="565"/>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4C84A91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w:t>
            </w:r>
          </w:p>
        </w:tc>
        <w:tc>
          <w:tcPr>
            <w:tcW w:w="2269" w:type="dxa"/>
            <w:tcBorders>
              <w:top w:val="nil"/>
              <w:left w:val="nil"/>
              <w:bottom w:val="single" w:sz="4" w:space="0" w:color="auto"/>
              <w:right w:val="single" w:sz="4" w:space="0" w:color="auto"/>
            </w:tcBorders>
            <w:shd w:val="clear" w:color="auto" w:fill="auto"/>
            <w:vAlign w:val="center"/>
            <w:hideMark/>
          </w:tcPr>
          <w:p w14:paraId="1856E2B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765-PLA-EV-MNTA-2021</w:t>
            </w:r>
          </w:p>
        </w:tc>
        <w:tc>
          <w:tcPr>
            <w:tcW w:w="8789" w:type="dxa"/>
            <w:tcBorders>
              <w:top w:val="nil"/>
              <w:left w:val="nil"/>
              <w:bottom w:val="single" w:sz="4" w:space="0" w:color="auto"/>
              <w:right w:val="single" w:sz="4" w:space="0" w:color="auto"/>
            </w:tcBorders>
            <w:shd w:val="clear" w:color="auto" w:fill="auto"/>
            <w:vAlign w:val="center"/>
            <w:hideMark/>
          </w:tcPr>
          <w:p w14:paraId="58438142"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17-08-21 con el Tribunal Penal respecto a varios temas como oportunidades de mejora, formulación de planes remediales, temas de expedientes complejos, entre otros</w:t>
            </w:r>
          </w:p>
        </w:tc>
      </w:tr>
      <w:tr w:rsidR="00CF7396" w:rsidRPr="00CF7396" w14:paraId="27F14C72" w14:textId="77777777" w:rsidTr="00AF369B">
        <w:trPr>
          <w:trHeight w:val="702"/>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4F952C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w:t>
            </w:r>
          </w:p>
        </w:tc>
        <w:tc>
          <w:tcPr>
            <w:tcW w:w="2269" w:type="dxa"/>
            <w:tcBorders>
              <w:top w:val="nil"/>
              <w:left w:val="nil"/>
              <w:bottom w:val="single" w:sz="4" w:space="0" w:color="auto"/>
              <w:right w:val="single" w:sz="4" w:space="0" w:color="auto"/>
            </w:tcBorders>
            <w:shd w:val="clear" w:color="auto" w:fill="auto"/>
            <w:vAlign w:val="center"/>
            <w:hideMark/>
          </w:tcPr>
          <w:p w14:paraId="5BE8819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827-PLA-EV-MNTA-2021</w:t>
            </w:r>
          </w:p>
        </w:tc>
        <w:tc>
          <w:tcPr>
            <w:tcW w:w="8789" w:type="dxa"/>
            <w:tcBorders>
              <w:top w:val="nil"/>
              <w:left w:val="nil"/>
              <w:bottom w:val="single" w:sz="4" w:space="0" w:color="auto"/>
              <w:right w:val="single" w:sz="4" w:space="0" w:color="auto"/>
            </w:tcBorders>
            <w:shd w:val="clear" w:color="auto" w:fill="auto"/>
            <w:vAlign w:val="center"/>
            <w:hideMark/>
          </w:tcPr>
          <w:p w14:paraId="01BF6E26"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1-09-21 con la Administración Regional de Limón, sobre diversas situaciones detectadas en la gira realizada en Batán.</w:t>
            </w:r>
          </w:p>
        </w:tc>
      </w:tr>
      <w:tr w:rsidR="00CF7396" w:rsidRPr="00CF7396" w14:paraId="4329F598" w14:textId="77777777" w:rsidTr="00AF369B">
        <w:trPr>
          <w:trHeight w:val="697"/>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6F0E846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w:t>
            </w:r>
          </w:p>
        </w:tc>
        <w:tc>
          <w:tcPr>
            <w:tcW w:w="2269" w:type="dxa"/>
            <w:tcBorders>
              <w:top w:val="nil"/>
              <w:left w:val="nil"/>
              <w:bottom w:val="single" w:sz="4" w:space="0" w:color="auto"/>
              <w:right w:val="single" w:sz="4" w:space="0" w:color="auto"/>
            </w:tcBorders>
            <w:shd w:val="clear" w:color="auto" w:fill="auto"/>
            <w:vAlign w:val="center"/>
            <w:hideMark/>
          </w:tcPr>
          <w:p w14:paraId="1AFB910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834-PLA-EV-MNTA-2021</w:t>
            </w:r>
          </w:p>
        </w:tc>
        <w:tc>
          <w:tcPr>
            <w:tcW w:w="8789" w:type="dxa"/>
            <w:tcBorders>
              <w:top w:val="nil"/>
              <w:left w:val="nil"/>
              <w:bottom w:val="single" w:sz="4" w:space="0" w:color="auto"/>
              <w:right w:val="single" w:sz="4" w:space="0" w:color="auto"/>
            </w:tcBorders>
            <w:shd w:val="clear" w:color="auto" w:fill="auto"/>
            <w:vAlign w:val="center"/>
            <w:hideMark/>
          </w:tcPr>
          <w:p w14:paraId="3FF8B44E"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3 de setiembre del 2021, sobre oportunidades de mejora para el Tribunal Penal de Limón, respecto a los señalamientos de la Defensa Pública de Batán, así como otros temas.</w:t>
            </w:r>
          </w:p>
        </w:tc>
      </w:tr>
      <w:tr w:rsidR="00CF7396" w:rsidRPr="00CF7396" w14:paraId="78B725F7" w14:textId="77777777" w:rsidTr="00AF369B">
        <w:trPr>
          <w:trHeight w:val="551"/>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BBF993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w:t>
            </w:r>
          </w:p>
        </w:tc>
        <w:tc>
          <w:tcPr>
            <w:tcW w:w="2269" w:type="dxa"/>
            <w:tcBorders>
              <w:top w:val="nil"/>
              <w:left w:val="nil"/>
              <w:bottom w:val="single" w:sz="4" w:space="0" w:color="auto"/>
              <w:right w:val="single" w:sz="4" w:space="0" w:color="auto"/>
            </w:tcBorders>
            <w:shd w:val="clear" w:color="auto" w:fill="auto"/>
            <w:vAlign w:val="center"/>
            <w:hideMark/>
          </w:tcPr>
          <w:p w14:paraId="4065BA6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840-PLA-EV-MNTA-2021</w:t>
            </w:r>
          </w:p>
        </w:tc>
        <w:tc>
          <w:tcPr>
            <w:tcW w:w="8789" w:type="dxa"/>
            <w:tcBorders>
              <w:top w:val="nil"/>
              <w:left w:val="nil"/>
              <w:bottom w:val="single" w:sz="4" w:space="0" w:color="auto"/>
              <w:right w:val="single" w:sz="4" w:space="0" w:color="auto"/>
            </w:tcBorders>
            <w:shd w:val="clear" w:color="auto" w:fill="auto"/>
            <w:vAlign w:val="center"/>
            <w:hideMark/>
          </w:tcPr>
          <w:p w14:paraId="19AC0E8E"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8-9-21 con el Tribunal Penal y la Sección de Flagrancia para formular posibles propuestas para reducción del circulante del Tribunal Ordinario</w:t>
            </w:r>
          </w:p>
        </w:tc>
      </w:tr>
      <w:tr w:rsidR="00CF7396" w:rsidRPr="00CF7396" w14:paraId="2737CE9A" w14:textId="77777777" w:rsidTr="00AF369B">
        <w:trPr>
          <w:trHeight w:val="701"/>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2538606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w:t>
            </w:r>
          </w:p>
        </w:tc>
        <w:tc>
          <w:tcPr>
            <w:tcW w:w="2269" w:type="dxa"/>
            <w:tcBorders>
              <w:top w:val="nil"/>
              <w:left w:val="nil"/>
              <w:bottom w:val="single" w:sz="4" w:space="0" w:color="auto"/>
              <w:right w:val="single" w:sz="4" w:space="0" w:color="auto"/>
            </w:tcBorders>
            <w:shd w:val="clear" w:color="auto" w:fill="auto"/>
            <w:vAlign w:val="center"/>
            <w:hideMark/>
          </w:tcPr>
          <w:p w14:paraId="7ED72A0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880-PLA-EV-MNTA-2021</w:t>
            </w:r>
          </w:p>
        </w:tc>
        <w:tc>
          <w:tcPr>
            <w:tcW w:w="8789" w:type="dxa"/>
            <w:tcBorders>
              <w:top w:val="nil"/>
              <w:left w:val="nil"/>
              <w:bottom w:val="single" w:sz="4" w:space="0" w:color="auto"/>
              <w:right w:val="single" w:sz="4" w:space="0" w:color="auto"/>
            </w:tcBorders>
            <w:shd w:val="clear" w:color="auto" w:fill="auto"/>
            <w:vAlign w:val="center"/>
            <w:hideMark/>
          </w:tcPr>
          <w:p w14:paraId="1F73595C"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16 de setiembre del 2021 con los despachos del Modelo del ICJ Zona Atlántica, para capacitarles sobre los Indicadores automatizados.</w:t>
            </w:r>
          </w:p>
        </w:tc>
      </w:tr>
      <w:tr w:rsidR="00CF7396" w:rsidRPr="00CF7396" w14:paraId="3675313D" w14:textId="77777777" w:rsidTr="00AF369B">
        <w:trPr>
          <w:trHeight w:val="697"/>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22FDBBE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21</w:t>
            </w:r>
          </w:p>
        </w:tc>
        <w:tc>
          <w:tcPr>
            <w:tcW w:w="2269" w:type="dxa"/>
            <w:tcBorders>
              <w:top w:val="nil"/>
              <w:left w:val="nil"/>
              <w:bottom w:val="single" w:sz="4" w:space="0" w:color="auto"/>
              <w:right w:val="single" w:sz="4" w:space="0" w:color="auto"/>
            </w:tcBorders>
            <w:shd w:val="clear" w:color="auto" w:fill="auto"/>
            <w:vAlign w:val="center"/>
            <w:hideMark/>
          </w:tcPr>
          <w:p w14:paraId="7B1EF54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889-PLA-EV-MNTA-2021</w:t>
            </w:r>
          </w:p>
        </w:tc>
        <w:tc>
          <w:tcPr>
            <w:tcW w:w="8789" w:type="dxa"/>
            <w:tcBorders>
              <w:top w:val="nil"/>
              <w:left w:val="nil"/>
              <w:bottom w:val="single" w:sz="4" w:space="0" w:color="auto"/>
              <w:right w:val="single" w:sz="4" w:space="0" w:color="auto"/>
            </w:tcBorders>
            <w:shd w:val="clear" w:color="auto" w:fill="auto"/>
            <w:vAlign w:val="center"/>
            <w:hideMark/>
          </w:tcPr>
          <w:p w14:paraId="6DB43C2B"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 xml:space="preserve">Minuta de gira al Juzgado Contravencional de </w:t>
            </w:r>
            <w:proofErr w:type="spellStart"/>
            <w:r w:rsidRPr="00CF7396">
              <w:rPr>
                <w:color w:val="000000" w:themeColor="text1"/>
                <w:lang w:val="es-CR" w:eastAsia="es-CR"/>
              </w:rPr>
              <w:t>Bribrí</w:t>
            </w:r>
            <w:proofErr w:type="spellEnd"/>
            <w:r w:rsidRPr="00CF7396">
              <w:rPr>
                <w:color w:val="000000" w:themeColor="text1"/>
                <w:lang w:val="es-CR" w:eastAsia="es-CR"/>
              </w:rPr>
              <w:t xml:space="preserve"> para ubicar presencialmente a una persona supernumeraria en la oficina, así como aplicación del protocolo COVID-19.</w:t>
            </w:r>
          </w:p>
        </w:tc>
      </w:tr>
      <w:tr w:rsidR="00CF7396" w:rsidRPr="00CF7396" w14:paraId="578AA72B" w14:textId="77777777" w:rsidTr="00AF369B">
        <w:trPr>
          <w:trHeight w:val="693"/>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48EEAF2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22</w:t>
            </w:r>
          </w:p>
        </w:tc>
        <w:tc>
          <w:tcPr>
            <w:tcW w:w="2269" w:type="dxa"/>
            <w:tcBorders>
              <w:top w:val="nil"/>
              <w:left w:val="nil"/>
              <w:bottom w:val="single" w:sz="4" w:space="0" w:color="auto"/>
              <w:right w:val="single" w:sz="4" w:space="0" w:color="auto"/>
            </w:tcBorders>
            <w:shd w:val="clear" w:color="auto" w:fill="auto"/>
            <w:vAlign w:val="center"/>
            <w:hideMark/>
          </w:tcPr>
          <w:p w14:paraId="07C140C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894-PLA-EV-MNTA-2021</w:t>
            </w:r>
          </w:p>
        </w:tc>
        <w:tc>
          <w:tcPr>
            <w:tcW w:w="8789" w:type="dxa"/>
            <w:tcBorders>
              <w:top w:val="nil"/>
              <w:left w:val="nil"/>
              <w:bottom w:val="single" w:sz="4" w:space="0" w:color="auto"/>
              <w:right w:val="single" w:sz="4" w:space="0" w:color="auto"/>
            </w:tcBorders>
            <w:shd w:val="clear" w:color="auto" w:fill="auto"/>
            <w:vAlign w:val="center"/>
            <w:hideMark/>
          </w:tcPr>
          <w:p w14:paraId="1BDF108D"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 xml:space="preserve">Minuta de gira realizada el 10 de setiembre al Juzgado Penal de </w:t>
            </w:r>
            <w:proofErr w:type="spellStart"/>
            <w:r w:rsidRPr="00CF7396">
              <w:rPr>
                <w:color w:val="000000" w:themeColor="text1"/>
                <w:lang w:val="es-CR" w:eastAsia="es-CR"/>
              </w:rPr>
              <w:t>Bribrí</w:t>
            </w:r>
            <w:proofErr w:type="spellEnd"/>
            <w:r w:rsidRPr="00CF7396">
              <w:rPr>
                <w:color w:val="000000" w:themeColor="text1"/>
                <w:lang w:val="es-CR" w:eastAsia="es-CR"/>
              </w:rPr>
              <w:t xml:space="preserve"> para implementar plan de trabajo de personal supernumerario y cumplir con los protocolos del COVID-19</w:t>
            </w:r>
          </w:p>
        </w:tc>
      </w:tr>
      <w:tr w:rsidR="00CF7396" w:rsidRPr="00CF7396" w14:paraId="736A4CC0" w14:textId="77777777" w:rsidTr="00AF369B">
        <w:trPr>
          <w:trHeight w:val="662"/>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7D3C146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w:t>
            </w:r>
          </w:p>
        </w:tc>
        <w:tc>
          <w:tcPr>
            <w:tcW w:w="2269" w:type="dxa"/>
            <w:tcBorders>
              <w:top w:val="nil"/>
              <w:left w:val="nil"/>
              <w:bottom w:val="single" w:sz="4" w:space="0" w:color="auto"/>
              <w:right w:val="single" w:sz="4" w:space="0" w:color="auto"/>
            </w:tcBorders>
            <w:shd w:val="clear" w:color="auto" w:fill="auto"/>
            <w:vAlign w:val="center"/>
            <w:hideMark/>
          </w:tcPr>
          <w:p w14:paraId="04E8AAD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928-PLA-EV-MNTA-2021</w:t>
            </w:r>
          </w:p>
        </w:tc>
        <w:tc>
          <w:tcPr>
            <w:tcW w:w="8789" w:type="dxa"/>
            <w:tcBorders>
              <w:top w:val="nil"/>
              <w:left w:val="nil"/>
              <w:bottom w:val="single" w:sz="4" w:space="0" w:color="auto"/>
              <w:right w:val="single" w:sz="4" w:space="0" w:color="auto"/>
            </w:tcBorders>
            <w:shd w:val="clear" w:color="auto" w:fill="auto"/>
            <w:vAlign w:val="center"/>
            <w:hideMark/>
          </w:tcPr>
          <w:p w14:paraId="6CEDA1EF"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 xml:space="preserve">Minuta de reunión del 23-09-21 con la </w:t>
            </w:r>
            <w:proofErr w:type="gramStart"/>
            <w:r w:rsidRPr="00CF7396">
              <w:rPr>
                <w:color w:val="000000" w:themeColor="text1"/>
                <w:lang w:val="es-CR" w:eastAsia="es-CR"/>
              </w:rPr>
              <w:t>Fiscalía General</w:t>
            </w:r>
            <w:proofErr w:type="gramEnd"/>
            <w:r w:rsidRPr="00CF7396">
              <w:rPr>
                <w:color w:val="000000" w:themeColor="text1"/>
                <w:lang w:val="es-CR" w:eastAsia="es-CR"/>
              </w:rPr>
              <w:t>, Fiscal Adjunto de Limón, Sección de Flagrancia sobre oportunidades de mejora para el Tribunal y Flagrancia, para aumentar el circulante de Flagrancia.</w:t>
            </w:r>
          </w:p>
        </w:tc>
      </w:tr>
      <w:tr w:rsidR="00CF7396" w:rsidRPr="00CF7396" w14:paraId="10139097" w14:textId="77777777" w:rsidTr="00AF369B">
        <w:trPr>
          <w:trHeight w:val="828"/>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500F569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24</w:t>
            </w:r>
          </w:p>
        </w:tc>
        <w:tc>
          <w:tcPr>
            <w:tcW w:w="2269" w:type="dxa"/>
            <w:tcBorders>
              <w:top w:val="nil"/>
              <w:left w:val="nil"/>
              <w:bottom w:val="single" w:sz="4" w:space="0" w:color="auto"/>
              <w:right w:val="single" w:sz="4" w:space="0" w:color="auto"/>
            </w:tcBorders>
            <w:shd w:val="clear" w:color="auto" w:fill="auto"/>
            <w:vAlign w:val="center"/>
            <w:hideMark/>
          </w:tcPr>
          <w:p w14:paraId="7778B30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929-PLA-EV-MNTA-2021</w:t>
            </w:r>
          </w:p>
        </w:tc>
        <w:tc>
          <w:tcPr>
            <w:tcW w:w="8789" w:type="dxa"/>
            <w:tcBorders>
              <w:top w:val="nil"/>
              <w:left w:val="nil"/>
              <w:bottom w:val="single" w:sz="4" w:space="0" w:color="auto"/>
              <w:right w:val="single" w:sz="4" w:space="0" w:color="auto"/>
            </w:tcBorders>
            <w:shd w:val="clear" w:color="auto" w:fill="auto"/>
            <w:vAlign w:val="center"/>
            <w:hideMark/>
          </w:tcPr>
          <w:p w14:paraId="6C7999F1"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4-10 con la Sección de Flagrancia y el Juzgado Penal de Limón para buscar oportunidades de mejora para reducir el circulante del Tribunal Ordinario y aumentar a Flagrancia</w:t>
            </w:r>
          </w:p>
        </w:tc>
      </w:tr>
      <w:tr w:rsidR="00CF7396" w:rsidRPr="00CF7396" w14:paraId="32C19535" w14:textId="77777777" w:rsidTr="00AF369B">
        <w:trPr>
          <w:trHeight w:val="698"/>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599EA2D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25</w:t>
            </w:r>
          </w:p>
        </w:tc>
        <w:tc>
          <w:tcPr>
            <w:tcW w:w="2269" w:type="dxa"/>
            <w:tcBorders>
              <w:top w:val="nil"/>
              <w:left w:val="nil"/>
              <w:bottom w:val="single" w:sz="4" w:space="0" w:color="auto"/>
              <w:right w:val="single" w:sz="4" w:space="0" w:color="auto"/>
            </w:tcBorders>
            <w:shd w:val="clear" w:color="auto" w:fill="auto"/>
            <w:vAlign w:val="center"/>
            <w:hideMark/>
          </w:tcPr>
          <w:p w14:paraId="35D9A52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930-PLA-EV-MNTA-2021</w:t>
            </w:r>
          </w:p>
        </w:tc>
        <w:tc>
          <w:tcPr>
            <w:tcW w:w="8789" w:type="dxa"/>
            <w:tcBorders>
              <w:top w:val="nil"/>
              <w:left w:val="nil"/>
              <w:bottom w:val="single" w:sz="4" w:space="0" w:color="auto"/>
              <w:right w:val="single" w:sz="4" w:space="0" w:color="auto"/>
            </w:tcBorders>
            <w:shd w:val="clear" w:color="auto" w:fill="auto"/>
            <w:vAlign w:val="center"/>
            <w:hideMark/>
          </w:tcPr>
          <w:p w14:paraId="79A10ECC"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 xml:space="preserve">Minuta de reunión con el Tribunal Penal, Ministerio Público, Defensa Pública, Organismo de Investigación Judicial de Limón y </w:t>
            </w:r>
            <w:proofErr w:type="spellStart"/>
            <w:r w:rsidRPr="00CF7396">
              <w:rPr>
                <w:color w:val="000000" w:themeColor="text1"/>
                <w:lang w:val="es-CR" w:eastAsia="es-CR"/>
              </w:rPr>
              <w:t>Bribrí</w:t>
            </w:r>
            <w:proofErr w:type="spellEnd"/>
            <w:r w:rsidRPr="00CF7396">
              <w:rPr>
                <w:color w:val="000000" w:themeColor="text1"/>
                <w:lang w:val="es-CR" w:eastAsia="es-CR"/>
              </w:rPr>
              <w:t xml:space="preserve"> sobre seguimiento de acuerdos tomados en reunión del 3 de agosto, respecto la hora de los señalamientos en </w:t>
            </w:r>
            <w:proofErr w:type="spellStart"/>
            <w:r w:rsidRPr="00CF7396">
              <w:rPr>
                <w:color w:val="000000" w:themeColor="text1"/>
                <w:lang w:val="es-CR" w:eastAsia="es-CR"/>
              </w:rPr>
              <w:t>Bribrí</w:t>
            </w:r>
            <w:proofErr w:type="spellEnd"/>
            <w:r w:rsidRPr="00CF7396">
              <w:rPr>
                <w:color w:val="000000" w:themeColor="text1"/>
                <w:lang w:val="es-CR" w:eastAsia="es-CR"/>
              </w:rPr>
              <w:t>.</w:t>
            </w:r>
          </w:p>
        </w:tc>
      </w:tr>
      <w:tr w:rsidR="00CF7396" w:rsidRPr="00CF7396" w14:paraId="12F060FF" w14:textId="77777777" w:rsidTr="00AF369B">
        <w:trPr>
          <w:trHeight w:val="849"/>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4785D7B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lastRenderedPageBreak/>
              <w:t>26</w:t>
            </w:r>
          </w:p>
        </w:tc>
        <w:tc>
          <w:tcPr>
            <w:tcW w:w="2269" w:type="dxa"/>
            <w:tcBorders>
              <w:top w:val="nil"/>
              <w:left w:val="nil"/>
              <w:bottom w:val="single" w:sz="4" w:space="0" w:color="auto"/>
              <w:right w:val="single" w:sz="4" w:space="0" w:color="auto"/>
            </w:tcBorders>
            <w:shd w:val="clear" w:color="auto" w:fill="auto"/>
            <w:vAlign w:val="center"/>
            <w:hideMark/>
          </w:tcPr>
          <w:p w14:paraId="74B1499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936-PLA-EV-MNTA-2021</w:t>
            </w:r>
          </w:p>
        </w:tc>
        <w:tc>
          <w:tcPr>
            <w:tcW w:w="8789" w:type="dxa"/>
            <w:tcBorders>
              <w:top w:val="nil"/>
              <w:left w:val="nil"/>
              <w:bottom w:val="single" w:sz="4" w:space="0" w:color="auto"/>
              <w:right w:val="single" w:sz="4" w:space="0" w:color="auto"/>
            </w:tcBorders>
            <w:shd w:val="clear" w:color="auto" w:fill="auto"/>
            <w:vAlign w:val="center"/>
            <w:hideMark/>
          </w:tcPr>
          <w:p w14:paraId="50602175"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5-10-21 con el Tribunal Penal de Limón y las juezas tramitadoras para dar a conocer los acuerdos tomados en relación con los señalamientos y la agenda cronos</w:t>
            </w:r>
          </w:p>
        </w:tc>
      </w:tr>
      <w:tr w:rsidR="00CF7396" w:rsidRPr="00CF7396" w14:paraId="35C10FCF" w14:textId="77777777" w:rsidTr="00AF369B">
        <w:trPr>
          <w:trHeight w:val="833"/>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2AC5C1C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27</w:t>
            </w:r>
          </w:p>
        </w:tc>
        <w:tc>
          <w:tcPr>
            <w:tcW w:w="2269" w:type="dxa"/>
            <w:tcBorders>
              <w:top w:val="nil"/>
              <w:left w:val="nil"/>
              <w:bottom w:val="single" w:sz="4" w:space="0" w:color="auto"/>
              <w:right w:val="single" w:sz="4" w:space="0" w:color="auto"/>
            </w:tcBorders>
            <w:shd w:val="clear" w:color="auto" w:fill="auto"/>
            <w:vAlign w:val="center"/>
            <w:hideMark/>
          </w:tcPr>
          <w:p w14:paraId="7FA87A8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940-PLA-EV-MNTA-2021</w:t>
            </w:r>
          </w:p>
        </w:tc>
        <w:tc>
          <w:tcPr>
            <w:tcW w:w="8789" w:type="dxa"/>
            <w:tcBorders>
              <w:top w:val="nil"/>
              <w:left w:val="nil"/>
              <w:bottom w:val="single" w:sz="4" w:space="0" w:color="auto"/>
              <w:right w:val="single" w:sz="4" w:space="0" w:color="auto"/>
            </w:tcBorders>
            <w:shd w:val="clear" w:color="auto" w:fill="auto"/>
            <w:vAlign w:val="center"/>
            <w:hideMark/>
          </w:tcPr>
          <w:p w14:paraId="7D72BCC7"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 xml:space="preserve">Minuta de reunión del 11-10-21 con el Tribunal Penal de Limón y la Defensa Pública para determinar los señalamientos de octubre para la plaza adicional de Juez de Apoyo y del permiso con goce de salario del Fiscal de </w:t>
            </w:r>
            <w:proofErr w:type="spellStart"/>
            <w:r w:rsidRPr="00CF7396">
              <w:rPr>
                <w:color w:val="000000" w:themeColor="text1"/>
                <w:lang w:val="es-CR" w:eastAsia="es-CR"/>
              </w:rPr>
              <w:t>Bribrí</w:t>
            </w:r>
            <w:proofErr w:type="spellEnd"/>
          </w:p>
        </w:tc>
      </w:tr>
      <w:tr w:rsidR="00CF7396" w:rsidRPr="00CF7396" w14:paraId="1DCAB957" w14:textId="77777777" w:rsidTr="00AF369B">
        <w:trPr>
          <w:trHeight w:val="845"/>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4A88593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w:t>
            </w:r>
          </w:p>
        </w:tc>
        <w:tc>
          <w:tcPr>
            <w:tcW w:w="2269" w:type="dxa"/>
            <w:tcBorders>
              <w:top w:val="nil"/>
              <w:left w:val="nil"/>
              <w:bottom w:val="single" w:sz="4" w:space="0" w:color="auto"/>
              <w:right w:val="single" w:sz="4" w:space="0" w:color="auto"/>
            </w:tcBorders>
            <w:shd w:val="clear" w:color="auto" w:fill="auto"/>
            <w:vAlign w:val="center"/>
            <w:hideMark/>
          </w:tcPr>
          <w:p w14:paraId="6BD40EE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957-PLA-EV-MNTA-2021</w:t>
            </w:r>
          </w:p>
        </w:tc>
        <w:tc>
          <w:tcPr>
            <w:tcW w:w="8789" w:type="dxa"/>
            <w:tcBorders>
              <w:top w:val="nil"/>
              <w:left w:val="nil"/>
              <w:bottom w:val="single" w:sz="4" w:space="0" w:color="auto"/>
              <w:right w:val="single" w:sz="4" w:space="0" w:color="auto"/>
            </w:tcBorders>
            <w:shd w:val="clear" w:color="auto" w:fill="auto"/>
            <w:vAlign w:val="center"/>
            <w:hideMark/>
          </w:tcPr>
          <w:p w14:paraId="414C0E3B"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18-10-21 con el Juzgado Agrario, Centro de Conciliación de Limón y Gestora Agraria en representación de la Comisión de la Jurisdicción Agraria, Gestora Laboral, sobre audiencias anticipada en materia agraria.</w:t>
            </w:r>
          </w:p>
        </w:tc>
      </w:tr>
      <w:tr w:rsidR="00CF7396" w:rsidRPr="00CF7396" w14:paraId="53F1AE36" w14:textId="77777777" w:rsidTr="00AF369B">
        <w:trPr>
          <w:trHeight w:val="701"/>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0534F22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29</w:t>
            </w:r>
          </w:p>
        </w:tc>
        <w:tc>
          <w:tcPr>
            <w:tcW w:w="2269" w:type="dxa"/>
            <w:tcBorders>
              <w:top w:val="nil"/>
              <w:left w:val="nil"/>
              <w:bottom w:val="single" w:sz="4" w:space="0" w:color="auto"/>
              <w:right w:val="single" w:sz="4" w:space="0" w:color="auto"/>
            </w:tcBorders>
            <w:shd w:val="clear" w:color="auto" w:fill="auto"/>
            <w:vAlign w:val="center"/>
            <w:hideMark/>
          </w:tcPr>
          <w:p w14:paraId="5B3AC12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970-PLA-EV-MNTA-2021</w:t>
            </w:r>
          </w:p>
        </w:tc>
        <w:tc>
          <w:tcPr>
            <w:tcW w:w="8789" w:type="dxa"/>
            <w:tcBorders>
              <w:top w:val="nil"/>
              <w:left w:val="nil"/>
              <w:bottom w:val="single" w:sz="4" w:space="0" w:color="auto"/>
              <w:right w:val="single" w:sz="4" w:space="0" w:color="auto"/>
            </w:tcBorders>
            <w:shd w:val="clear" w:color="auto" w:fill="auto"/>
            <w:vAlign w:val="center"/>
            <w:hideMark/>
          </w:tcPr>
          <w:p w14:paraId="78118A40"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del 22-10-2021 con la Administración Regional de Limón para exponerles el protocolo de las Salas de Juicio realizado en Heredia, para valorar su implementación en el Circuito</w:t>
            </w:r>
          </w:p>
        </w:tc>
      </w:tr>
      <w:tr w:rsidR="00CF7396" w:rsidRPr="00CF7396" w14:paraId="53D88141" w14:textId="77777777" w:rsidTr="00AF369B">
        <w:trPr>
          <w:trHeight w:val="698"/>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79B53C4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30</w:t>
            </w:r>
          </w:p>
        </w:tc>
        <w:tc>
          <w:tcPr>
            <w:tcW w:w="2269" w:type="dxa"/>
            <w:tcBorders>
              <w:top w:val="nil"/>
              <w:left w:val="nil"/>
              <w:bottom w:val="single" w:sz="4" w:space="0" w:color="auto"/>
              <w:right w:val="single" w:sz="4" w:space="0" w:color="auto"/>
            </w:tcBorders>
            <w:shd w:val="clear" w:color="auto" w:fill="auto"/>
            <w:vAlign w:val="center"/>
            <w:hideMark/>
          </w:tcPr>
          <w:p w14:paraId="38D6A13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1020-PLA-EV-MNTA-2021</w:t>
            </w:r>
          </w:p>
        </w:tc>
        <w:tc>
          <w:tcPr>
            <w:tcW w:w="8789" w:type="dxa"/>
            <w:tcBorders>
              <w:top w:val="nil"/>
              <w:left w:val="nil"/>
              <w:bottom w:val="single" w:sz="4" w:space="0" w:color="auto"/>
              <w:right w:val="single" w:sz="4" w:space="0" w:color="auto"/>
            </w:tcBorders>
            <w:shd w:val="clear" w:color="auto" w:fill="auto"/>
            <w:vAlign w:val="center"/>
            <w:hideMark/>
          </w:tcPr>
          <w:p w14:paraId="1CF3E658"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 xml:space="preserve">Minuta de reunión del 29-10 con los Juzgados Penales de Limón, </w:t>
            </w:r>
            <w:proofErr w:type="spellStart"/>
            <w:r w:rsidRPr="00CF7396">
              <w:rPr>
                <w:color w:val="000000" w:themeColor="text1"/>
                <w:lang w:val="es-CR" w:eastAsia="es-CR"/>
              </w:rPr>
              <w:t>Bribrí</w:t>
            </w:r>
            <w:proofErr w:type="spellEnd"/>
            <w:r w:rsidRPr="00CF7396">
              <w:rPr>
                <w:color w:val="000000" w:themeColor="text1"/>
                <w:lang w:val="es-CR" w:eastAsia="es-CR"/>
              </w:rPr>
              <w:t xml:space="preserve"> y Batán sobre realizar un muestreo de los asuntos que son de Flagrancia</w:t>
            </w:r>
          </w:p>
        </w:tc>
      </w:tr>
      <w:tr w:rsidR="00CF7396" w:rsidRPr="00CF7396" w14:paraId="377F4DA1" w14:textId="77777777" w:rsidTr="00AF369B">
        <w:trPr>
          <w:trHeight w:val="551"/>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33E378C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31</w:t>
            </w:r>
          </w:p>
        </w:tc>
        <w:tc>
          <w:tcPr>
            <w:tcW w:w="2269" w:type="dxa"/>
            <w:tcBorders>
              <w:top w:val="nil"/>
              <w:left w:val="nil"/>
              <w:bottom w:val="single" w:sz="4" w:space="0" w:color="auto"/>
              <w:right w:val="single" w:sz="4" w:space="0" w:color="auto"/>
            </w:tcBorders>
            <w:shd w:val="clear" w:color="auto" w:fill="auto"/>
            <w:vAlign w:val="center"/>
            <w:hideMark/>
          </w:tcPr>
          <w:p w14:paraId="389E105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1021-PLA-EV-MNTA-2021</w:t>
            </w:r>
          </w:p>
        </w:tc>
        <w:tc>
          <w:tcPr>
            <w:tcW w:w="8789" w:type="dxa"/>
            <w:tcBorders>
              <w:top w:val="nil"/>
              <w:left w:val="nil"/>
              <w:bottom w:val="single" w:sz="4" w:space="0" w:color="auto"/>
              <w:right w:val="single" w:sz="4" w:space="0" w:color="auto"/>
            </w:tcBorders>
            <w:shd w:val="clear" w:color="auto" w:fill="auto"/>
            <w:vAlign w:val="center"/>
            <w:hideMark/>
          </w:tcPr>
          <w:p w14:paraId="22E49D9D"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4-11-21 con la Fuerza Pública de Limón, viabilidad para realizar un muestreo con el fin de identificar posibles asuntos típicos de delitos que corresponden a Flagrancia.</w:t>
            </w:r>
          </w:p>
        </w:tc>
      </w:tr>
      <w:tr w:rsidR="00CF7396" w:rsidRPr="00CF7396" w14:paraId="1C15B48A" w14:textId="77777777" w:rsidTr="00AF369B">
        <w:trPr>
          <w:trHeight w:val="574"/>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29D1D8C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32</w:t>
            </w:r>
          </w:p>
        </w:tc>
        <w:tc>
          <w:tcPr>
            <w:tcW w:w="2269" w:type="dxa"/>
            <w:tcBorders>
              <w:top w:val="nil"/>
              <w:left w:val="nil"/>
              <w:bottom w:val="single" w:sz="4" w:space="0" w:color="auto"/>
              <w:right w:val="single" w:sz="4" w:space="0" w:color="auto"/>
            </w:tcBorders>
            <w:shd w:val="clear" w:color="auto" w:fill="auto"/>
            <w:vAlign w:val="center"/>
            <w:hideMark/>
          </w:tcPr>
          <w:p w14:paraId="72771CF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1049-PLA-EV-MNTA-2021</w:t>
            </w:r>
          </w:p>
        </w:tc>
        <w:tc>
          <w:tcPr>
            <w:tcW w:w="8789" w:type="dxa"/>
            <w:tcBorders>
              <w:top w:val="nil"/>
              <w:left w:val="nil"/>
              <w:bottom w:val="single" w:sz="4" w:space="0" w:color="auto"/>
              <w:right w:val="single" w:sz="4" w:space="0" w:color="auto"/>
            </w:tcBorders>
            <w:shd w:val="clear" w:color="auto" w:fill="auto"/>
            <w:vAlign w:val="center"/>
            <w:hideMark/>
          </w:tcPr>
          <w:p w14:paraId="5E9F3088"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con el Tribunal Penal de Limón el 11-11-21 sobre la herramienta del tamizaje de delitos en Flagrancia</w:t>
            </w:r>
          </w:p>
        </w:tc>
      </w:tr>
      <w:tr w:rsidR="00CF7396" w:rsidRPr="00CF7396" w14:paraId="6B33C7E2" w14:textId="77777777" w:rsidTr="00AF369B">
        <w:trPr>
          <w:trHeight w:val="540"/>
        </w:trPr>
        <w:tc>
          <w:tcPr>
            <w:tcW w:w="425" w:type="dxa"/>
            <w:tcBorders>
              <w:top w:val="nil"/>
              <w:left w:val="single" w:sz="4" w:space="0" w:color="auto"/>
              <w:bottom w:val="single" w:sz="4" w:space="0" w:color="auto"/>
              <w:right w:val="single" w:sz="4" w:space="0" w:color="auto"/>
            </w:tcBorders>
            <w:shd w:val="clear" w:color="auto" w:fill="auto"/>
            <w:vAlign w:val="center"/>
            <w:hideMark/>
          </w:tcPr>
          <w:p w14:paraId="07BBD18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33</w:t>
            </w:r>
          </w:p>
        </w:tc>
        <w:tc>
          <w:tcPr>
            <w:tcW w:w="2269" w:type="dxa"/>
            <w:tcBorders>
              <w:top w:val="nil"/>
              <w:left w:val="nil"/>
              <w:bottom w:val="single" w:sz="4" w:space="0" w:color="auto"/>
              <w:right w:val="single" w:sz="4" w:space="0" w:color="auto"/>
            </w:tcBorders>
            <w:shd w:val="clear" w:color="auto" w:fill="auto"/>
            <w:vAlign w:val="center"/>
            <w:hideMark/>
          </w:tcPr>
          <w:p w14:paraId="4B61CEC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1105-PLA-EV-MNTA-2021</w:t>
            </w:r>
          </w:p>
        </w:tc>
        <w:tc>
          <w:tcPr>
            <w:tcW w:w="8789" w:type="dxa"/>
            <w:tcBorders>
              <w:top w:val="nil"/>
              <w:left w:val="nil"/>
              <w:bottom w:val="single" w:sz="4" w:space="0" w:color="auto"/>
              <w:right w:val="single" w:sz="4" w:space="0" w:color="auto"/>
            </w:tcBorders>
            <w:shd w:val="clear" w:color="auto" w:fill="auto"/>
            <w:vAlign w:val="center"/>
            <w:hideMark/>
          </w:tcPr>
          <w:p w14:paraId="0246A4FA"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Minuta de reunión del 13-12-21 con el Juzgado Contravencional de Matina sobre refrescamiento en el completado de minutas de reunión y planes remediales</w:t>
            </w:r>
          </w:p>
        </w:tc>
      </w:tr>
    </w:tbl>
    <w:p w14:paraId="3C882ABB" w14:textId="77777777" w:rsidR="00CF7396" w:rsidRPr="00CF7396" w:rsidRDefault="00CF7396" w:rsidP="00CF7396">
      <w:pPr>
        <w:ind w:left="-851"/>
        <w:contextualSpacing/>
        <w:jc w:val="both"/>
        <w:rPr>
          <w:color w:val="000000" w:themeColor="text1"/>
          <w:lang w:val="es-CR" w:eastAsia="zh-CN"/>
        </w:rPr>
      </w:pPr>
      <w:r w:rsidRPr="00CF7396">
        <w:rPr>
          <w:b/>
          <w:bCs/>
          <w:color w:val="000000" w:themeColor="text1"/>
          <w:lang w:val="es-CR" w:eastAsia="zh-CN"/>
        </w:rPr>
        <w:t xml:space="preserve">Fuente: </w:t>
      </w:r>
      <w:r w:rsidRPr="00CF7396">
        <w:rPr>
          <w:color w:val="000000" w:themeColor="text1"/>
          <w:lang w:val="es-CR" w:eastAsia="zh-CN"/>
        </w:rPr>
        <w:t xml:space="preserve">Datos tomados del Sistema Integrado de Correspondencia Electrónica de la Dirección de Planificación. </w:t>
      </w:r>
    </w:p>
    <w:p w14:paraId="4EDC1BA1" w14:textId="77777777" w:rsidR="00CF7396" w:rsidRPr="00CF7396" w:rsidRDefault="00CF7396" w:rsidP="00CF7396">
      <w:pPr>
        <w:ind w:left="720"/>
        <w:contextualSpacing/>
        <w:jc w:val="both"/>
        <w:rPr>
          <w:color w:val="000000" w:themeColor="text1"/>
          <w:lang w:val="es-CR" w:eastAsia="zh-CN"/>
        </w:rPr>
      </w:pPr>
    </w:p>
    <w:p w14:paraId="6D1CC534" w14:textId="77777777" w:rsidR="00CF7396" w:rsidRPr="00CF7396" w:rsidRDefault="00CF7396" w:rsidP="00CF7396">
      <w:pPr>
        <w:ind w:left="851" w:right="851" w:firstLine="709"/>
        <w:contextualSpacing/>
        <w:jc w:val="both"/>
        <w:rPr>
          <w:color w:val="000000" w:themeColor="text1"/>
          <w:lang w:val="es-CR" w:eastAsia="zh-CN"/>
        </w:rPr>
      </w:pPr>
      <w:r w:rsidRPr="00CF7396">
        <w:rPr>
          <w:color w:val="000000" w:themeColor="text1"/>
          <w:lang w:val="es-CR" w:eastAsia="zh-CN"/>
        </w:rPr>
        <w:t>Durante el 2021 se realizaron 33 minutas de reunión por parte de la Profesional de la Dirección de Planificación, de las cuales conllevan temas diversos como los son: refrescamientos del Modelo de Seguimiento y Sostenibilidad, oportunidades de mejora, planes de trabajo, entre otros. Importante agregar que adicionalmente se realizaron otras reuniones solicitadas propiamente por los despachos u oficinas judiciales; sin embargo, las más relevantes fueron las indicadas anteriormente.</w:t>
      </w:r>
    </w:p>
    <w:p w14:paraId="03C6544E" w14:textId="77777777" w:rsidR="00CF7396" w:rsidRPr="00CF7396" w:rsidRDefault="00CF7396" w:rsidP="00CF7396">
      <w:pPr>
        <w:ind w:left="851" w:right="851" w:firstLine="709"/>
        <w:contextualSpacing/>
        <w:jc w:val="both"/>
        <w:rPr>
          <w:color w:val="000000" w:themeColor="text1"/>
          <w:lang w:val="es-CR" w:eastAsia="zh-CN"/>
        </w:rPr>
      </w:pPr>
    </w:p>
    <w:p w14:paraId="6A9CE3EA" w14:textId="77777777" w:rsidR="00CF7396" w:rsidRPr="00CF7396" w:rsidRDefault="00CF7396" w:rsidP="00CF7396">
      <w:pPr>
        <w:numPr>
          <w:ilvl w:val="0"/>
          <w:numId w:val="38"/>
        </w:numPr>
        <w:ind w:left="851" w:right="851" w:firstLine="709"/>
        <w:contextualSpacing/>
        <w:jc w:val="both"/>
        <w:rPr>
          <w:color w:val="000000" w:themeColor="text1"/>
          <w:lang w:val="es-CR" w:eastAsia="zh-CN"/>
        </w:rPr>
      </w:pPr>
      <w:r w:rsidRPr="00CF7396">
        <w:rPr>
          <w:color w:val="000000" w:themeColor="text1"/>
          <w:lang w:val="es-CR" w:eastAsia="zh-CN"/>
        </w:rPr>
        <w:t xml:space="preserve">Aunado a lo anterior, también se asesoró y se brindó acompañamiento a los equipos de mejora que conforman el Modelo de Seguimiento de Sostenibilidad, en la reunión mensual de Indicadores. Por lo anterior, se programó una reunión anual con cada oficina, y se contó con la participación de la Administración Regional del Primer Circuito Judicial de la </w:t>
      </w:r>
      <w:r w:rsidRPr="00CF7396">
        <w:rPr>
          <w:color w:val="000000" w:themeColor="text1"/>
          <w:lang w:val="es-CR" w:eastAsia="zh-CN"/>
        </w:rPr>
        <w:lastRenderedPageBreak/>
        <w:t>Zona Atlántica. Dichas minutas fueron realizadas por los despachos judiciales, tal como se muestra a continuación:</w:t>
      </w:r>
    </w:p>
    <w:p w14:paraId="1FE06EF6" w14:textId="77777777" w:rsidR="00CF7396" w:rsidRPr="00CF7396" w:rsidRDefault="00CF7396" w:rsidP="00CF7396">
      <w:pPr>
        <w:ind w:left="720"/>
        <w:contextualSpacing/>
        <w:jc w:val="both"/>
        <w:rPr>
          <w:color w:val="000000" w:themeColor="text1"/>
          <w:lang w:val="es-CR" w:eastAsia="zh-CN"/>
        </w:rPr>
      </w:pPr>
    </w:p>
    <w:p w14:paraId="000D9CE0" w14:textId="77777777" w:rsidR="00CF7396" w:rsidRPr="00CF7396" w:rsidRDefault="00CF7396" w:rsidP="00CF7396">
      <w:pPr>
        <w:contextualSpacing/>
        <w:jc w:val="center"/>
        <w:rPr>
          <w:b/>
          <w:bCs/>
          <w:i/>
          <w:iCs/>
          <w:color w:val="000000" w:themeColor="text1"/>
          <w:lang w:val="es-CR" w:eastAsia="es-CR"/>
        </w:rPr>
      </w:pPr>
      <w:r w:rsidRPr="00CF7396">
        <w:rPr>
          <w:b/>
          <w:bCs/>
          <w:i/>
          <w:iCs/>
          <w:color w:val="000000" w:themeColor="text1"/>
          <w:lang w:val="es-CR" w:eastAsia="es-CR"/>
        </w:rPr>
        <w:t>Cuadro 4</w:t>
      </w:r>
    </w:p>
    <w:p w14:paraId="2547F81F" w14:textId="77777777" w:rsidR="00CF7396" w:rsidRPr="00CF7396" w:rsidRDefault="00CF7396" w:rsidP="00CF7396">
      <w:pPr>
        <w:contextualSpacing/>
        <w:jc w:val="center"/>
        <w:rPr>
          <w:b/>
          <w:bCs/>
          <w:i/>
          <w:iCs/>
          <w:color w:val="000000" w:themeColor="text1"/>
          <w:lang w:val="es-CR" w:eastAsia="es-CR"/>
        </w:rPr>
      </w:pPr>
      <w:r w:rsidRPr="00CF7396">
        <w:rPr>
          <w:b/>
          <w:bCs/>
          <w:i/>
          <w:iCs/>
          <w:color w:val="000000" w:themeColor="text1"/>
          <w:lang w:val="es-CR" w:eastAsia="es-CR"/>
        </w:rPr>
        <w:t>Reuniones con Equipos de Mejora de las oficinas incluidas en el Modelo de Seguimiento y Sostenibilidad del Primer Circuito Judicial de la Zona Atlántica</w:t>
      </w:r>
    </w:p>
    <w:p w14:paraId="55068053" w14:textId="77777777" w:rsidR="00CF7396" w:rsidRPr="00CF7396" w:rsidRDefault="00CF7396" w:rsidP="00CF7396">
      <w:pPr>
        <w:contextualSpacing/>
        <w:jc w:val="center"/>
        <w:rPr>
          <w:b/>
          <w:bCs/>
          <w:i/>
          <w:iCs/>
          <w:color w:val="000000" w:themeColor="text1"/>
          <w:lang w:val="es-CR" w:eastAsia="es-CR"/>
        </w:rPr>
      </w:pPr>
      <w:r w:rsidRPr="00CF7396">
        <w:rPr>
          <w:b/>
          <w:bCs/>
          <w:i/>
          <w:iCs/>
          <w:color w:val="000000" w:themeColor="text1"/>
          <w:lang w:val="es-CR" w:eastAsia="es-CR"/>
        </w:rPr>
        <w:t>Período 2021</w:t>
      </w:r>
    </w:p>
    <w:tbl>
      <w:tblPr>
        <w:tblW w:w="8700" w:type="dxa"/>
        <w:tblCellMar>
          <w:left w:w="70" w:type="dxa"/>
          <w:right w:w="70" w:type="dxa"/>
        </w:tblCellMar>
        <w:tblLook w:val="04A0" w:firstRow="1" w:lastRow="0" w:firstColumn="1" w:lastColumn="0" w:noHBand="0" w:noVBand="1"/>
      </w:tblPr>
      <w:tblGrid>
        <w:gridCol w:w="500"/>
        <w:gridCol w:w="6160"/>
        <w:gridCol w:w="2040"/>
      </w:tblGrid>
      <w:tr w:rsidR="00CF7396" w:rsidRPr="00CF7396" w14:paraId="0B054587" w14:textId="77777777" w:rsidTr="00AF369B">
        <w:trPr>
          <w:trHeight w:val="330"/>
          <w:tblHeader/>
        </w:trPr>
        <w:tc>
          <w:tcPr>
            <w:tcW w:w="500" w:type="dxa"/>
            <w:tcBorders>
              <w:top w:val="single" w:sz="4" w:space="0" w:color="auto"/>
              <w:left w:val="single" w:sz="4" w:space="0" w:color="auto"/>
              <w:bottom w:val="single" w:sz="4" w:space="0" w:color="auto"/>
              <w:right w:val="single" w:sz="4" w:space="0" w:color="auto"/>
            </w:tcBorders>
            <w:shd w:val="clear" w:color="000000" w:fill="203764"/>
            <w:noWrap/>
            <w:vAlign w:val="bottom"/>
            <w:hideMark/>
          </w:tcPr>
          <w:p w14:paraId="7575C711" w14:textId="77777777" w:rsidR="00CF7396" w:rsidRPr="00CF7396" w:rsidRDefault="00CF7396" w:rsidP="00CF7396">
            <w:pPr>
              <w:jc w:val="center"/>
              <w:rPr>
                <w:b/>
                <w:bCs/>
                <w:color w:val="000000" w:themeColor="text1"/>
                <w:lang w:val="es-CR" w:eastAsia="es-CR"/>
              </w:rPr>
            </w:pPr>
            <w:proofErr w:type="spellStart"/>
            <w:r w:rsidRPr="00CF7396">
              <w:rPr>
                <w:b/>
                <w:bCs/>
                <w:color w:val="000000" w:themeColor="text1"/>
                <w:lang w:val="es-CR" w:eastAsia="es-CR"/>
              </w:rPr>
              <w:t>N°</w:t>
            </w:r>
            <w:proofErr w:type="spellEnd"/>
          </w:p>
        </w:tc>
        <w:tc>
          <w:tcPr>
            <w:tcW w:w="6160" w:type="dxa"/>
            <w:tcBorders>
              <w:top w:val="single" w:sz="4" w:space="0" w:color="auto"/>
              <w:left w:val="nil"/>
              <w:bottom w:val="single" w:sz="4" w:space="0" w:color="auto"/>
              <w:right w:val="single" w:sz="4" w:space="0" w:color="auto"/>
            </w:tcBorders>
            <w:shd w:val="clear" w:color="000000" w:fill="203764"/>
            <w:noWrap/>
            <w:vAlign w:val="bottom"/>
            <w:hideMark/>
          </w:tcPr>
          <w:p w14:paraId="4262CBF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Despacho Judicial</w:t>
            </w:r>
          </w:p>
        </w:tc>
        <w:tc>
          <w:tcPr>
            <w:tcW w:w="2040" w:type="dxa"/>
            <w:tcBorders>
              <w:top w:val="single" w:sz="4" w:space="0" w:color="auto"/>
              <w:left w:val="nil"/>
              <w:bottom w:val="single" w:sz="4" w:space="0" w:color="auto"/>
              <w:right w:val="single" w:sz="4" w:space="0" w:color="auto"/>
            </w:tcBorders>
            <w:shd w:val="clear" w:color="000000" w:fill="203764"/>
            <w:noWrap/>
            <w:vAlign w:val="bottom"/>
            <w:hideMark/>
          </w:tcPr>
          <w:p w14:paraId="633889A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Fecha</w:t>
            </w:r>
          </w:p>
        </w:tc>
      </w:tr>
      <w:tr w:rsidR="00CF7396" w:rsidRPr="00CF7396" w14:paraId="5BF20C25" w14:textId="77777777" w:rsidTr="00AF369B">
        <w:trPr>
          <w:trHeight w:val="33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6449039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w:t>
            </w:r>
          </w:p>
        </w:tc>
        <w:tc>
          <w:tcPr>
            <w:tcW w:w="6160" w:type="dxa"/>
            <w:tcBorders>
              <w:top w:val="nil"/>
              <w:left w:val="nil"/>
              <w:bottom w:val="single" w:sz="4" w:space="0" w:color="auto"/>
              <w:right w:val="single" w:sz="4" w:space="0" w:color="auto"/>
            </w:tcBorders>
            <w:shd w:val="clear" w:color="auto" w:fill="auto"/>
            <w:noWrap/>
            <w:vAlign w:val="bottom"/>
            <w:hideMark/>
          </w:tcPr>
          <w:p w14:paraId="601A9C01" w14:textId="77777777" w:rsidR="00CF7396" w:rsidRPr="00CF7396" w:rsidRDefault="00CF7396" w:rsidP="00CF7396">
            <w:pPr>
              <w:rPr>
                <w:color w:val="000000" w:themeColor="text1"/>
                <w:lang w:val="es-CR" w:eastAsia="es-CR"/>
              </w:rPr>
            </w:pPr>
            <w:r w:rsidRPr="00CF7396">
              <w:rPr>
                <w:color w:val="000000" w:themeColor="text1"/>
                <w:lang w:val="es-CR" w:eastAsia="es-CR"/>
              </w:rPr>
              <w:t xml:space="preserve">Juzgado Civil del ICJ ZA </w:t>
            </w:r>
          </w:p>
        </w:tc>
        <w:tc>
          <w:tcPr>
            <w:tcW w:w="2040" w:type="dxa"/>
            <w:tcBorders>
              <w:top w:val="nil"/>
              <w:left w:val="nil"/>
              <w:bottom w:val="single" w:sz="4" w:space="0" w:color="auto"/>
              <w:right w:val="single" w:sz="4" w:space="0" w:color="auto"/>
            </w:tcBorders>
            <w:shd w:val="clear" w:color="auto" w:fill="auto"/>
            <w:noWrap/>
            <w:vAlign w:val="bottom"/>
            <w:hideMark/>
          </w:tcPr>
          <w:p w14:paraId="77DFB36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12/5/2021</w:t>
            </w:r>
          </w:p>
        </w:tc>
      </w:tr>
      <w:tr w:rsidR="00CF7396" w:rsidRPr="00CF7396" w14:paraId="06340850" w14:textId="77777777" w:rsidTr="00AF369B">
        <w:trPr>
          <w:trHeight w:val="33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6FC8DB5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w:t>
            </w:r>
          </w:p>
        </w:tc>
        <w:tc>
          <w:tcPr>
            <w:tcW w:w="6160" w:type="dxa"/>
            <w:tcBorders>
              <w:top w:val="nil"/>
              <w:left w:val="nil"/>
              <w:bottom w:val="single" w:sz="4" w:space="0" w:color="auto"/>
              <w:right w:val="single" w:sz="4" w:space="0" w:color="auto"/>
            </w:tcBorders>
            <w:shd w:val="clear" w:color="auto" w:fill="auto"/>
            <w:noWrap/>
            <w:vAlign w:val="bottom"/>
            <w:hideMark/>
          </w:tcPr>
          <w:p w14:paraId="07940BD4" w14:textId="77777777" w:rsidR="00CF7396" w:rsidRPr="00CF7396" w:rsidRDefault="00CF7396" w:rsidP="00CF7396">
            <w:pPr>
              <w:rPr>
                <w:color w:val="000000" w:themeColor="text1"/>
                <w:lang w:val="es-CR" w:eastAsia="es-CR"/>
              </w:rPr>
            </w:pPr>
            <w:r w:rsidRPr="00CF7396">
              <w:rPr>
                <w:color w:val="000000" w:themeColor="text1"/>
                <w:lang w:val="es-CR" w:eastAsia="es-CR"/>
              </w:rPr>
              <w:t>Juzgado de Trabajo del ICJ ZA</w:t>
            </w:r>
          </w:p>
        </w:tc>
        <w:tc>
          <w:tcPr>
            <w:tcW w:w="2040" w:type="dxa"/>
            <w:tcBorders>
              <w:top w:val="nil"/>
              <w:left w:val="nil"/>
              <w:bottom w:val="single" w:sz="4" w:space="0" w:color="auto"/>
              <w:right w:val="single" w:sz="4" w:space="0" w:color="auto"/>
            </w:tcBorders>
            <w:shd w:val="clear" w:color="auto" w:fill="auto"/>
            <w:noWrap/>
            <w:vAlign w:val="bottom"/>
            <w:hideMark/>
          </w:tcPr>
          <w:p w14:paraId="5596688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9/6/2021</w:t>
            </w:r>
          </w:p>
        </w:tc>
      </w:tr>
      <w:tr w:rsidR="00CF7396" w:rsidRPr="00CF7396" w14:paraId="3F28D75E" w14:textId="77777777" w:rsidTr="00AF369B">
        <w:trPr>
          <w:trHeight w:val="33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152FAAA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w:t>
            </w:r>
          </w:p>
        </w:tc>
        <w:tc>
          <w:tcPr>
            <w:tcW w:w="6160" w:type="dxa"/>
            <w:tcBorders>
              <w:top w:val="nil"/>
              <w:left w:val="nil"/>
              <w:bottom w:val="single" w:sz="4" w:space="0" w:color="auto"/>
              <w:right w:val="single" w:sz="4" w:space="0" w:color="auto"/>
            </w:tcBorders>
            <w:shd w:val="clear" w:color="auto" w:fill="auto"/>
            <w:noWrap/>
            <w:vAlign w:val="bottom"/>
            <w:hideMark/>
          </w:tcPr>
          <w:p w14:paraId="60B35882" w14:textId="77777777" w:rsidR="00CF7396" w:rsidRPr="00CF7396" w:rsidRDefault="00CF7396" w:rsidP="00CF7396">
            <w:pPr>
              <w:rPr>
                <w:color w:val="000000" w:themeColor="text1"/>
                <w:lang w:val="es-CR" w:eastAsia="es-CR"/>
              </w:rPr>
            </w:pPr>
            <w:r w:rsidRPr="00CF7396">
              <w:rPr>
                <w:color w:val="000000" w:themeColor="text1"/>
                <w:lang w:val="es-CR" w:eastAsia="es-CR"/>
              </w:rPr>
              <w:t>Tribunal Penal del ICJ ZA</w:t>
            </w:r>
          </w:p>
        </w:tc>
        <w:tc>
          <w:tcPr>
            <w:tcW w:w="2040" w:type="dxa"/>
            <w:tcBorders>
              <w:top w:val="nil"/>
              <w:left w:val="nil"/>
              <w:bottom w:val="single" w:sz="4" w:space="0" w:color="auto"/>
              <w:right w:val="single" w:sz="4" w:space="0" w:color="auto"/>
            </w:tcBorders>
            <w:shd w:val="clear" w:color="auto" w:fill="auto"/>
            <w:noWrap/>
            <w:vAlign w:val="bottom"/>
            <w:hideMark/>
          </w:tcPr>
          <w:p w14:paraId="5B574CC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9/7/2021</w:t>
            </w:r>
          </w:p>
        </w:tc>
      </w:tr>
      <w:tr w:rsidR="00CF7396" w:rsidRPr="00CF7396" w14:paraId="1ABBBE1F" w14:textId="77777777" w:rsidTr="00AF369B">
        <w:trPr>
          <w:trHeight w:val="33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1CDAF4A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w:t>
            </w:r>
          </w:p>
        </w:tc>
        <w:tc>
          <w:tcPr>
            <w:tcW w:w="6160" w:type="dxa"/>
            <w:tcBorders>
              <w:top w:val="nil"/>
              <w:left w:val="nil"/>
              <w:bottom w:val="single" w:sz="4" w:space="0" w:color="auto"/>
              <w:right w:val="single" w:sz="4" w:space="0" w:color="auto"/>
            </w:tcBorders>
            <w:shd w:val="clear" w:color="auto" w:fill="auto"/>
            <w:noWrap/>
            <w:vAlign w:val="bottom"/>
            <w:hideMark/>
          </w:tcPr>
          <w:p w14:paraId="16E8C420" w14:textId="77777777" w:rsidR="00CF7396" w:rsidRPr="00CF7396" w:rsidRDefault="00CF7396" w:rsidP="00CF7396">
            <w:pPr>
              <w:rPr>
                <w:color w:val="000000" w:themeColor="text1"/>
                <w:lang w:val="es-CR" w:eastAsia="es-CR"/>
              </w:rPr>
            </w:pPr>
            <w:r w:rsidRPr="00CF7396">
              <w:rPr>
                <w:color w:val="000000" w:themeColor="text1"/>
                <w:lang w:val="es-CR" w:eastAsia="es-CR"/>
              </w:rPr>
              <w:t>Sección de Flagrancia del ICJ ZA</w:t>
            </w:r>
          </w:p>
        </w:tc>
        <w:tc>
          <w:tcPr>
            <w:tcW w:w="2040" w:type="dxa"/>
            <w:tcBorders>
              <w:top w:val="nil"/>
              <w:left w:val="nil"/>
              <w:bottom w:val="single" w:sz="4" w:space="0" w:color="auto"/>
              <w:right w:val="single" w:sz="4" w:space="0" w:color="auto"/>
            </w:tcBorders>
            <w:shd w:val="clear" w:color="auto" w:fill="auto"/>
            <w:noWrap/>
            <w:vAlign w:val="bottom"/>
            <w:hideMark/>
          </w:tcPr>
          <w:p w14:paraId="7AB8B31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12/7/2021</w:t>
            </w:r>
          </w:p>
        </w:tc>
      </w:tr>
      <w:tr w:rsidR="00CF7396" w:rsidRPr="00CF7396" w14:paraId="7A257C7A" w14:textId="77777777" w:rsidTr="00AF369B">
        <w:trPr>
          <w:trHeight w:val="33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2F795E7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w:t>
            </w:r>
          </w:p>
        </w:tc>
        <w:tc>
          <w:tcPr>
            <w:tcW w:w="6160" w:type="dxa"/>
            <w:tcBorders>
              <w:top w:val="nil"/>
              <w:left w:val="nil"/>
              <w:bottom w:val="single" w:sz="4" w:space="0" w:color="auto"/>
              <w:right w:val="single" w:sz="4" w:space="0" w:color="auto"/>
            </w:tcBorders>
            <w:shd w:val="clear" w:color="auto" w:fill="auto"/>
            <w:noWrap/>
            <w:vAlign w:val="bottom"/>
            <w:hideMark/>
          </w:tcPr>
          <w:p w14:paraId="5E28CAD9" w14:textId="77777777" w:rsidR="00CF7396" w:rsidRPr="00CF7396" w:rsidRDefault="00CF7396" w:rsidP="00CF7396">
            <w:pPr>
              <w:rPr>
                <w:color w:val="000000" w:themeColor="text1"/>
                <w:lang w:val="es-CR" w:eastAsia="es-CR"/>
              </w:rPr>
            </w:pPr>
            <w:r w:rsidRPr="00CF7396">
              <w:rPr>
                <w:color w:val="000000" w:themeColor="text1"/>
                <w:lang w:val="es-CR" w:eastAsia="es-CR"/>
              </w:rPr>
              <w:t>Tribunal de Apelación Civil y Laboral del ICJ ZA del ICJ ZA</w:t>
            </w:r>
          </w:p>
        </w:tc>
        <w:tc>
          <w:tcPr>
            <w:tcW w:w="2040" w:type="dxa"/>
            <w:tcBorders>
              <w:top w:val="nil"/>
              <w:left w:val="nil"/>
              <w:bottom w:val="single" w:sz="4" w:space="0" w:color="auto"/>
              <w:right w:val="single" w:sz="4" w:space="0" w:color="auto"/>
            </w:tcBorders>
            <w:shd w:val="clear" w:color="auto" w:fill="auto"/>
            <w:noWrap/>
            <w:vAlign w:val="bottom"/>
            <w:hideMark/>
          </w:tcPr>
          <w:p w14:paraId="5DFAD0B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12/8/2021</w:t>
            </w:r>
          </w:p>
        </w:tc>
      </w:tr>
      <w:tr w:rsidR="00CF7396" w:rsidRPr="00CF7396" w14:paraId="18A8FC1C" w14:textId="77777777" w:rsidTr="00AF369B">
        <w:trPr>
          <w:trHeight w:val="33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0B25548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w:t>
            </w:r>
          </w:p>
        </w:tc>
        <w:tc>
          <w:tcPr>
            <w:tcW w:w="6160" w:type="dxa"/>
            <w:tcBorders>
              <w:top w:val="nil"/>
              <w:left w:val="nil"/>
              <w:bottom w:val="single" w:sz="4" w:space="0" w:color="auto"/>
              <w:right w:val="single" w:sz="4" w:space="0" w:color="auto"/>
            </w:tcBorders>
            <w:shd w:val="clear" w:color="auto" w:fill="auto"/>
            <w:noWrap/>
            <w:vAlign w:val="bottom"/>
            <w:hideMark/>
          </w:tcPr>
          <w:p w14:paraId="32286A6D" w14:textId="77777777" w:rsidR="00CF7396" w:rsidRPr="00CF7396" w:rsidRDefault="00CF7396" w:rsidP="00CF7396">
            <w:pPr>
              <w:rPr>
                <w:color w:val="000000" w:themeColor="text1"/>
                <w:lang w:val="es-CR" w:eastAsia="es-CR"/>
              </w:rPr>
            </w:pPr>
            <w:r w:rsidRPr="00CF7396">
              <w:rPr>
                <w:color w:val="000000" w:themeColor="text1"/>
                <w:lang w:val="es-CR" w:eastAsia="es-CR"/>
              </w:rPr>
              <w:t xml:space="preserve">Juzgado de Cobro del ICJ ZA </w:t>
            </w:r>
          </w:p>
        </w:tc>
        <w:tc>
          <w:tcPr>
            <w:tcW w:w="2040" w:type="dxa"/>
            <w:tcBorders>
              <w:top w:val="nil"/>
              <w:left w:val="nil"/>
              <w:bottom w:val="single" w:sz="4" w:space="0" w:color="auto"/>
              <w:right w:val="single" w:sz="4" w:space="0" w:color="auto"/>
            </w:tcBorders>
            <w:shd w:val="clear" w:color="auto" w:fill="auto"/>
            <w:noWrap/>
            <w:vAlign w:val="bottom"/>
            <w:hideMark/>
          </w:tcPr>
          <w:p w14:paraId="5387B7F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7/9/2021</w:t>
            </w:r>
          </w:p>
        </w:tc>
      </w:tr>
      <w:tr w:rsidR="00CF7396" w:rsidRPr="00CF7396" w14:paraId="7D2A368D" w14:textId="77777777" w:rsidTr="00AF369B">
        <w:trPr>
          <w:trHeight w:val="33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25DC8A4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w:t>
            </w:r>
          </w:p>
        </w:tc>
        <w:tc>
          <w:tcPr>
            <w:tcW w:w="6160" w:type="dxa"/>
            <w:tcBorders>
              <w:top w:val="nil"/>
              <w:left w:val="nil"/>
              <w:bottom w:val="single" w:sz="4" w:space="0" w:color="auto"/>
              <w:right w:val="single" w:sz="4" w:space="0" w:color="auto"/>
            </w:tcBorders>
            <w:shd w:val="clear" w:color="auto" w:fill="auto"/>
            <w:noWrap/>
            <w:vAlign w:val="bottom"/>
            <w:hideMark/>
          </w:tcPr>
          <w:p w14:paraId="18B2746E" w14:textId="77777777" w:rsidR="00CF7396" w:rsidRPr="00CF7396" w:rsidRDefault="00CF7396" w:rsidP="00CF7396">
            <w:pPr>
              <w:rPr>
                <w:color w:val="000000" w:themeColor="text1"/>
                <w:lang w:val="es-CR" w:eastAsia="es-CR"/>
              </w:rPr>
            </w:pPr>
            <w:r w:rsidRPr="00CF7396">
              <w:rPr>
                <w:color w:val="000000" w:themeColor="text1"/>
                <w:lang w:val="es-CR" w:eastAsia="es-CR"/>
              </w:rPr>
              <w:t>Juzgado Agrario del ICJ ZA</w:t>
            </w:r>
          </w:p>
        </w:tc>
        <w:tc>
          <w:tcPr>
            <w:tcW w:w="2040" w:type="dxa"/>
            <w:tcBorders>
              <w:top w:val="nil"/>
              <w:left w:val="nil"/>
              <w:bottom w:val="single" w:sz="4" w:space="0" w:color="auto"/>
              <w:right w:val="single" w:sz="4" w:space="0" w:color="auto"/>
            </w:tcBorders>
            <w:shd w:val="clear" w:color="auto" w:fill="auto"/>
            <w:noWrap/>
            <w:vAlign w:val="bottom"/>
            <w:hideMark/>
          </w:tcPr>
          <w:p w14:paraId="11296C3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13/10/2021</w:t>
            </w:r>
          </w:p>
        </w:tc>
      </w:tr>
      <w:tr w:rsidR="00CF7396" w:rsidRPr="00CF7396" w14:paraId="5C3CF5B9" w14:textId="77777777" w:rsidTr="00AF369B">
        <w:trPr>
          <w:trHeight w:val="330"/>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14:paraId="577BA99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w:t>
            </w:r>
          </w:p>
        </w:tc>
        <w:tc>
          <w:tcPr>
            <w:tcW w:w="6160" w:type="dxa"/>
            <w:tcBorders>
              <w:top w:val="nil"/>
              <w:left w:val="nil"/>
              <w:bottom w:val="single" w:sz="4" w:space="0" w:color="auto"/>
              <w:right w:val="single" w:sz="4" w:space="0" w:color="auto"/>
            </w:tcBorders>
            <w:shd w:val="clear" w:color="auto" w:fill="auto"/>
            <w:noWrap/>
            <w:vAlign w:val="bottom"/>
            <w:hideMark/>
          </w:tcPr>
          <w:p w14:paraId="3E270FE7" w14:textId="77777777" w:rsidR="00CF7396" w:rsidRPr="00CF7396" w:rsidRDefault="00CF7396" w:rsidP="00CF7396">
            <w:pPr>
              <w:rPr>
                <w:color w:val="000000" w:themeColor="text1"/>
                <w:lang w:val="es-CR" w:eastAsia="es-CR"/>
              </w:rPr>
            </w:pPr>
            <w:r w:rsidRPr="00CF7396">
              <w:rPr>
                <w:color w:val="000000" w:themeColor="text1"/>
                <w:lang w:val="es-CR" w:eastAsia="es-CR"/>
              </w:rPr>
              <w:t>Tribunal Colegiado de Primer Instancia Civil del ICJ ZA</w:t>
            </w:r>
          </w:p>
        </w:tc>
        <w:tc>
          <w:tcPr>
            <w:tcW w:w="2040" w:type="dxa"/>
            <w:tcBorders>
              <w:top w:val="nil"/>
              <w:left w:val="nil"/>
              <w:bottom w:val="single" w:sz="4" w:space="0" w:color="auto"/>
              <w:right w:val="single" w:sz="4" w:space="0" w:color="auto"/>
            </w:tcBorders>
            <w:shd w:val="clear" w:color="auto" w:fill="auto"/>
            <w:noWrap/>
            <w:vAlign w:val="bottom"/>
            <w:hideMark/>
          </w:tcPr>
          <w:p w14:paraId="7B99F44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12/11/2021</w:t>
            </w:r>
          </w:p>
        </w:tc>
      </w:tr>
    </w:tbl>
    <w:p w14:paraId="29ABA163" w14:textId="77777777" w:rsidR="00CF7396" w:rsidRPr="00CF7396" w:rsidRDefault="00CF7396" w:rsidP="00CF7396">
      <w:pPr>
        <w:ind w:left="851" w:right="851" w:firstLine="709"/>
        <w:rPr>
          <w:i/>
          <w:iCs/>
          <w:color w:val="000000" w:themeColor="text1"/>
          <w:lang w:val="es-CR" w:eastAsia="zh-CN"/>
        </w:rPr>
      </w:pPr>
      <w:r w:rsidRPr="00CF7396">
        <w:rPr>
          <w:b/>
          <w:bCs/>
          <w:i/>
          <w:iCs/>
          <w:color w:val="000000" w:themeColor="text1"/>
          <w:lang w:val="es-CR" w:eastAsia="zh-CN"/>
        </w:rPr>
        <w:t>Fuente:</w:t>
      </w:r>
      <w:r w:rsidRPr="00CF7396">
        <w:rPr>
          <w:i/>
          <w:iCs/>
          <w:color w:val="000000" w:themeColor="text1"/>
          <w:lang w:val="es-CR" w:eastAsia="zh-CN"/>
        </w:rPr>
        <w:t xml:space="preserve"> Elaboración propia del Subproceso de Evaluación con información tomada de las minutas de reunión de los despachos que conforman el Modelo.</w:t>
      </w:r>
    </w:p>
    <w:p w14:paraId="385B0B03" w14:textId="77777777" w:rsidR="00CF7396" w:rsidRPr="00CF7396" w:rsidRDefault="00CF7396" w:rsidP="00CF7396">
      <w:pPr>
        <w:ind w:left="851" w:right="851" w:firstLine="709"/>
        <w:rPr>
          <w:color w:val="000000" w:themeColor="text1"/>
          <w:lang w:val="es-CR" w:eastAsia="zh-CN"/>
        </w:rPr>
      </w:pPr>
    </w:p>
    <w:p w14:paraId="17C246D6" w14:textId="77777777" w:rsidR="00CF7396" w:rsidRPr="00CF7396" w:rsidRDefault="00CF7396" w:rsidP="00CF7396">
      <w:pPr>
        <w:ind w:left="851" w:right="851" w:firstLine="709"/>
        <w:jc w:val="both"/>
        <w:rPr>
          <w:color w:val="000000" w:themeColor="text1"/>
          <w:lang w:val="es-CR" w:eastAsia="zh-CN"/>
        </w:rPr>
      </w:pPr>
      <w:r w:rsidRPr="00CF7396">
        <w:rPr>
          <w:color w:val="000000" w:themeColor="text1"/>
          <w:lang w:val="es-CR" w:eastAsia="zh-CN"/>
        </w:rPr>
        <w:t xml:space="preserve">En relación con el Juzgado de Familia, Juzgado de Pensiones Alimentarias del Primer Circuito Judicial de la Zona Atlántica, Juzgado Contravencional de Matina y Juzgado Contravencional de </w:t>
      </w:r>
      <w:proofErr w:type="spellStart"/>
      <w:r w:rsidRPr="00CF7396">
        <w:rPr>
          <w:color w:val="000000" w:themeColor="text1"/>
          <w:lang w:val="es-CR" w:eastAsia="zh-CN"/>
        </w:rPr>
        <w:t>Bribrí</w:t>
      </w:r>
      <w:proofErr w:type="spellEnd"/>
      <w:r w:rsidRPr="00CF7396">
        <w:rPr>
          <w:color w:val="000000" w:themeColor="text1"/>
          <w:lang w:val="es-CR" w:eastAsia="zh-CN"/>
        </w:rPr>
        <w:t>, se aclara que durante el 2021 fueron abordados por el Subproceso de Modernización Institucional de la Dirección de Planificación, debido a la implementación de la reforma al Código de Familia, por lo que las reuniones y seguimientos con los equipos de mejora las efectuó el profesional a cargo de dichos despachos.</w:t>
      </w:r>
    </w:p>
    <w:p w14:paraId="132443EE" w14:textId="77777777" w:rsidR="00CF7396" w:rsidRPr="00CF7396" w:rsidRDefault="00CF7396" w:rsidP="00CF7396">
      <w:pPr>
        <w:ind w:left="851" w:right="851" w:firstLine="709"/>
        <w:jc w:val="both"/>
        <w:rPr>
          <w:color w:val="000000" w:themeColor="text1"/>
          <w:lang w:val="es-CR" w:eastAsia="zh-CN"/>
        </w:rPr>
      </w:pPr>
    </w:p>
    <w:p w14:paraId="714EC02C" w14:textId="77777777" w:rsidR="00CF7396" w:rsidRPr="00CF7396" w:rsidRDefault="00CF7396" w:rsidP="00CF7396">
      <w:pPr>
        <w:numPr>
          <w:ilvl w:val="0"/>
          <w:numId w:val="38"/>
        </w:numPr>
        <w:ind w:left="851" w:right="851" w:firstLine="709"/>
        <w:contextualSpacing/>
        <w:jc w:val="both"/>
        <w:rPr>
          <w:color w:val="000000" w:themeColor="text1"/>
          <w:lang w:val="es-CR" w:eastAsia="zh-CN"/>
        </w:rPr>
      </w:pPr>
      <w:r w:rsidRPr="00CF7396">
        <w:rPr>
          <w:color w:val="000000" w:themeColor="text1"/>
          <w:lang w:val="es-CR" w:eastAsia="zh-CN"/>
        </w:rPr>
        <w:t>Asimismo, dentro de las funciones del Modelo de Seguimiento y Sostenibilidad se encuentra la realización de realimentación de los documentos de Indicadores mediante correo electrónico, el cual se le asigna un número consecutivo en el Sistema Integrado de Correspondencia “SICE”, por lo que durante el 2021 se efectuó:</w:t>
      </w:r>
    </w:p>
    <w:p w14:paraId="752F5975" w14:textId="77777777" w:rsidR="00CF7396" w:rsidRPr="00CF7396" w:rsidRDefault="00CF7396" w:rsidP="00CF7396">
      <w:pPr>
        <w:contextualSpacing/>
        <w:jc w:val="center"/>
        <w:rPr>
          <w:color w:val="000000" w:themeColor="text1"/>
          <w:lang w:val="es-CR" w:eastAsia="es-CR"/>
        </w:rPr>
      </w:pPr>
    </w:p>
    <w:p w14:paraId="3487D8E9" w14:textId="77777777" w:rsidR="00CF7396" w:rsidRPr="00CF7396" w:rsidRDefault="00CF7396" w:rsidP="00CF7396">
      <w:pPr>
        <w:contextualSpacing/>
        <w:jc w:val="center"/>
        <w:rPr>
          <w:b/>
          <w:bCs/>
          <w:i/>
          <w:iCs/>
          <w:color w:val="000000" w:themeColor="text1"/>
          <w:lang w:val="es-CR" w:eastAsia="es-CR"/>
        </w:rPr>
      </w:pPr>
      <w:r w:rsidRPr="00CF7396">
        <w:rPr>
          <w:b/>
          <w:bCs/>
          <w:i/>
          <w:iCs/>
          <w:color w:val="000000" w:themeColor="text1"/>
          <w:lang w:val="es-CR" w:eastAsia="es-CR"/>
        </w:rPr>
        <w:t>Cuadro 5</w:t>
      </w:r>
    </w:p>
    <w:p w14:paraId="5A9942C7" w14:textId="77777777" w:rsidR="00CF7396" w:rsidRPr="00CF7396" w:rsidRDefault="00CF7396" w:rsidP="00CF7396">
      <w:pPr>
        <w:contextualSpacing/>
        <w:jc w:val="center"/>
        <w:rPr>
          <w:b/>
          <w:bCs/>
          <w:i/>
          <w:iCs/>
          <w:color w:val="000000" w:themeColor="text1"/>
          <w:lang w:val="es-CR" w:eastAsia="es-CR"/>
        </w:rPr>
      </w:pPr>
      <w:r w:rsidRPr="00CF7396">
        <w:rPr>
          <w:b/>
          <w:bCs/>
          <w:i/>
          <w:iCs/>
          <w:color w:val="000000" w:themeColor="text1"/>
          <w:lang w:val="es-CR" w:eastAsia="es-CR"/>
        </w:rPr>
        <w:t xml:space="preserve">Realimentaciones realizadas a las oficinas del Modelo de Sostenibilidad </w:t>
      </w:r>
    </w:p>
    <w:p w14:paraId="44A3A7DB" w14:textId="77777777" w:rsidR="00CF7396" w:rsidRPr="00CF7396" w:rsidRDefault="00CF7396" w:rsidP="00CF7396">
      <w:pPr>
        <w:contextualSpacing/>
        <w:jc w:val="center"/>
        <w:rPr>
          <w:b/>
          <w:bCs/>
          <w:i/>
          <w:iCs/>
          <w:color w:val="000000" w:themeColor="text1"/>
          <w:lang w:val="es-CR" w:eastAsia="es-CR"/>
        </w:rPr>
      </w:pPr>
      <w:r w:rsidRPr="00CF7396">
        <w:rPr>
          <w:b/>
          <w:bCs/>
          <w:i/>
          <w:iCs/>
          <w:color w:val="000000" w:themeColor="text1"/>
          <w:lang w:val="es-CR" w:eastAsia="es-CR"/>
        </w:rPr>
        <w:t>del Primer Circuito Judicial de la Zona Atlántica, 2021</w:t>
      </w:r>
    </w:p>
    <w:tbl>
      <w:tblPr>
        <w:tblW w:w="9121" w:type="dxa"/>
        <w:tblCellMar>
          <w:left w:w="70" w:type="dxa"/>
          <w:right w:w="70" w:type="dxa"/>
        </w:tblCellMar>
        <w:tblLook w:val="04A0" w:firstRow="1" w:lastRow="0" w:firstColumn="1" w:lastColumn="0" w:noHBand="0" w:noVBand="1"/>
      </w:tblPr>
      <w:tblGrid>
        <w:gridCol w:w="3681"/>
        <w:gridCol w:w="2820"/>
        <w:gridCol w:w="2620"/>
      </w:tblGrid>
      <w:tr w:rsidR="00CF7396" w:rsidRPr="00CF7396" w14:paraId="1F79F7F2" w14:textId="77777777" w:rsidTr="00AF369B">
        <w:trPr>
          <w:trHeight w:val="757"/>
          <w:tblHeader/>
        </w:trPr>
        <w:tc>
          <w:tcPr>
            <w:tcW w:w="3681" w:type="dxa"/>
            <w:tcBorders>
              <w:top w:val="single" w:sz="4" w:space="0" w:color="auto"/>
              <w:left w:val="single" w:sz="4" w:space="0" w:color="auto"/>
              <w:bottom w:val="single" w:sz="4" w:space="0" w:color="auto"/>
              <w:right w:val="single" w:sz="4" w:space="0" w:color="auto"/>
            </w:tcBorders>
            <w:shd w:val="clear" w:color="000000" w:fill="244062"/>
            <w:vAlign w:val="center"/>
            <w:hideMark/>
          </w:tcPr>
          <w:p w14:paraId="556B550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lastRenderedPageBreak/>
              <w:t>Nombre del despacho</w:t>
            </w:r>
          </w:p>
        </w:tc>
        <w:tc>
          <w:tcPr>
            <w:tcW w:w="2820" w:type="dxa"/>
            <w:tcBorders>
              <w:top w:val="single" w:sz="4" w:space="0" w:color="auto"/>
              <w:left w:val="nil"/>
              <w:bottom w:val="single" w:sz="4" w:space="0" w:color="auto"/>
              <w:right w:val="single" w:sz="4" w:space="0" w:color="auto"/>
            </w:tcBorders>
            <w:shd w:val="clear" w:color="000000" w:fill="244062"/>
            <w:vAlign w:val="center"/>
            <w:hideMark/>
          </w:tcPr>
          <w:p w14:paraId="11AA9B0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Número de documento de realimentación</w:t>
            </w:r>
          </w:p>
        </w:tc>
        <w:tc>
          <w:tcPr>
            <w:tcW w:w="2620" w:type="dxa"/>
            <w:tcBorders>
              <w:top w:val="single" w:sz="4" w:space="0" w:color="auto"/>
              <w:left w:val="nil"/>
              <w:bottom w:val="single" w:sz="4" w:space="0" w:color="auto"/>
              <w:right w:val="single" w:sz="4" w:space="0" w:color="auto"/>
            </w:tcBorders>
            <w:shd w:val="clear" w:color="000000" w:fill="244062"/>
            <w:vAlign w:val="center"/>
            <w:hideMark/>
          </w:tcPr>
          <w:p w14:paraId="590B3EE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Mes de los Indicadores que corresponde la realimentación.</w:t>
            </w:r>
          </w:p>
        </w:tc>
      </w:tr>
      <w:tr w:rsidR="00CF7396" w:rsidRPr="00CF7396" w14:paraId="3D4D9528" w14:textId="77777777" w:rsidTr="00AF369B">
        <w:trPr>
          <w:trHeight w:val="300"/>
        </w:trPr>
        <w:tc>
          <w:tcPr>
            <w:tcW w:w="3681" w:type="dxa"/>
            <w:vMerge w:val="restart"/>
            <w:tcBorders>
              <w:top w:val="nil"/>
              <w:left w:val="single" w:sz="4" w:space="0" w:color="auto"/>
              <w:bottom w:val="single" w:sz="4" w:space="0" w:color="auto"/>
              <w:right w:val="single" w:sz="4" w:space="0" w:color="auto"/>
            </w:tcBorders>
            <w:shd w:val="clear" w:color="auto" w:fill="auto"/>
            <w:vAlign w:val="center"/>
            <w:hideMark/>
          </w:tcPr>
          <w:p w14:paraId="2529BD55" w14:textId="77777777" w:rsidR="00CF7396" w:rsidRPr="00CF7396" w:rsidRDefault="00CF7396" w:rsidP="00CF7396">
            <w:pPr>
              <w:numPr>
                <w:ilvl w:val="0"/>
                <w:numId w:val="57"/>
              </w:numPr>
              <w:jc w:val="center"/>
              <w:rPr>
                <w:color w:val="000000" w:themeColor="text1"/>
                <w:lang w:val="es-CR" w:eastAsia="es-CR"/>
              </w:rPr>
            </w:pPr>
            <w:r w:rsidRPr="00CF7396">
              <w:rPr>
                <w:color w:val="000000" w:themeColor="text1"/>
                <w:lang w:val="es-CR" w:eastAsia="es-CR"/>
              </w:rPr>
              <w:t>Juzgado de Cobro del ICJ ZA</w:t>
            </w:r>
          </w:p>
        </w:tc>
        <w:tc>
          <w:tcPr>
            <w:tcW w:w="2820" w:type="dxa"/>
            <w:tcBorders>
              <w:top w:val="nil"/>
              <w:left w:val="nil"/>
              <w:bottom w:val="single" w:sz="4" w:space="0" w:color="auto"/>
              <w:right w:val="single" w:sz="4" w:space="0" w:color="auto"/>
            </w:tcBorders>
            <w:shd w:val="clear" w:color="auto" w:fill="auto"/>
            <w:vAlign w:val="center"/>
            <w:hideMark/>
          </w:tcPr>
          <w:p w14:paraId="4D51251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1455-PLA-EV-TR-2021</w:t>
            </w:r>
          </w:p>
        </w:tc>
        <w:tc>
          <w:tcPr>
            <w:tcW w:w="2620" w:type="dxa"/>
            <w:tcBorders>
              <w:top w:val="nil"/>
              <w:left w:val="nil"/>
              <w:bottom w:val="single" w:sz="4" w:space="0" w:color="auto"/>
              <w:right w:val="single" w:sz="4" w:space="0" w:color="auto"/>
            </w:tcBorders>
            <w:shd w:val="clear" w:color="auto" w:fill="auto"/>
            <w:vAlign w:val="center"/>
            <w:hideMark/>
          </w:tcPr>
          <w:p w14:paraId="3D09D56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Enero 2021.</w:t>
            </w:r>
          </w:p>
        </w:tc>
      </w:tr>
      <w:tr w:rsidR="00CF7396" w:rsidRPr="00CF7396" w14:paraId="49594A62" w14:textId="77777777" w:rsidTr="00AF369B">
        <w:trPr>
          <w:trHeight w:val="300"/>
        </w:trPr>
        <w:tc>
          <w:tcPr>
            <w:tcW w:w="3681" w:type="dxa"/>
            <w:vMerge/>
            <w:tcBorders>
              <w:top w:val="nil"/>
              <w:left w:val="single" w:sz="4" w:space="0" w:color="auto"/>
              <w:bottom w:val="single" w:sz="4" w:space="0" w:color="auto"/>
              <w:right w:val="single" w:sz="4" w:space="0" w:color="auto"/>
            </w:tcBorders>
            <w:vAlign w:val="center"/>
            <w:hideMark/>
          </w:tcPr>
          <w:p w14:paraId="64600236" w14:textId="77777777" w:rsidR="00CF7396" w:rsidRPr="00CF7396" w:rsidRDefault="00CF7396" w:rsidP="00CF7396">
            <w:pPr>
              <w:numPr>
                <w:ilvl w:val="0"/>
                <w:numId w:val="57"/>
              </w:numPr>
              <w:rPr>
                <w:color w:val="000000" w:themeColor="text1"/>
                <w:lang w:val="es-CR" w:eastAsia="es-CR"/>
              </w:rPr>
            </w:pPr>
          </w:p>
        </w:tc>
        <w:tc>
          <w:tcPr>
            <w:tcW w:w="2820" w:type="dxa"/>
            <w:tcBorders>
              <w:top w:val="nil"/>
              <w:left w:val="nil"/>
              <w:bottom w:val="single" w:sz="4" w:space="0" w:color="auto"/>
              <w:right w:val="single" w:sz="4" w:space="0" w:color="auto"/>
            </w:tcBorders>
            <w:shd w:val="clear" w:color="auto" w:fill="auto"/>
            <w:vAlign w:val="center"/>
            <w:hideMark/>
          </w:tcPr>
          <w:p w14:paraId="5241B3E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1462-PLA-EV-TR-2021</w:t>
            </w:r>
          </w:p>
        </w:tc>
        <w:tc>
          <w:tcPr>
            <w:tcW w:w="2620" w:type="dxa"/>
            <w:tcBorders>
              <w:top w:val="nil"/>
              <w:left w:val="nil"/>
              <w:bottom w:val="single" w:sz="4" w:space="0" w:color="auto"/>
              <w:right w:val="single" w:sz="4" w:space="0" w:color="auto"/>
            </w:tcBorders>
            <w:shd w:val="clear" w:color="auto" w:fill="auto"/>
            <w:vAlign w:val="center"/>
            <w:hideMark/>
          </w:tcPr>
          <w:p w14:paraId="3DA04A9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Febrero 2021.</w:t>
            </w:r>
          </w:p>
        </w:tc>
      </w:tr>
      <w:tr w:rsidR="00CF7396" w:rsidRPr="00CF7396" w14:paraId="337DB397" w14:textId="77777777" w:rsidTr="00AF369B">
        <w:trPr>
          <w:trHeight w:val="300"/>
        </w:trPr>
        <w:tc>
          <w:tcPr>
            <w:tcW w:w="3681" w:type="dxa"/>
            <w:vMerge/>
            <w:tcBorders>
              <w:top w:val="nil"/>
              <w:left w:val="single" w:sz="4" w:space="0" w:color="auto"/>
              <w:bottom w:val="single" w:sz="4" w:space="0" w:color="auto"/>
              <w:right w:val="single" w:sz="4" w:space="0" w:color="auto"/>
            </w:tcBorders>
            <w:vAlign w:val="center"/>
            <w:hideMark/>
          </w:tcPr>
          <w:p w14:paraId="018763CD" w14:textId="77777777" w:rsidR="00CF7396" w:rsidRPr="00CF7396" w:rsidRDefault="00CF7396" w:rsidP="00CF7396">
            <w:pPr>
              <w:numPr>
                <w:ilvl w:val="0"/>
                <w:numId w:val="57"/>
              </w:numPr>
              <w:rPr>
                <w:color w:val="000000" w:themeColor="text1"/>
                <w:lang w:val="es-CR" w:eastAsia="es-CR"/>
              </w:rPr>
            </w:pPr>
          </w:p>
        </w:tc>
        <w:tc>
          <w:tcPr>
            <w:tcW w:w="2820" w:type="dxa"/>
            <w:tcBorders>
              <w:top w:val="nil"/>
              <w:left w:val="nil"/>
              <w:bottom w:val="single" w:sz="4" w:space="0" w:color="auto"/>
              <w:right w:val="single" w:sz="4" w:space="0" w:color="auto"/>
            </w:tcBorders>
            <w:shd w:val="clear" w:color="auto" w:fill="auto"/>
            <w:vAlign w:val="center"/>
            <w:hideMark/>
          </w:tcPr>
          <w:p w14:paraId="420C6CE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1467-PLA-EV-TR-2021</w:t>
            </w:r>
          </w:p>
        </w:tc>
        <w:tc>
          <w:tcPr>
            <w:tcW w:w="2620" w:type="dxa"/>
            <w:tcBorders>
              <w:top w:val="nil"/>
              <w:left w:val="nil"/>
              <w:bottom w:val="single" w:sz="4" w:space="0" w:color="auto"/>
              <w:right w:val="single" w:sz="4" w:space="0" w:color="auto"/>
            </w:tcBorders>
            <w:shd w:val="clear" w:color="auto" w:fill="auto"/>
            <w:vAlign w:val="center"/>
            <w:hideMark/>
          </w:tcPr>
          <w:p w14:paraId="71BB24B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Marzo 2021.</w:t>
            </w:r>
          </w:p>
        </w:tc>
      </w:tr>
      <w:tr w:rsidR="00CF7396" w:rsidRPr="00CF7396" w14:paraId="26E7BDEC" w14:textId="77777777" w:rsidTr="00AF369B">
        <w:trPr>
          <w:trHeight w:val="300"/>
        </w:trPr>
        <w:tc>
          <w:tcPr>
            <w:tcW w:w="3681"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785F7999" w14:textId="77777777" w:rsidR="00CF7396" w:rsidRPr="00CF7396" w:rsidRDefault="00CF7396" w:rsidP="00CF7396">
            <w:pPr>
              <w:numPr>
                <w:ilvl w:val="0"/>
                <w:numId w:val="57"/>
              </w:numPr>
              <w:jc w:val="center"/>
              <w:rPr>
                <w:color w:val="000000" w:themeColor="text1"/>
                <w:lang w:val="es-CR" w:eastAsia="es-CR"/>
              </w:rPr>
            </w:pPr>
            <w:r w:rsidRPr="00CF7396">
              <w:rPr>
                <w:color w:val="000000" w:themeColor="text1"/>
                <w:lang w:val="es-CR" w:eastAsia="es-CR"/>
              </w:rPr>
              <w:t>Juzgado Civil del ICJ ZA</w:t>
            </w:r>
          </w:p>
        </w:tc>
        <w:tc>
          <w:tcPr>
            <w:tcW w:w="2820" w:type="dxa"/>
            <w:tcBorders>
              <w:top w:val="nil"/>
              <w:left w:val="nil"/>
              <w:bottom w:val="single" w:sz="4" w:space="0" w:color="auto"/>
              <w:right w:val="single" w:sz="4" w:space="0" w:color="auto"/>
            </w:tcBorders>
            <w:shd w:val="clear" w:color="000000" w:fill="D9D9D9"/>
            <w:vAlign w:val="center"/>
            <w:hideMark/>
          </w:tcPr>
          <w:p w14:paraId="01C8E94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1456-PLA-EV-TR-2021</w:t>
            </w:r>
          </w:p>
        </w:tc>
        <w:tc>
          <w:tcPr>
            <w:tcW w:w="2620" w:type="dxa"/>
            <w:tcBorders>
              <w:top w:val="nil"/>
              <w:left w:val="nil"/>
              <w:bottom w:val="single" w:sz="4" w:space="0" w:color="auto"/>
              <w:right w:val="single" w:sz="4" w:space="0" w:color="auto"/>
            </w:tcBorders>
            <w:shd w:val="clear" w:color="000000" w:fill="D9D9D9"/>
            <w:vAlign w:val="center"/>
            <w:hideMark/>
          </w:tcPr>
          <w:p w14:paraId="13AB1F9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Enero 2021.</w:t>
            </w:r>
          </w:p>
        </w:tc>
      </w:tr>
      <w:tr w:rsidR="00CF7396" w:rsidRPr="00CF7396" w14:paraId="687F7F5F" w14:textId="77777777" w:rsidTr="00AF369B">
        <w:trPr>
          <w:trHeight w:val="300"/>
        </w:trPr>
        <w:tc>
          <w:tcPr>
            <w:tcW w:w="3681" w:type="dxa"/>
            <w:vMerge/>
            <w:tcBorders>
              <w:top w:val="nil"/>
              <w:left w:val="single" w:sz="4" w:space="0" w:color="auto"/>
              <w:bottom w:val="single" w:sz="4" w:space="0" w:color="000000"/>
              <w:right w:val="single" w:sz="4" w:space="0" w:color="auto"/>
            </w:tcBorders>
            <w:vAlign w:val="center"/>
            <w:hideMark/>
          </w:tcPr>
          <w:p w14:paraId="236DDDF4" w14:textId="77777777" w:rsidR="00CF7396" w:rsidRPr="00CF7396" w:rsidRDefault="00CF7396" w:rsidP="00CF7396">
            <w:pPr>
              <w:numPr>
                <w:ilvl w:val="0"/>
                <w:numId w:val="57"/>
              </w:numPr>
              <w:rPr>
                <w:color w:val="000000" w:themeColor="text1"/>
                <w:lang w:val="es-CR" w:eastAsia="es-CR"/>
              </w:rPr>
            </w:pPr>
          </w:p>
        </w:tc>
        <w:tc>
          <w:tcPr>
            <w:tcW w:w="2820" w:type="dxa"/>
            <w:tcBorders>
              <w:top w:val="nil"/>
              <w:left w:val="nil"/>
              <w:bottom w:val="single" w:sz="4" w:space="0" w:color="auto"/>
              <w:right w:val="single" w:sz="4" w:space="0" w:color="auto"/>
            </w:tcBorders>
            <w:shd w:val="clear" w:color="000000" w:fill="D9D9D9"/>
            <w:vAlign w:val="center"/>
            <w:hideMark/>
          </w:tcPr>
          <w:p w14:paraId="48E89D9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1463-PLA-EV-TR-2021</w:t>
            </w:r>
          </w:p>
        </w:tc>
        <w:tc>
          <w:tcPr>
            <w:tcW w:w="2620" w:type="dxa"/>
            <w:tcBorders>
              <w:top w:val="nil"/>
              <w:left w:val="nil"/>
              <w:bottom w:val="single" w:sz="4" w:space="0" w:color="auto"/>
              <w:right w:val="single" w:sz="4" w:space="0" w:color="auto"/>
            </w:tcBorders>
            <w:shd w:val="clear" w:color="000000" w:fill="D9D9D9"/>
            <w:vAlign w:val="center"/>
            <w:hideMark/>
          </w:tcPr>
          <w:p w14:paraId="1EF2ED1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Febrero 2021.</w:t>
            </w:r>
          </w:p>
        </w:tc>
      </w:tr>
      <w:tr w:rsidR="00CF7396" w:rsidRPr="00CF7396" w14:paraId="3B9F321A" w14:textId="77777777" w:rsidTr="00AF369B">
        <w:trPr>
          <w:trHeight w:val="300"/>
        </w:trPr>
        <w:tc>
          <w:tcPr>
            <w:tcW w:w="3681" w:type="dxa"/>
            <w:vMerge/>
            <w:tcBorders>
              <w:top w:val="nil"/>
              <w:left w:val="single" w:sz="4" w:space="0" w:color="auto"/>
              <w:bottom w:val="single" w:sz="4" w:space="0" w:color="000000"/>
              <w:right w:val="single" w:sz="4" w:space="0" w:color="auto"/>
            </w:tcBorders>
            <w:vAlign w:val="center"/>
            <w:hideMark/>
          </w:tcPr>
          <w:p w14:paraId="7E4659CB" w14:textId="77777777" w:rsidR="00CF7396" w:rsidRPr="00CF7396" w:rsidRDefault="00CF7396" w:rsidP="00CF7396">
            <w:pPr>
              <w:numPr>
                <w:ilvl w:val="0"/>
                <w:numId w:val="57"/>
              </w:numPr>
              <w:rPr>
                <w:color w:val="000000" w:themeColor="text1"/>
                <w:lang w:val="es-CR" w:eastAsia="es-CR"/>
              </w:rPr>
            </w:pPr>
          </w:p>
        </w:tc>
        <w:tc>
          <w:tcPr>
            <w:tcW w:w="2820" w:type="dxa"/>
            <w:tcBorders>
              <w:top w:val="nil"/>
              <w:left w:val="nil"/>
              <w:bottom w:val="single" w:sz="4" w:space="0" w:color="auto"/>
              <w:right w:val="single" w:sz="4" w:space="0" w:color="auto"/>
            </w:tcBorders>
            <w:shd w:val="clear" w:color="000000" w:fill="D9D9D9"/>
            <w:vAlign w:val="center"/>
            <w:hideMark/>
          </w:tcPr>
          <w:p w14:paraId="6BEFAB5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2051-PLA-EV-TR-2021</w:t>
            </w:r>
          </w:p>
        </w:tc>
        <w:tc>
          <w:tcPr>
            <w:tcW w:w="2620" w:type="dxa"/>
            <w:tcBorders>
              <w:top w:val="nil"/>
              <w:left w:val="nil"/>
              <w:bottom w:val="single" w:sz="4" w:space="0" w:color="auto"/>
              <w:right w:val="single" w:sz="4" w:space="0" w:color="auto"/>
            </w:tcBorders>
            <w:shd w:val="clear" w:color="000000" w:fill="D9D9D9"/>
            <w:vAlign w:val="center"/>
            <w:hideMark/>
          </w:tcPr>
          <w:p w14:paraId="648E214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Abril y </w:t>
            </w:r>
            <w:proofErr w:type="gramStart"/>
            <w:r w:rsidRPr="00CF7396">
              <w:rPr>
                <w:color w:val="000000" w:themeColor="text1"/>
                <w:lang w:val="es-CR" w:eastAsia="es-CR"/>
              </w:rPr>
              <w:t>Mayo</w:t>
            </w:r>
            <w:proofErr w:type="gramEnd"/>
            <w:r w:rsidRPr="00CF7396">
              <w:rPr>
                <w:color w:val="000000" w:themeColor="text1"/>
                <w:lang w:val="es-CR" w:eastAsia="es-CR"/>
              </w:rPr>
              <w:t xml:space="preserve"> 2021.</w:t>
            </w:r>
          </w:p>
        </w:tc>
      </w:tr>
      <w:tr w:rsidR="00CF7396" w:rsidRPr="00CF7396" w14:paraId="3CF03DC5" w14:textId="77777777" w:rsidTr="00AF369B">
        <w:trPr>
          <w:trHeight w:val="570"/>
        </w:trPr>
        <w:tc>
          <w:tcPr>
            <w:tcW w:w="3681" w:type="dxa"/>
            <w:vMerge w:val="restart"/>
            <w:tcBorders>
              <w:top w:val="nil"/>
              <w:left w:val="single" w:sz="4" w:space="0" w:color="auto"/>
              <w:bottom w:val="single" w:sz="4" w:space="0" w:color="000000"/>
              <w:right w:val="single" w:sz="4" w:space="0" w:color="auto"/>
            </w:tcBorders>
            <w:shd w:val="clear" w:color="auto" w:fill="auto"/>
            <w:vAlign w:val="center"/>
            <w:hideMark/>
          </w:tcPr>
          <w:p w14:paraId="6551E7B5" w14:textId="77777777" w:rsidR="00CF7396" w:rsidRPr="00CF7396" w:rsidRDefault="00CF7396" w:rsidP="00CF7396">
            <w:pPr>
              <w:numPr>
                <w:ilvl w:val="0"/>
                <w:numId w:val="57"/>
              </w:numPr>
              <w:jc w:val="center"/>
              <w:rPr>
                <w:color w:val="000000" w:themeColor="text1"/>
                <w:lang w:val="es-CR" w:eastAsia="es-CR"/>
              </w:rPr>
            </w:pPr>
            <w:r w:rsidRPr="00CF7396">
              <w:rPr>
                <w:color w:val="000000" w:themeColor="text1"/>
                <w:lang w:val="es-CR" w:eastAsia="es-CR"/>
              </w:rPr>
              <w:t>Juzgado de Trabajo del ICJ ZA</w:t>
            </w:r>
          </w:p>
        </w:tc>
        <w:tc>
          <w:tcPr>
            <w:tcW w:w="2820" w:type="dxa"/>
            <w:tcBorders>
              <w:top w:val="nil"/>
              <w:left w:val="nil"/>
              <w:bottom w:val="single" w:sz="4" w:space="0" w:color="auto"/>
              <w:right w:val="single" w:sz="4" w:space="0" w:color="auto"/>
            </w:tcBorders>
            <w:shd w:val="clear" w:color="auto" w:fill="auto"/>
            <w:vAlign w:val="center"/>
            <w:hideMark/>
          </w:tcPr>
          <w:p w14:paraId="123309E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1457-PLA-EV-TR-2021</w:t>
            </w:r>
          </w:p>
        </w:tc>
        <w:tc>
          <w:tcPr>
            <w:tcW w:w="2620" w:type="dxa"/>
            <w:tcBorders>
              <w:top w:val="nil"/>
              <w:left w:val="nil"/>
              <w:bottom w:val="single" w:sz="4" w:space="0" w:color="auto"/>
              <w:right w:val="single" w:sz="4" w:space="0" w:color="auto"/>
            </w:tcBorders>
            <w:shd w:val="clear" w:color="auto" w:fill="auto"/>
            <w:vAlign w:val="center"/>
            <w:hideMark/>
          </w:tcPr>
          <w:p w14:paraId="4B0FEC7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Enero 2021.</w:t>
            </w:r>
          </w:p>
        </w:tc>
      </w:tr>
      <w:tr w:rsidR="00CF7396" w:rsidRPr="00CF7396" w14:paraId="1DDCA803" w14:textId="77777777" w:rsidTr="00AF369B">
        <w:trPr>
          <w:trHeight w:val="300"/>
        </w:trPr>
        <w:tc>
          <w:tcPr>
            <w:tcW w:w="3681" w:type="dxa"/>
            <w:vMerge/>
            <w:tcBorders>
              <w:top w:val="nil"/>
              <w:left w:val="single" w:sz="4" w:space="0" w:color="auto"/>
              <w:bottom w:val="single" w:sz="4" w:space="0" w:color="000000"/>
              <w:right w:val="single" w:sz="4" w:space="0" w:color="auto"/>
            </w:tcBorders>
            <w:vAlign w:val="center"/>
            <w:hideMark/>
          </w:tcPr>
          <w:p w14:paraId="677E778B" w14:textId="77777777" w:rsidR="00CF7396" w:rsidRPr="00CF7396" w:rsidRDefault="00CF7396" w:rsidP="00CF7396">
            <w:pPr>
              <w:numPr>
                <w:ilvl w:val="0"/>
                <w:numId w:val="57"/>
              </w:numPr>
              <w:rPr>
                <w:color w:val="000000" w:themeColor="text1"/>
                <w:lang w:val="es-CR" w:eastAsia="es-CR"/>
              </w:rPr>
            </w:pPr>
          </w:p>
        </w:tc>
        <w:tc>
          <w:tcPr>
            <w:tcW w:w="2820" w:type="dxa"/>
            <w:tcBorders>
              <w:top w:val="nil"/>
              <w:left w:val="nil"/>
              <w:bottom w:val="single" w:sz="4" w:space="0" w:color="auto"/>
              <w:right w:val="single" w:sz="4" w:space="0" w:color="auto"/>
            </w:tcBorders>
            <w:shd w:val="clear" w:color="auto" w:fill="auto"/>
            <w:vAlign w:val="center"/>
            <w:hideMark/>
          </w:tcPr>
          <w:p w14:paraId="79BD0C8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1464-PLA-EV-TR-2021</w:t>
            </w:r>
          </w:p>
        </w:tc>
        <w:tc>
          <w:tcPr>
            <w:tcW w:w="2620" w:type="dxa"/>
            <w:tcBorders>
              <w:top w:val="nil"/>
              <w:left w:val="nil"/>
              <w:bottom w:val="single" w:sz="4" w:space="0" w:color="auto"/>
              <w:right w:val="single" w:sz="4" w:space="0" w:color="auto"/>
            </w:tcBorders>
            <w:shd w:val="clear" w:color="auto" w:fill="auto"/>
            <w:vAlign w:val="center"/>
            <w:hideMark/>
          </w:tcPr>
          <w:p w14:paraId="64975D2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Febrero 2021.</w:t>
            </w:r>
          </w:p>
        </w:tc>
      </w:tr>
      <w:tr w:rsidR="00CF7396" w:rsidRPr="00CF7396" w14:paraId="46A27A3D" w14:textId="77777777" w:rsidTr="00AF369B">
        <w:trPr>
          <w:trHeight w:val="300"/>
        </w:trPr>
        <w:tc>
          <w:tcPr>
            <w:tcW w:w="3681" w:type="dxa"/>
            <w:vMerge/>
            <w:tcBorders>
              <w:top w:val="nil"/>
              <w:left w:val="single" w:sz="4" w:space="0" w:color="auto"/>
              <w:bottom w:val="single" w:sz="4" w:space="0" w:color="000000"/>
              <w:right w:val="single" w:sz="4" w:space="0" w:color="auto"/>
            </w:tcBorders>
            <w:vAlign w:val="center"/>
            <w:hideMark/>
          </w:tcPr>
          <w:p w14:paraId="35263995" w14:textId="77777777" w:rsidR="00CF7396" w:rsidRPr="00CF7396" w:rsidRDefault="00CF7396" w:rsidP="00CF7396">
            <w:pPr>
              <w:numPr>
                <w:ilvl w:val="0"/>
                <w:numId w:val="57"/>
              </w:numPr>
              <w:rPr>
                <w:color w:val="000000" w:themeColor="text1"/>
                <w:lang w:val="es-CR" w:eastAsia="es-CR"/>
              </w:rPr>
            </w:pPr>
          </w:p>
        </w:tc>
        <w:tc>
          <w:tcPr>
            <w:tcW w:w="2820" w:type="dxa"/>
            <w:tcBorders>
              <w:top w:val="nil"/>
              <w:left w:val="nil"/>
              <w:bottom w:val="single" w:sz="4" w:space="0" w:color="auto"/>
              <w:right w:val="single" w:sz="4" w:space="0" w:color="auto"/>
            </w:tcBorders>
            <w:shd w:val="clear" w:color="auto" w:fill="auto"/>
            <w:vAlign w:val="center"/>
            <w:hideMark/>
          </w:tcPr>
          <w:p w14:paraId="167BCF5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1469-PLA-EV-TR-2021</w:t>
            </w:r>
          </w:p>
        </w:tc>
        <w:tc>
          <w:tcPr>
            <w:tcW w:w="2620" w:type="dxa"/>
            <w:tcBorders>
              <w:top w:val="nil"/>
              <w:left w:val="nil"/>
              <w:bottom w:val="single" w:sz="4" w:space="0" w:color="auto"/>
              <w:right w:val="single" w:sz="4" w:space="0" w:color="auto"/>
            </w:tcBorders>
            <w:shd w:val="clear" w:color="auto" w:fill="auto"/>
            <w:vAlign w:val="center"/>
            <w:hideMark/>
          </w:tcPr>
          <w:p w14:paraId="26CDF7A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Marzo 2021.</w:t>
            </w:r>
          </w:p>
        </w:tc>
      </w:tr>
      <w:tr w:rsidR="00CF7396" w:rsidRPr="00CF7396" w14:paraId="19F10A00" w14:textId="77777777" w:rsidTr="00AF369B">
        <w:trPr>
          <w:trHeight w:val="300"/>
        </w:trPr>
        <w:tc>
          <w:tcPr>
            <w:tcW w:w="3681"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62385551" w14:textId="77777777" w:rsidR="00CF7396" w:rsidRPr="00CF7396" w:rsidRDefault="00CF7396" w:rsidP="00CF7396">
            <w:pPr>
              <w:numPr>
                <w:ilvl w:val="0"/>
                <w:numId w:val="57"/>
              </w:numPr>
              <w:jc w:val="center"/>
              <w:rPr>
                <w:color w:val="000000" w:themeColor="text1"/>
                <w:lang w:val="es-CR" w:eastAsia="es-CR"/>
              </w:rPr>
            </w:pPr>
            <w:r w:rsidRPr="00CF7396">
              <w:rPr>
                <w:color w:val="000000" w:themeColor="text1"/>
                <w:lang w:val="es-CR" w:eastAsia="es-CR"/>
              </w:rPr>
              <w:t>Tribunal Colegiado de I Instancia Civil del ICJ ZA</w:t>
            </w:r>
          </w:p>
        </w:tc>
        <w:tc>
          <w:tcPr>
            <w:tcW w:w="2820" w:type="dxa"/>
            <w:tcBorders>
              <w:top w:val="nil"/>
              <w:left w:val="nil"/>
              <w:bottom w:val="single" w:sz="4" w:space="0" w:color="auto"/>
              <w:right w:val="single" w:sz="4" w:space="0" w:color="auto"/>
            </w:tcBorders>
            <w:shd w:val="clear" w:color="000000" w:fill="D9D9D9"/>
            <w:vAlign w:val="center"/>
            <w:hideMark/>
          </w:tcPr>
          <w:p w14:paraId="262DF87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1458-PLA-EV-TR-2021</w:t>
            </w:r>
          </w:p>
        </w:tc>
        <w:tc>
          <w:tcPr>
            <w:tcW w:w="2620" w:type="dxa"/>
            <w:tcBorders>
              <w:top w:val="nil"/>
              <w:left w:val="nil"/>
              <w:bottom w:val="single" w:sz="4" w:space="0" w:color="auto"/>
              <w:right w:val="single" w:sz="4" w:space="0" w:color="auto"/>
            </w:tcBorders>
            <w:shd w:val="clear" w:color="000000" w:fill="D9D9D9"/>
            <w:vAlign w:val="center"/>
            <w:hideMark/>
          </w:tcPr>
          <w:p w14:paraId="4CA2BB1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Enero 2021.</w:t>
            </w:r>
          </w:p>
        </w:tc>
      </w:tr>
      <w:tr w:rsidR="00CF7396" w:rsidRPr="00CF7396" w14:paraId="1A97B2F3" w14:textId="77777777" w:rsidTr="00AF369B">
        <w:trPr>
          <w:trHeight w:val="300"/>
        </w:trPr>
        <w:tc>
          <w:tcPr>
            <w:tcW w:w="3681" w:type="dxa"/>
            <w:vMerge/>
            <w:tcBorders>
              <w:top w:val="nil"/>
              <w:left w:val="single" w:sz="4" w:space="0" w:color="auto"/>
              <w:bottom w:val="single" w:sz="4" w:space="0" w:color="000000"/>
              <w:right w:val="single" w:sz="4" w:space="0" w:color="auto"/>
            </w:tcBorders>
            <w:vAlign w:val="center"/>
            <w:hideMark/>
          </w:tcPr>
          <w:p w14:paraId="4F1959E5" w14:textId="77777777" w:rsidR="00CF7396" w:rsidRPr="00CF7396" w:rsidRDefault="00CF7396" w:rsidP="00CF7396">
            <w:pPr>
              <w:numPr>
                <w:ilvl w:val="0"/>
                <w:numId w:val="57"/>
              </w:numPr>
              <w:rPr>
                <w:color w:val="000000" w:themeColor="text1"/>
                <w:lang w:val="es-CR" w:eastAsia="es-CR"/>
              </w:rPr>
            </w:pPr>
          </w:p>
        </w:tc>
        <w:tc>
          <w:tcPr>
            <w:tcW w:w="2820" w:type="dxa"/>
            <w:tcBorders>
              <w:top w:val="nil"/>
              <w:left w:val="nil"/>
              <w:bottom w:val="single" w:sz="4" w:space="0" w:color="auto"/>
              <w:right w:val="single" w:sz="4" w:space="0" w:color="auto"/>
            </w:tcBorders>
            <w:shd w:val="clear" w:color="000000" w:fill="D9D9D9"/>
            <w:vAlign w:val="center"/>
            <w:hideMark/>
          </w:tcPr>
          <w:p w14:paraId="1A9A935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1465-PLA-EV-TR-2021</w:t>
            </w:r>
          </w:p>
        </w:tc>
        <w:tc>
          <w:tcPr>
            <w:tcW w:w="2620" w:type="dxa"/>
            <w:tcBorders>
              <w:top w:val="nil"/>
              <w:left w:val="nil"/>
              <w:bottom w:val="single" w:sz="4" w:space="0" w:color="auto"/>
              <w:right w:val="single" w:sz="4" w:space="0" w:color="auto"/>
            </w:tcBorders>
            <w:shd w:val="clear" w:color="000000" w:fill="D9D9D9"/>
            <w:vAlign w:val="center"/>
            <w:hideMark/>
          </w:tcPr>
          <w:p w14:paraId="3714233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Febrero 2021.</w:t>
            </w:r>
          </w:p>
        </w:tc>
      </w:tr>
      <w:tr w:rsidR="00CF7396" w:rsidRPr="00CF7396" w14:paraId="3C01B0E1" w14:textId="77777777" w:rsidTr="00AF369B">
        <w:trPr>
          <w:trHeight w:val="300"/>
        </w:trPr>
        <w:tc>
          <w:tcPr>
            <w:tcW w:w="3681" w:type="dxa"/>
            <w:vMerge/>
            <w:tcBorders>
              <w:top w:val="nil"/>
              <w:left w:val="single" w:sz="4" w:space="0" w:color="auto"/>
              <w:bottom w:val="single" w:sz="4" w:space="0" w:color="000000"/>
              <w:right w:val="single" w:sz="4" w:space="0" w:color="auto"/>
            </w:tcBorders>
            <w:vAlign w:val="center"/>
            <w:hideMark/>
          </w:tcPr>
          <w:p w14:paraId="48B8D012" w14:textId="77777777" w:rsidR="00CF7396" w:rsidRPr="00CF7396" w:rsidRDefault="00CF7396" w:rsidP="00CF7396">
            <w:pPr>
              <w:numPr>
                <w:ilvl w:val="0"/>
                <w:numId w:val="57"/>
              </w:numPr>
              <w:rPr>
                <w:color w:val="000000" w:themeColor="text1"/>
                <w:lang w:val="es-CR" w:eastAsia="es-CR"/>
              </w:rPr>
            </w:pPr>
          </w:p>
        </w:tc>
        <w:tc>
          <w:tcPr>
            <w:tcW w:w="2820" w:type="dxa"/>
            <w:tcBorders>
              <w:top w:val="nil"/>
              <w:left w:val="nil"/>
              <w:bottom w:val="single" w:sz="4" w:space="0" w:color="auto"/>
              <w:right w:val="single" w:sz="4" w:space="0" w:color="auto"/>
            </w:tcBorders>
            <w:shd w:val="clear" w:color="000000" w:fill="D9D9D9"/>
            <w:vAlign w:val="center"/>
            <w:hideMark/>
          </w:tcPr>
          <w:p w14:paraId="75131A6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1470-PLA-EV-TR-2021</w:t>
            </w:r>
          </w:p>
        </w:tc>
        <w:tc>
          <w:tcPr>
            <w:tcW w:w="2620" w:type="dxa"/>
            <w:tcBorders>
              <w:top w:val="nil"/>
              <w:left w:val="nil"/>
              <w:bottom w:val="single" w:sz="4" w:space="0" w:color="auto"/>
              <w:right w:val="single" w:sz="4" w:space="0" w:color="auto"/>
            </w:tcBorders>
            <w:shd w:val="clear" w:color="000000" w:fill="D9D9D9"/>
            <w:vAlign w:val="center"/>
            <w:hideMark/>
          </w:tcPr>
          <w:p w14:paraId="78E9CA4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Marzo 2021.</w:t>
            </w:r>
          </w:p>
        </w:tc>
      </w:tr>
      <w:tr w:rsidR="00CF7396" w:rsidRPr="00CF7396" w14:paraId="2F5569E8" w14:textId="77777777" w:rsidTr="00AF369B">
        <w:trPr>
          <w:trHeight w:val="300"/>
        </w:trPr>
        <w:tc>
          <w:tcPr>
            <w:tcW w:w="3681" w:type="dxa"/>
            <w:vMerge/>
            <w:tcBorders>
              <w:top w:val="nil"/>
              <w:left w:val="single" w:sz="4" w:space="0" w:color="auto"/>
              <w:bottom w:val="single" w:sz="4" w:space="0" w:color="000000"/>
              <w:right w:val="single" w:sz="4" w:space="0" w:color="auto"/>
            </w:tcBorders>
            <w:vAlign w:val="center"/>
            <w:hideMark/>
          </w:tcPr>
          <w:p w14:paraId="27EB6C4D" w14:textId="77777777" w:rsidR="00CF7396" w:rsidRPr="00CF7396" w:rsidRDefault="00CF7396" w:rsidP="00CF7396">
            <w:pPr>
              <w:numPr>
                <w:ilvl w:val="0"/>
                <w:numId w:val="57"/>
              </w:numPr>
              <w:rPr>
                <w:color w:val="000000" w:themeColor="text1"/>
                <w:lang w:val="es-CR" w:eastAsia="es-CR"/>
              </w:rPr>
            </w:pPr>
          </w:p>
        </w:tc>
        <w:tc>
          <w:tcPr>
            <w:tcW w:w="2820" w:type="dxa"/>
            <w:tcBorders>
              <w:top w:val="nil"/>
              <w:left w:val="nil"/>
              <w:bottom w:val="single" w:sz="4" w:space="0" w:color="auto"/>
              <w:right w:val="single" w:sz="4" w:space="0" w:color="auto"/>
            </w:tcBorders>
            <w:shd w:val="clear" w:color="000000" w:fill="D9D9D9"/>
            <w:vAlign w:val="center"/>
            <w:hideMark/>
          </w:tcPr>
          <w:p w14:paraId="0DA6812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2053-PLA-EV-TR-2021</w:t>
            </w:r>
          </w:p>
        </w:tc>
        <w:tc>
          <w:tcPr>
            <w:tcW w:w="2620" w:type="dxa"/>
            <w:tcBorders>
              <w:top w:val="nil"/>
              <w:left w:val="nil"/>
              <w:bottom w:val="single" w:sz="4" w:space="0" w:color="auto"/>
              <w:right w:val="single" w:sz="4" w:space="0" w:color="auto"/>
            </w:tcBorders>
            <w:shd w:val="clear" w:color="000000" w:fill="D9D9D9"/>
            <w:vAlign w:val="center"/>
            <w:hideMark/>
          </w:tcPr>
          <w:p w14:paraId="47B6152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Abril y </w:t>
            </w:r>
            <w:proofErr w:type="gramStart"/>
            <w:r w:rsidRPr="00CF7396">
              <w:rPr>
                <w:color w:val="000000" w:themeColor="text1"/>
                <w:lang w:val="es-CR" w:eastAsia="es-CR"/>
              </w:rPr>
              <w:t>Mayo</w:t>
            </w:r>
            <w:proofErr w:type="gramEnd"/>
            <w:r w:rsidRPr="00CF7396">
              <w:rPr>
                <w:color w:val="000000" w:themeColor="text1"/>
                <w:lang w:val="es-CR" w:eastAsia="es-CR"/>
              </w:rPr>
              <w:t xml:space="preserve"> 2021,</w:t>
            </w:r>
          </w:p>
        </w:tc>
      </w:tr>
      <w:tr w:rsidR="00CF7396" w:rsidRPr="00CF7396" w14:paraId="05E06421" w14:textId="77777777" w:rsidTr="00AF369B">
        <w:trPr>
          <w:trHeight w:val="300"/>
        </w:trPr>
        <w:tc>
          <w:tcPr>
            <w:tcW w:w="3681" w:type="dxa"/>
            <w:vMerge w:val="restart"/>
            <w:tcBorders>
              <w:top w:val="nil"/>
              <w:left w:val="single" w:sz="4" w:space="0" w:color="auto"/>
              <w:bottom w:val="nil"/>
              <w:right w:val="single" w:sz="4" w:space="0" w:color="auto"/>
            </w:tcBorders>
            <w:shd w:val="clear" w:color="auto" w:fill="auto"/>
            <w:vAlign w:val="center"/>
            <w:hideMark/>
          </w:tcPr>
          <w:p w14:paraId="7ACCB7BA" w14:textId="77777777" w:rsidR="00CF7396" w:rsidRPr="00CF7396" w:rsidRDefault="00CF7396" w:rsidP="00CF7396">
            <w:pPr>
              <w:numPr>
                <w:ilvl w:val="0"/>
                <w:numId w:val="57"/>
              </w:numPr>
              <w:jc w:val="center"/>
              <w:rPr>
                <w:color w:val="000000" w:themeColor="text1"/>
                <w:lang w:val="es-CR" w:eastAsia="es-CR"/>
              </w:rPr>
            </w:pPr>
            <w:r w:rsidRPr="00CF7396">
              <w:rPr>
                <w:color w:val="000000" w:themeColor="text1"/>
                <w:lang w:val="es-CR" w:eastAsia="es-CR"/>
              </w:rPr>
              <w:t>Tribunal de Apelaciones Civil y Laboral del ICJ ZA</w:t>
            </w:r>
          </w:p>
        </w:tc>
        <w:tc>
          <w:tcPr>
            <w:tcW w:w="2820" w:type="dxa"/>
            <w:tcBorders>
              <w:top w:val="nil"/>
              <w:left w:val="nil"/>
              <w:bottom w:val="single" w:sz="4" w:space="0" w:color="auto"/>
              <w:right w:val="single" w:sz="4" w:space="0" w:color="auto"/>
            </w:tcBorders>
            <w:shd w:val="clear" w:color="auto" w:fill="auto"/>
            <w:vAlign w:val="center"/>
            <w:hideMark/>
          </w:tcPr>
          <w:p w14:paraId="1AB1619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1459-PLA-EV-TR-2021</w:t>
            </w:r>
          </w:p>
        </w:tc>
        <w:tc>
          <w:tcPr>
            <w:tcW w:w="2620" w:type="dxa"/>
            <w:tcBorders>
              <w:top w:val="nil"/>
              <w:left w:val="nil"/>
              <w:bottom w:val="single" w:sz="4" w:space="0" w:color="auto"/>
              <w:right w:val="single" w:sz="4" w:space="0" w:color="auto"/>
            </w:tcBorders>
            <w:shd w:val="clear" w:color="auto" w:fill="auto"/>
            <w:vAlign w:val="center"/>
            <w:hideMark/>
          </w:tcPr>
          <w:p w14:paraId="21F9C3F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Enero 2021.</w:t>
            </w:r>
          </w:p>
        </w:tc>
      </w:tr>
      <w:tr w:rsidR="00CF7396" w:rsidRPr="00CF7396" w14:paraId="22F09987" w14:textId="77777777" w:rsidTr="00AF369B">
        <w:trPr>
          <w:trHeight w:val="300"/>
        </w:trPr>
        <w:tc>
          <w:tcPr>
            <w:tcW w:w="3681" w:type="dxa"/>
            <w:vMerge/>
            <w:tcBorders>
              <w:top w:val="nil"/>
              <w:left w:val="single" w:sz="4" w:space="0" w:color="auto"/>
              <w:bottom w:val="nil"/>
              <w:right w:val="single" w:sz="4" w:space="0" w:color="auto"/>
            </w:tcBorders>
            <w:vAlign w:val="center"/>
            <w:hideMark/>
          </w:tcPr>
          <w:p w14:paraId="0C6E07B4" w14:textId="77777777" w:rsidR="00CF7396" w:rsidRPr="00CF7396" w:rsidRDefault="00CF7396" w:rsidP="00CF7396">
            <w:pPr>
              <w:numPr>
                <w:ilvl w:val="0"/>
                <w:numId w:val="57"/>
              </w:numPr>
              <w:rPr>
                <w:color w:val="000000" w:themeColor="text1"/>
                <w:lang w:val="es-CR" w:eastAsia="es-CR"/>
              </w:rPr>
            </w:pPr>
          </w:p>
        </w:tc>
        <w:tc>
          <w:tcPr>
            <w:tcW w:w="2820" w:type="dxa"/>
            <w:tcBorders>
              <w:top w:val="nil"/>
              <w:left w:val="nil"/>
              <w:bottom w:val="single" w:sz="4" w:space="0" w:color="auto"/>
              <w:right w:val="single" w:sz="4" w:space="0" w:color="auto"/>
            </w:tcBorders>
            <w:shd w:val="clear" w:color="auto" w:fill="auto"/>
            <w:vAlign w:val="center"/>
            <w:hideMark/>
          </w:tcPr>
          <w:p w14:paraId="742A435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1466-PLA-EV-TR-2021</w:t>
            </w:r>
          </w:p>
        </w:tc>
        <w:tc>
          <w:tcPr>
            <w:tcW w:w="2620" w:type="dxa"/>
            <w:tcBorders>
              <w:top w:val="nil"/>
              <w:left w:val="nil"/>
              <w:bottom w:val="single" w:sz="4" w:space="0" w:color="auto"/>
              <w:right w:val="single" w:sz="4" w:space="0" w:color="auto"/>
            </w:tcBorders>
            <w:shd w:val="clear" w:color="auto" w:fill="auto"/>
            <w:vAlign w:val="center"/>
            <w:hideMark/>
          </w:tcPr>
          <w:p w14:paraId="1465DD8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Febrero 2021.</w:t>
            </w:r>
          </w:p>
        </w:tc>
      </w:tr>
      <w:tr w:rsidR="00CF7396" w:rsidRPr="00CF7396" w14:paraId="55B4A2EE" w14:textId="77777777" w:rsidTr="00AF369B">
        <w:trPr>
          <w:trHeight w:val="300"/>
        </w:trPr>
        <w:tc>
          <w:tcPr>
            <w:tcW w:w="3681" w:type="dxa"/>
            <w:vMerge/>
            <w:tcBorders>
              <w:top w:val="nil"/>
              <w:left w:val="single" w:sz="4" w:space="0" w:color="auto"/>
              <w:bottom w:val="nil"/>
              <w:right w:val="single" w:sz="4" w:space="0" w:color="auto"/>
            </w:tcBorders>
            <w:vAlign w:val="center"/>
            <w:hideMark/>
          </w:tcPr>
          <w:p w14:paraId="033E91D6" w14:textId="77777777" w:rsidR="00CF7396" w:rsidRPr="00CF7396" w:rsidRDefault="00CF7396" w:rsidP="00CF7396">
            <w:pPr>
              <w:numPr>
                <w:ilvl w:val="0"/>
                <w:numId w:val="57"/>
              </w:numPr>
              <w:rPr>
                <w:color w:val="000000" w:themeColor="text1"/>
                <w:lang w:val="es-CR" w:eastAsia="es-CR"/>
              </w:rPr>
            </w:pPr>
          </w:p>
        </w:tc>
        <w:tc>
          <w:tcPr>
            <w:tcW w:w="2820" w:type="dxa"/>
            <w:tcBorders>
              <w:top w:val="nil"/>
              <w:left w:val="nil"/>
              <w:bottom w:val="single" w:sz="4" w:space="0" w:color="auto"/>
              <w:right w:val="single" w:sz="4" w:space="0" w:color="auto"/>
            </w:tcBorders>
            <w:shd w:val="clear" w:color="auto" w:fill="auto"/>
            <w:vAlign w:val="center"/>
            <w:hideMark/>
          </w:tcPr>
          <w:p w14:paraId="126D5E4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1471-PLA-EV-TR-2021</w:t>
            </w:r>
          </w:p>
        </w:tc>
        <w:tc>
          <w:tcPr>
            <w:tcW w:w="2620" w:type="dxa"/>
            <w:tcBorders>
              <w:top w:val="nil"/>
              <w:left w:val="nil"/>
              <w:bottom w:val="single" w:sz="4" w:space="0" w:color="auto"/>
              <w:right w:val="single" w:sz="4" w:space="0" w:color="auto"/>
            </w:tcBorders>
            <w:shd w:val="clear" w:color="auto" w:fill="auto"/>
            <w:vAlign w:val="center"/>
            <w:hideMark/>
          </w:tcPr>
          <w:p w14:paraId="08C7026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Marzo 2021.</w:t>
            </w:r>
          </w:p>
        </w:tc>
      </w:tr>
      <w:tr w:rsidR="00CF7396" w:rsidRPr="00CF7396" w14:paraId="6BBB4CE8" w14:textId="77777777" w:rsidTr="00AF369B">
        <w:trPr>
          <w:trHeight w:val="300"/>
        </w:trPr>
        <w:tc>
          <w:tcPr>
            <w:tcW w:w="3681"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0DDB590F" w14:textId="77777777" w:rsidR="00CF7396" w:rsidRPr="00CF7396" w:rsidRDefault="00CF7396" w:rsidP="00CF7396">
            <w:pPr>
              <w:numPr>
                <w:ilvl w:val="0"/>
                <w:numId w:val="57"/>
              </w:numPr>
              <w:jc w:val="center"/>
              <w:rPr>
                <w:color w:val="000000" w:themeColor="text1"/>
                <w:lang w:val="es-CR" w:eastAsia="es-CR"/>
              </w:rPr>
            </w:pPr>
            <w:r w:rsidRPr="00CF7396">
              <w:rPr>
                <w:color w:val="000000" w:themeColor="text1"/>
                <w:lang w:val="es-CR" w:eastAsia="es-CR"/>
              </w:rPr>
              <w:t>Tribunal Penal del ICJ ZA</w:t>
            </w:r>
          </w:p>
        </w:tc>
        <w:tc>
          <w:tcPr>
            <w:tcW w:w="2820" w:type="dxa"/>
            <w:tcBorders>
              <w:top w:val="nil"/>
              <w:left w:val="nil"/>
              <w:bottom w:val="single" w:sz="4" w:space="0" w:color="auto"/>
              <w:right w:val="single" w:sz="4" w:space="0" w:color="auto"/>
            </w:tcBorders>
            <w:shd w:val="clear" w:color="000000" w:fill="D9D9D9"/>
            <w:vAlign w:val="center"/>
            <w:hideMark/>
          </w:tcPr>
          <w:p w14:paraId="32F44AB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2055-PLA-EV-TR-2021</w:t>
            </w:r>
          </w:p>
        </w:tc>
        <w:tc>
          <w:tcPr>
            <w:tcW w:w="2620" w:type="dxa"/>
            <w:tcBorders>
              <w:top w:val="nil"/>
              <w:left w:val="nil"/>
              <w:bottom w:val="single" w:sz="4" w:space="0" w:color="auto"/>
              <w:right w:val="single" w:sz="4" w:space="0" w:color="auto"/>
            </w:tcBorders>
            <w:shd w:val="clear" w:color="000000" w:fill="D9D9D9"/>
            <w:vAlign w:val="center"/>
            <w:hideMark/>
          </w:tcPr>
          <w:p w14:paraId="60E27BF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Enero 2021.</w:t>
            </w:r>
          </w:p>
        </w:tc>
      </w:tr>
      <w:tr w:rsidR="00CF7396" w:rsidRPr="00CF7396" w14:paraId="1285CE00" w14:textId="77777777" w:rsidTr="00AF369B">
        <w:trPr>
          <w:trHeight w:val="300"/>
        </w:trPr>
        <w:tc>
          <w:tcPr>
            <w:tcW w:w="3681" w:type="dxa"/>
            <w:vMerge/>
            <w:tcBorders>
              <w:top w:val="single" w:sz="4" w:space="0" w:color="auto"/>
              <w:left w:val="single" w:sz="4" w:space="0" w:color="auto"/>
              <w:bottom w:val="single" w:sz="4" w:space="0" w:color="000000"/>
              <w:right w:val="single" w:sz="4" w:space="0" w:color="auto"/>
            </w:tcBorders>
            <w:vAlign w:val="center"/>
            <w:hideMark/>
          </w:tcPr>
          <w:p w14:paraId="0B8262BC" w14:textId="77777777" w:rsidR="00CF7396" w:rsidRPr="00CF7396" w:rsidRDefault="00CF7396" w:rsidP="00CF7396">
            <w:pPr>
              <w:numPr>
                <w:ilvl w:val="0"/>
                <w:numId w:val="57"/>
              </w:numPr>
              <w:rPr>
                <w:color w:val="000000" w:themeColor="text1"/>
                <w:lang w:val="es-CR" w:eastAsia="es-CR"/>
              </w:rPr>
            </w:pPr>
          </w:p>
        </w:tc>
        <w:tc>
          <w:tcPr>
            <w:tcW w:w="2820" w:type="dxa"/>
            <w:tcBorders>
              <w:top w:val="nil"/>
              <w:left w:val="nil"/>
              <w:bottom w:val="single" w:sz="4" w:space="0" w:color="auto"/>
              <w:right w:val="single" w:sz="4" w:space="0" w:color="auto"/>
            </w:tcBorders>
            <w:shd w:val="clear" w:color="000000" w:fill="D9D9D9"/>
            <w:vAlign w:val="center"/>
            <w:hideMark/>
          </w:tcPr>
          <w:p w14:paraId="241282E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1460-PLA-EV-TR-2021</w:t>
            </w:r>
          </w:p>
        </w:tc>
        <w:tc>
          <w:tcPr>
            <w:tcW w:w="2620" w:type="dxa"/>
            <w:tcBorders>
              <w:top w:val="nil"/>
              <w:left w:val="nil"/>
              <w:bottom w:val="single" w:sz="4" w:space="0" w:color="auto"/>
              <w:right w:val="single" w:sz="4" w:space="0" w:color="auto"/>
            </w:tcBorders>
            <w:shd w:val="clear" w:color="000000" w:fill="D9D9D9"/>
            <w:vAlign w:val="center"/>
            <w:hideMark/>
          </w:tcPr>
          <w:p w14:paraId="753522D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Febrero 2021.</w:t>
            </w:r>
          </w:p>
        </w:tc>
      </w:tr>
      <w:tr w:rsidR="00CF7396" w:rsidRPr="00CF7396" w14:paraId="6B9FAFA0" w14:textId="77777777" w:rsidTr="00AF369B">
        <w:trPr>
          <w:trHeight w:val="300"/>
        </w:trPr>
        <w:tc>
          <w:tcPr>
            <w:tcW w:w="3681" w:type="dxa"/>
            <w:vMerge/>
            <w:tcBorders>
              <w:top w:val="single" w:sz="4" w:space="0" w:color="auto"/>
              <w:left w:val="single" w:sz="4" w:space="0" w:color="auto"/>
              <w:bottom w:val="single" w:sz="4" w:space="0" w:color="000000"/>
              <w:right w:val="single" w:sz="4" w:space="0" w:color="auto"/>
            </w:tcBorders>
            <w:vAlign w:val="center"/>
            <w:hideMark/>
          </w:tcPr>
          <w:p w14:paraId="323C8548" w14:textId="77777777" w:rsidR="00CF7396" w:rsidRPr="00CF7396" w:rsidRDefault="00CF7396" w:rsidP="00CF7396">
            <w:pPr>
              <w:numPr>
                <w:ilvl w:val="0"/>
                <w:numId w:val="57"/>
              </w:numPr>
              <w:rPr>
                <w:color w:val="000000" w:themeColor="text1"/>
                <w:lang w:val="es-CR" w:eastAsia="es-CR"/>
              </w:rPr>
            </w:pPr>
          </w:p>
        </w:tc>
        <w:tc>
          <w:tcPr>
            <w:tcW w:w="2820" w:type="dxa"/>
            <w:tcBorders>
              <w:top w:val="nil"/>
              <w:left w:val="nil"/>
              <w:bottom w:val="single" w:sz="4" w:space="0" w:color="auto"/>
              <w:right w:val="single" w:sz="4" w:space="0" w:color="auto"/>
            </w:tcBorders>
            <w:shd w:val="clear" w:color="000000" w:fill="D9D9D9"/>
            <w:vAlign w:val="center"/>
            <w:hideMark/>
          </w:tcPr>
          <w:p w14:paraId="56D1E63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1472-PLA-EV-TR-2021</w:t>
            </w:r>
          </w:p>
        </w:tc>
        <w:tc>
          <w:tcPr>
            <w:tcW w:w="2620" w:type="dxa"/>
            <w:tcBorders>
              <w:top w:val="nil"/>
              <w:left w:val="nil"/>
              <w:bottom w:val="single" w:sz="4" w:space="0" w:color="auto"/>
              <w:right w:val="single" w:sz="4" w:space="0" w:color="auto"/>
            </w:tcBorders>
            <w:shd w:val="clear" w:color="000000" w:fill="D9D9D9"/>
            <w:vAlign w:val="center"/>
            <w:hideMark/>
          </w:tcPr>
          <w:p w14:paraId="4D7A65C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Marzo 2021.</w:t>
            </w:r>
          </w:p>
        </w:tc>
      </w:tr>
      <w:tr w:rsidR="00CF7396" w:rsidRPr="00CF7396" w14:paraId="712CB09C" w14:textId="77777777" w:rsidTr="00AF369B">
        <w:trPr>
          <w:trHeight w:val="570"/>
        </w:trPr>
        <w:tc>
          <w:tcPr>
            <w:tcW w:w="3681" w:type="dxa"/>
            <w:vMerge/>
            <w:tcBorders>
              <w:top w:val="single" w:sz="4" w:space="0" w:color="auto"/>
              <w:left w:val="single" w:sz="4" w:space="0" w:color="auto"/>
              <w:bottom w:val="single" w:sz="4" w:space="0" w:color="000000"/>
              <w:right w:val="single" w:sz="4" w:space="0" w:color="auto"/>
            </w:tcBorders>
            <w:vAlign w:val="center"/>
            <w:hideMark/>
          </w:tcPr>
          <w:p w14:paraId="682184A2" w14:textId="77777777" w:rsidR="00CF7396" w:rsidRPr="00CF7396" w:rsidRDefault="00CF7396" w:rsidP="00CF7396">
            <w:pPr>
              <w:numPr>
                <w:ilvl w:val="0"/>
                <w:numId w:val="57"/>
              </w:numPr>
              <w:rPr>
                <w:color w:val="000000" w:themeColor="text1"/>
                <w:lang w:val="es-CR" w:eastAsia="es-CR"/>
              </w:rPr>
            </w:pPr>
          </w:p>
        </w:tc>
        <w:tc>
          <w:tcPr>
            <w:tcW w:w="2820" w:type="dxa"/>
            <w:tcBorders>
              <w:top w:val="nil"/>
              <w:left w:val="nil"/>
              <w:bottom w:val="single" w:sz="4" w:space="0" w:color="auto"/>
              <w:right w:val="single" w:sz="4" w:space="0" w:color="auto"/>
            </w:tcBorders>
            <w:shd w:val="clear" w:color="000000" w:fill="D9D9D9"/>
            <w:vAlign w:val="center"/>
            <w:hideMark/>
          </w:tcPr>
          <w:p w14:paraId="68EA304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2370-PLA-EV-TR-2021</w:t>
            </w:r>
          </w:p>
        </w:tc>
        <w:tc>
          <w:tcPr>
            <w:tcW w:w="2620" w:type="dxa"/>
            <w:tcBorders>
              <w:top w:val="nil"/>
              <w:left w:val="nil"/>
              <w:bottom w:val="single" w:sz="4" w:space="0" w:color="auto"/>
              <w:right w:val="single" w:sz="4" w:space="0" w:color="auto"/>
            </w:tcBorders>
            <w:shd w:val="clear" w:color="000000" w:fill="D9D9D9"/>
            <w:vAlign w:val="center"/>
            <w:hideMark/>
          </w:tcPr>
          <w:p w14:paraId="7B4A6C6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Abril, </w:t>
            </w:r>
            <w:proofErr w:type="gramStart"/>
            <w:r w:rsidRPr="00CF7396">
              <w:rPr>
                <w:color w:val="000000" w:themeColor="text1"/>
                <w:lang w:val="es-CR" w:eastAsia="es-CR"/>
              </w:rPr>
              <w:t>Mayo</w:t>
            </w:r>
            <w:proofErr w:type="gramEnd"/>
            <w:r w:rsidRPr="00CF7396">
              <w:rPr>
                <w:color w:val="000000" w:themeColor="text1"/>
                <w:lang w:val="es-CR" w:eastAsia="es-CR"/>
              </w:rPr>
              <w:t>, Junio, Julio y Agosto 2022.</w:t>
            </w:r>
          </w:p>
        </w:tc>
      </w:tr>
      <w:tr w:rsidR="00CF7396" w:rsidRPr="00CF7396" w14:paraId="46DAD077" w14:textId="77777777" w:rsidTr="00AF369B">
        <w:trPr>
          <w:trHeight w:val="570"/>
        </w:trPr>
        <w:tc>
          <w:tcPr>
            <w:tcW w:w="3681" w:type="dxa"/>
            <w:vMerge w:val="restart"/>
            <w:tcBorders>
              <w:top w:val="nil"/>
              <w:left w:val="single" w:sz="4" w:space="0" w:color="auto"/>
              <w:bottom w:val="single" w:sz="4" w:space="0" w:color="000000"/>
              <w:right w:val="single" w:sz="4" w:space="0" w:color="auto"/>
            </w:tcBorders>
            <w:shd w:val="clear" w:color="auto" w:fill="auto"/>
            <w:vAlign w:val="center"/>
            <w:hideMark/>
          </w:tcPr>
          <w:p w14:paraId="5A8035C0" w14:textId="77777777" w:rsidR="00CF7396" w:rsidRPr="00CF7396" w:rsidRDefault="00CF7396" w:rsidP="00CF7396">
            <w:pPr>
              <w:numPr>
                <w:ilvl w:val="0"/>
                <w:numId w:val="57"/>
              </w:numPr>
              <w:jc w:val="center"/>
              <w:rPr>
                <w:color w:val="000000" w:themeColor="text1"/>
                <w:lang w:val="es-CR" w:eastAsia="es-CR"/>
              </w:rPr>
            </w:pPr>
            <w:r w:rsidRPr="00CF7396">
              <w:rPr>
                <w:color w:val="000000" w:themeColor="text1"/>
                <w:lang w:val="es-CR" w:eastAsia="es-CR"/>
              </w:rPr>
              <w:t>Sección de Flagrancia del ICJ ZA</w:t>
            </w:r>
          </w:p>
        </w:tc>
        <w:tc>
          <w:tcPr>
            <w:tcW w:w="2820" w:type="dxa"/>
            <w:tcBorders>
              <w:top w:val="nil"/>
              <w:left w:val="nil"/>
              <w:bottom w:val="single" w:sz="4" w:space="0" w:color="auto"/>
              <w:right w:val="single" w:sz="4" w:space="0" w:color="auto"/>
            </w:tcBorders>
            <w:shd w:val="clear" w:color="auto" w:fill="auto"/>
            <w:vAlign w:val="center"/>
            <w:hideMark/>
          </w:tcPr>
          <w:p w14:paraId="039AE1F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1461-PLA-EV-TR-2021</w:t>
            </w:r>
          </w:p>
        </w:tc>
        <w:tc>
          <w:tcPr>
            <w:tcW w:w="2620" w:type="dxa"/>
            <w:tcBorders>
              <w:top w:val="nil"/>
              <w:left w:val="nil"/>
              <w:bottom w:val="single" w:sz="4" w:space="0" w:color="auto"/>
              <w:right w:val="single" w:sz="4" w:space="0" w:color="auto"/>
            </w:tcBorders>
            <w:shd w:val="clear" w:color="auto" w:fill="auto"/>
            <w:vAlign w:val="center"/>
            <w:hideMark/>
          </w:tcPr>
          <w:p w14:paraId="67DA903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Febrero 2021.</w:t>
            </w:r>
          </w:p>
        </w:tc>
      </w:tr>
      <w:tr w:rsidR="00CF7396" w:rsidRPr="00CF7396" w14:paraId="065629C7" w14:textId="77777777" w:rsidTr="00AF369B">
        <w:trPr>
          <w:trHeight w:val="300"/>
        </w:trPr>
        <w:tc>
          <w:tcPr>
            <w:tcW w:w="3681" w:type="dxa"/>
            <w:vMerge/>
            <w:tcBorders>
              <w:top w:val="nil"/>
              <w:left w:val="single" w:sz="4" w:space="0" w:color="auto"/>
              <w:bottom w:val="single" w:sz="4" w:space="0" w:color="000000"/>
              <w:right w:val="single" w:sz="4" w:space="0" w:color="auto"/>
            </w:tcBorders>
            <w:vAlign w:val="center"/>
            <w:hideMark/>
          </w:tcPr>
          <w:p w14:paraId="537C3A33" w14:textId="77777777" w:rsidR="00CF7396" w:rsidRPr="00CF7396" w:rsidRDefault="00CF7396" w:rsidP="00CF7396">
            <w:pPr>
              <w:numPr>
                <w:ilvl w:val="0"/>
                <w:numId w:val="57"/>
              </w:numPr>
              <w:rPr>
                <w:color w:val="000000" w:themeColor="text1"/>
                <w:lang w:val="es-CR" w:eastAsia="es-CR"/>
              </w:rPr>
            </w:pPr>
          </w:p>
        </w:tc>
        <w:tc>
          <w:tcPr>
            <w:tcW w:w="2820" w:type="dxa"/>
            <w:tcBorders>
              <w:top w:val="nil"/>
              <w:left w:val="nil"/>
              <w:bottom w:val="single" w:sz="4" w:space="0" w:color="auto"/>
              <w:right w:val="single" w:sz="4" w:space="0" w:color="auto"/>
            </w:tcBorders>
            <w:shd w:val="clear" w:color="auto" w:fill="auto"/>
            <w:vAlign w:val="center"/>
            <w:hideMark/>
          </w:tcPr>
          <w:p w14:paraId="5FD18F9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1473-PLA-EV-TR-2021</w:t>
            </w:r>
          </w:p>
        </w:tc>
        <w:tc>
          <w:tcPr>
            <w:tcW w:w="2620" w:type="dxa"/>
            <w:tcBorders>
              <w:top w:val="nil"/>
              <w:left w:val="nil"/>
              <w:bottom w:val="single" w:sz="4" w:space="0" w:color="auto"/>
              <w:right w:val="single" w:sz="4" w:space="0" w:color="auto"/>
            </w:tcBorders>
            <w:shd w:val="clear" w:color="auto" w:fill="auto"/>
            <w:vAlign w:val="center"/>
            <w:hideMark/>
          </w:tcPr>
          <w:p w14:paraId="057F791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Marzo 2021.</w:t>
            </w:r>
          </w:p>
        </w:tc>
      </w:tr>
      <w:tr w:rsidR="00CF7396" w:rsidRPr="00CF7396" w14:paraId="669CFFE1" w14:textId="77777777" w:rsidTr="00AF369B">
        <w:trPr>
          <w:trHeight w:val="1425"/>
        </w:trPr>
        <w:tc>
          <w:tcPr>
            <w:tcW w:w="3681" w:type="dxa"/>
            <w:tcBorders>
              <w:top w:val="nil"/>
              <w:left w:val="single" w:sz="4" w:space="0" w:color="auto"/>
              <w:bottom w:val="single" w:sz="4" w:space="0" w:color="auto"/>
              <w:right w:val="single" w:sz="4" w:space="0" w:color="auto"/>
            </w:tcBorders>
            <w:shd w:val="clear" w:color="000000" w:fill="D9D9D9"/>
            <w:vAlign w:val="center"/>
            <w:hideMark/>
          </w:tcPr>
          <w:p w14:paraId="328D5B69" w14:textId="77777777" w:rsidR="00CF7396" w:rsidRPr="00CF7396" w:rsidRDefault="00CF7396" w:rsidP="00CF7396">
            <w:pPr>
              <w:numPr>
                <w:ilvl w:val="0"/>
                <w:numId w:val="57"/>
              </w:numPr>
              <w:jc w:val="center"/>
              <w:rPr>
                <w:color w:val="000000" w:themeColor="text1"/>
                <w:lang w:val="es-CR" w:eastAsia="es-CR"/>
              </w:rPr>
            </w:pPr>
            <w:r w:rsidRPr="00CF7396">
              <w:rPr>
                <w:color w:val="000000" w:themeColor="text1"/>
                <w:lang w:val="es-CR" w:eastAsia="es-CR"/>
              </w:rPr>
              <w:t>Juzgado Agrario del ICJ ZA</w:t>
            </w:r>
          </w:p>
        </w:tc>
        <w:tc>
          <w:tcPr>
            <w:tcW w:w="2820" w:type="dxa"/>
            <w:tcBorders>
              <w:top w:val="nil"/>
              <w:left w:val="nil"/>
              <w:bottom w:val="single" w:sz="4" w:space="0" w:color="auto"/>
              <w:right w:val="single" w:sz="4" w:space="0" w:color="auto"/>
            </w:tcBorders>
            <w:shd w:val="clear" w:color="000000" w:fill="D9D9D9"/>
            <w:vAlign w:val="center"/>
            <w:hideMark/>
          </w:tcPr>
          <w:p w14:paraId="73F893B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2050-PLA-EV-TR-2021</w:t>
            </w:r>
          </w:p>
        </w:tc>
        <w:tc>
          <w:tcPr>
            <w:tcW w:w="2620" w:type="dxa"/>
            <w:tcBorders>
              <w:top w:val="nil"/>
              <w:left w:val="nil"/>
              <w:bottom w:val="single" w:sz="4" w:space="0" w:color="auto"/>
              <w:right w:val="single" w:sz="4" w:space="0" w:color="auto"/>
            </w:tcBorders>
            <w:shd w:val="clear" w:color="000000" w:fill="D9D9D9"/>
            <w:vAlign w:val="center"/>
            <w:hideMark/>
          </w:tcPr>
          <w:p w14:paraId="224906F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Realimentación al Juzgado Agrario del ICJ Zona Atlántica (Limón) de los Indicadores de abril, mayo, junio y julio del 2021.</w:t>
            </w:r>
          </w:p>
        </w:tc>
      </w:tr>
    </w:tbl>
    <w:p w14:paraId="301145E3" w14:textId="77777777" w:rsidR="00CF7396" w:rsidRPr="00CF7396" w:rsidRDefault="00CF7396" w:rsidP="00CF7396">
      <w:pPr>
        <w:ind w:left="720"/>
        <w:rPr>
          <w:i/>
          <w:iCs/>
          <w:color w:val="000000" w:themeColor="text1"/>
          <w:lang w:val="es-CR" w:eastAsia="zh-CN"/>
        </w:rPr>
      </w:pPr>
      <w:r w:rsidRPr="00CF7396">
        <w:rPr>
          <w:b/>
          <w:bCs/>
          <w:i/>
          <w:iCs/>
          <w:color w:val="000000" w:themeColor="text1"/>
          <w:lang w:val="es-CR" w:eastAsia="zh-CN"/>
        </w:rPr>
        <w:t>Fuente:</w:t>
      </w:r>
      <w:r w:rsidRPr="00CF7396">
        <w:rPr>
          <w:i/>
          <w:iCs/>
          <w:color w:val="000000" w:themeColor="text1"/>
          <w:lang w:val="es-CR" w:eastAsia="zh-CN"/>
        </w:rPr>
        <w:t xml:space="preserve"> Datos tomados del Sistema Integrado de Correspondencia “SICE. Elaboración propia del Subproceso de Evaluación de la Dirección de Planificación.</w:t>
      </w:r>
    </w:p>
    <w:p w14:paraId="21B2E591" w14:textId="77777777" w:rsidR="00CF7396" w:rsidRPr="00CF7396" w:rsidRDefault="00CF7396" w:rsidP="00CF7396">
      <w:pPr>
        <w:contextualSpacing/>
        <w:jc w:val="both"/>
        <w:rPr>
          <w:color w:val="000000" w:themeColor="text1"/>
          <w:lang w:val="es-CR" w:eastAsia="zh-CN"/>
        </w:rPr>
      </w:pPr>
    </w:p>
    <w:p w14:paraId="671DA5D1" w14:textId="77777777" w:rsidR="00CF7396" w:rsidRPr="00CF7396" w:rsidRDefault="00CF7396" w:rsidP="00CF7396">
      <w:pPr>
        <w:ind w:left="851" w:right="851" w:firstLine="709"/>
        <w:contextualSpacing/>
        <w:jc w:val="both"/>
        <w:rPr>
          <w:color w:val="000000" w:themeColor="text1"/>
          <w:lang w:val="es-CR" w:eastAsia="zh-CN"/>
        </w:rPr>
      </w:pPr>
      <w:r w:rsidRPr="00CF7396">
        <w:rPr>
          <w:color w:val="000000" w:themeColor="text1"/>
          <w:lang w:val="es-CR" w:eastAsia="zh-CN"/>
        </w:rPr>
        <w:lastRenderedPageBreak/>
        <w:t xml:space="preserve">De manera general durante el 2021 se realizaron 23 realimentaciones mediante correo electrónico a los despachos judiciales que conforman el Modelo de Seguimiento y Sostenibilidad; aunado a lo anterior, se realizaron realimentaciones, acompañamientos, asesorías y diversas reuniones conforme fue explicado en los anteriores puntos. </w:t>
      </w:r>
      <w:proofErr w:type="gramStart"/>
      <w:r w:rsidRPr="00CF7396">
        <w:rPr>
          <w:color w:val="000000" w:themeColor="text1"/>
          <w:lang w:val="es-CR" w:eastAsia="zh-CN"/>
        </w:rPr>
        <w:t>Aclarar</w:t>
      </w:r>
      <w:proofErr w:type="gramEnd"/>
      <w:r w:rsidRPr="00CF7396">
        <w:rPr>
          <w:color w:val="000000" w:themeColor="text1"/>
          <w:lang w:val="es-CR" w:eastAsia="zh-CN"/>
        </w:rPr>
        <w:t xml:space="preserve"> que las realimentaciones de los Indicadores correspondientes a los demás meses del 2021 se efectuaron a inicios del 2022 los cuales serán contempladas en el informe anual de dicho año</w:t>
      </w:r>
      <w:r w:rsidRPr="00CF7396">
        <w:rPr>
          <w:color w:val="000000" w:themeColor="text1"/>
          <w:vertAlign w:val="superscript"/>
          <w:lang w:val="es-CR" w:eastAsia="zh-CN"/>
        </w:rPr>
        <w:footnoteReference w:id="1"/>
      </w:r>
      <w:r w:rsidRPr="00CF7396">
        <w:rPr>
          <w:color w:val="000000" w:themeColor="text1"/>
          <w:lang w:val="es-CR" w:eastAsia="zh-CN"/>
        </w:rPr>
        <w:t>.</w:t>
      </w:r>
    </w:p>
    <w:p w14:paraId="776F4154" w14:textId="77777777" w:rsidR="00CF7396" w:rsidRPr="00CF7396" w:rsidRDefault="00CF7396" w:rsidP="00CF7396">
      <w:pPr>
        <w:ind w:left="851" w:right="851" w:firstLine="709"/>
        <w:contextualSpacing/>
        <w:jc w:val="both"/>
        <w:rPr>
          <w:color w:val="000000" w:themeColor="text1"/>
          <w:lang w:val="es-CR" w:eastAsia="zh-CN"/>
        </w:rPr>
      </w:pPr>
    </w:p>
    <w:p w14:paraId="022A1DC5" w14:textId="77777777" w:rsidR="00CF7396" w:rsidRPr="00CF7396" w:rsidRDefault="00CF7396" w:rsidP="00CF7396">
      <w:pPr>
        <w:ind w:left="851" w:right="851" w:firstLine="709"/>
        <w:contextualSpacing/>
        <w:jc w:val="both"/>
        <w:rPr>
          <w:color w:val="000000" w:themeColor="text1"/>
          <w:lang w:val="es-CR" w:eastAsia="zh-CN"/>
        </w:rPr>
      </w:pPr>
      <w:r w:rsidRPr="00CF7396">
        <w:rPr>
          <w:color w:val="000000" w:themeColor="text1"/>
          <w:lang w:val="es-CR" w:eastAsia="zh-CN"/>
        </w:rPr>
        <w:t>Igualmente, se realizaron otras realimentaciones por medio de correo electrónico que no cuentan con número consecutivo; sino que se enviaban al despacho cuando se detectaba alguna situación atípica en los sistemas o en los documentos de la operativa del Modelo.</w:t>
      </w:r>
    </w:p>
    <w:p w14:paraId="24C4B18F" w14:textId="77777777" w:rsidR="00CF7396" w:rsidRPr="00CF7396" w:rsidRDefault="00CF7396" w:rsidP="00CF7396">
      <w:pPr>
        <w:ind w:left="851" w:right="851" w:firstLine="709"/>
        <w:contextualSpacing/>
        <w:jc w:val="both"/>
        <w:rPr>
          <w:color w:val="000000" w:themeColor="text1"/>
          <w:lang w:val="es-CR" w:eastAsia="zh-CN"/>
        </w:rPr>
      </w:pPr>
    </w:p>
    <w:p w14:paraId="28DC8E20" w14:textId="77777777" w:rsidR="00CF7396" w:rsidRPr="00CF7396" w:rsidRDefault="00CF7396" w:rsidP="00CF7396">
      <w:pPr>
        <w:numPr>
          <w:ilvl w:val="0"/>
          <w:numId w:val="38"/>
        </w:numPr>
        <w:ind w:left="851" w:right="851" w:firstLine="709"/>
        <w:contextualSpacing/>
        <w:jc w:val="both"/>
        <w:rPr>
          <w:color w:val="000000" w:themeColor="text1"/>
          <w:lang w:val="es-CR" w:eastAsia="zh-CN"/>
        </w:rPr>
      </w:pPr>
      <w:r w:rsidRPr="00CF7396">
        <w:rPr>
          <w:color w:val="000000" w:themeColor="text1"/>
          <w:lang w:val="es-CR" w:eastAsia="zh-CN"/>
        </w:rPr>
        <w:t>Por otro lado, se realizaron diversos informes u oficios durante el 2021, a continuación, se cita un breve resumen de cada uno de ellos:</w:t>
      </w:r>
    </w:p>
    <w:p w14:paraId="30451D92" w14:textId="77777777" w:rsidR="00CF7396" w:rsidRPr="00CF7396" w:rsidRDefault="00CF7396" w:rsidP="00CF7396">
      <w:pPr>
        <w:ind w:left="720"/>
        <w:contextualSpacing/>
        <w:jc w:val="center"/>
        <w:rPr>
          <w:b/>
          <w:bCs/>
          <w:i/>
          <w:iCs/>
          <w:color w:val="000000" w:themeColor="text1"/>
          <w:lang w:val="es-CR" w:eastAsia="es-CR"/>
        </w:rPr>
      </w:pPr>
    </w:p>
    <w:p w14:paraId="668C2980" w14:textId="77777777" w:rsidR="00CF7396" w:rsidRPr="00CF7396" w:rsidRDefault="00CF7396" w:rsidP="00CF7396">
      <w:pPr>
        <w:ind w:left="720"/>
        <w:contextualSpacing/>
        <w:jc w:val="center"/>
        <w:rPr>
          <w:b/>
          <w:bCs/>
          <w:i/>
          <w:iCs/>
          <w:color w:val="000000" w:themeColor="text1"/>
          <w:lang w:val="es-CR" w:eastAsia="es-CR"/>
        </w:rPr>
      </w:pPr>
      <w:r w:rsidRPr="00CF7396">
        <w:rPr>
          <w:b/>
          <w:bCs/>
          <w:i/>
          <w:iCs/>
          <w:color w:val="000000" w:themeColor="text1"/>
          <w:lang w:val="es-CR" w:eastAsia="es-CR"/>
        </w:rPr>
        <w:t>Cuadro 6</w:t>
      </w:r>
    </w:p>
    <w:p w14:paraId="2A210DEF" w14:textId="77777777" w:rsidR="00CF7396" w:rsidRPr="00CF7396" w:rsidRDefault="00CF7396" w:rsidP="00CF7396">
      <w:pPr>
        <w:ind w:left="720"/>
        <w:contextualSpacing/>
        <w:jc w:val="center"/>
        <w:rPr>
          <w:b/>
          <w:bCs/>
          <w:i/>
          <w:iCs/>
          <w:color w:val="000000" w:themeColor="text1"/>
          <w:lang w:val="es-CR" w:eastAsia="es-CR"/>
        </w:rPr>
      </w:pPr>
      <w:r w:rsidRPr="00CF7396">
        <w:rPr>
          <w:b/>
          <w:bCs/>
          <w:i/>
          <w:iCs/>
          <w:color w:val="000000" w:themeColor="text1"/>
          <w:lang w:val="es-CR" w:eastAsia="es-CR"/>
        </w:rPr>
        <w:t xml:space="preserve">Informes realizados por la Profesional de la Dirección de Planificación  </w:t>
      </w:r>
    </w:p>
    <w:p w14:paraId="51205C05" w14:textId="77777777" w:rsidR="00CF7396" w:rsidRPr="00CF7396" w:rsidRDefault="00CF7396" w:rsidP="00CF7396">
      <w:pPr>
        <w:ind w:left="720"/>
        <w:contextualSpacing/>
        <w:jc w:val="center"/>
        <w:rPr>
          <w:b/>
          <w:bCs/>
          <w:i/>
          <w:iCs/>
          <w:color w:val="000000" w:themeColor="text1"/>
          <w:lang w:val="es-CR" w:eastAsia="es-CR"/>
        </w:rPr>
      </w:pPr>
      <w:r w:rsidRPr="00CF7396">
        <w:rPr>
          <w:b/>
          <w:bCs/>
          <w:i/>
          <w:iCs/>
          <w:color w:val="000000" w:themeColor="text1"/>
          <w:lang w:val="es-CR" w:eastAsia="es-CR"/>
        </w:rPr>
        <w:t>del Modelo de Seguimiento y Sostenibilidad del Primer</w:t>
      </w:r>
    </w:p>
    <w:p w14:paraId="61770F9F" w14:textId="77777777" w:rsidR="00CF7396" w:rsidRPr="00CF7396" w:rsidRDefault="00CF7396" w:rsidP="00CF7396">
      <w:pPr>
        <w:ind w:left="720"/>
        <w:contextualSpacing/>
        <w:jc w:val="center"/>
        <w:rPr>
          <w:b/>
          <w:bCs/>
          <w:i/>
          <w:iCs/>
          <w:color w:val="000000" w:themeColor="text1"/>
          <w:lang w:val="es-CR" w:eastAsia="es-CR"/>
        </w:rPr>
      </w:pPr>
      <w:r w:rsidRPr="00CF7396">
        <w:rPr>
          <w:b/>
          <w:bCs/>
          <w:i/>
          <w:iCs/>
          <w:color w:val="000000" w:themeColor="text1"/>
          <w:lang w:val="es-CR" w:eastAsia="es-CR"/>
        </w:rPr>
        <w:t xml:space="preserve"> Circuito Judicial de la Zona Atlántica</w:t>
      </w:r>
    </w:p>
    <w:p w14:paraId="2F9F1E81" w14:textId="77777777" w:rsidR="00CF7396" w:rsidRPr="00CF7396" w:rsidRDefault="00CF7396" w:rsidP="00CF7396">
      <w:pPr>
        <w:ind w:left="720"/>
        <w:contextualSpacing/>
        <w:jc w:val="center"/>
        <w:rPr>
          <w:b/>
          <w:bCs/>
          <w:i/>
          <w:iCs/>
          <w:color w:val="000000" w:themeColor="text1"/>
          <w:lang w:val="es-CR" w:eastAsia="es-CR"/>
        </w:rPr>
      </w:pPr>
      <w:r w:rsidRPr="00CF7396">
        <w:rPr>
          <w:b/>
          <w:bCs/>
          <w:i/>
          <w:iCs/>
          <w:color w:val="000000" w:themeColor="text1"/>
          <w:lang w:val="es-CR" w:eastAsia="es-CR"/>
        </w:rPr>
        <w:t>durante el 2021</w:t>
      </w:r>
    </w:p>
    <w:tbl>
      <w:tblPr>
        <w:tblW w:w="10250" w:type="dxa"/>
        <w:tblInd w:w="-332" w:type="dxa"/>
        <w:tblCellMar>
          <w:left w:w="70" w:type="dxa"/>
          <w:right w:w="70" w:type="dxa"/>
        </w:tblCellMar>
        <w:tblLook w:val="04A0" w:firstRow="1" w:lastRow="0" w:firstColumn="1" w:lastColumn="0" w:noHBand="0" w:noVBand="1"/>
      </w:tblPr>
      <w:tblGrid>
        <w:gridCol w:w="742"/>
        <w:gridCol w:w="2716"/>
        <w:gridCol w:w="6792"/>
      </w:tblGrid>
      <w:tr w:rsidR="00CF7396" w:rsidRPr="00CF7396" w14:paraId="1E045418" w14:textId="77777777" w:rsidTr="00AF369B">
        <w:trPr>
          <w:trHeight w:val="410"/>
        </w:trPr>
        <w:tc>
          <w:tcPr>
            <w:tcW w:w="742" w:type="dxa"/>
            <w:tcBorders>
              <w:top w:val="single" w:sz="4" w:space="0" w:color="auto"/>
              <w:left w:val="single" w:sz="4" w:space="0" w:color="auto"/>
              <w:bottom w:val="single" w:sz="4" w:space="0" w:color="auto"/>
              <w:right w:val="single" w:sz="4" w:space="0" w:color="000000"/>
            </w:tcBorders>
            <w:shd w:val="clear" w:color="auto" w:fill="003366"/>
          </w:tcPr>
          <w:p w14:paraId="0662093E" w14:textId="77777777" w:rsidR="00CF7396" w:rsidRPr="00CF7396" w:rsidRDefault="00CF7396" w:rsidP="00CF7396">
            <w:pPr>
              <w:rPr>
                <w:b/>
                <w:bCs/>
                <w:color w:val="000000" w:themeColor="text1"/>
                <w:lang w:val="es-CR" w:eastAsia="es-CR"/>
              </w:rPr>
            </w:pPr>
            <w:proofErr w:type="spellStart"/>
            <w:r w:rsidRPr="00CF7396">
              <w:rPr>
                <w:b/>
                <w:bCs/>
                <w:color w:val="000000" w:themeColor="text1"/>
                <w:lang w:val="es-CR" w:eastAsia="es-CR"/>
              </w:rPr>
              <w:t>N°</w:t>
            </w:r>
            <w:proofErr w:type="spellEnd"/>
          </w:p>
        </w:tc>
        <w:tc>
          <w:tcPr>
            <w:tcW w:w="2716" w:type="dxa"/>
            <w:tcBorders>
              <w:top w:val="single" w:sz="4" w:space="0" w:color="auto"/>
              <w:left w:val="single" w:sz="4" w:space="0" w:color="auto"/>
              <w:bottom w:val="single" w:sz="4" w:space="0" w:color="auto"/>
              <w:right w:val="single" w:sz="4" w:space="0" w:color="000000"/>
            </w:tcBorders>
            <w:shd w:val="clear" w:color="auto" w:fill="003366"/>
            <w:noWrap/>
            <w:vAlign w:val="center"/>
          </w:tcPr>
          <w:p w14:paraId="7A0942D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Número de informe u oficios</w:t>
            </w:r>
          </w:p>
        </w:tc>
        <w:tc>
          <w:tcPr>
            <w:tcW w:w="6792" w:type="dxa"/>
            <w:tcBorders>
              <w:top w:val="single" w:sz="4" w:space="0" w:color="auto"/>
              <w:left w:val="single" w:sz="4" w:space="0" w:color="auto"/>
              <w:bottom w:val="single" w:sz="4" w:space="0" w:color="auto"/>
              <w:right w:val="single" w:sz="4" w:space="0" w:color="000000"/>
            </w:tcBorders>
            <w:shd w:val="clear" w:color="auto" w:fill="003366"/>
          </w:tcPr>
          <w:p w14:paraId="505668E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Asunto</w:t>
            </w:r>
          </w:p>
        </w:tc>
      </w:tr>
      <w:tr w:rsidR="00CF7396" w:rsidRPr="00CF7396" w14:paraId="760112EF" w14:textId="77777777" w:rsidTr="00AF369B">
        <w:trPr>
          <w:trHeight w:val="239"/>
        </w:trPr>
        <w:tc>
          <w:tcPr>
            <w:tcW w:w="742" w:type="dxa"/>
            <w:tcBorders>
              <w:top w:val="single" w:sz="4" w:space="0" w:color="auto"/>
              <w:left w:val="single" w:sz="4" w:space="0" w:color="auto"/>
              <w:bottom w:val="single" w:sz="4" w:space="0" w:color="auto"/>
              <w:right w:val="single" w:sz="4" w:space="0" w:color="000000"/>
            </w:tcBorders>
          </w:tcPr>
          <w:p w14:paraId="271AEA3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w:t>
            </w:r>
          </w:p>
        </w:tc>
        <w:tc>
          <w:tcPr>
            <w:tcW w:w="2716"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4E9752F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274-PLA-EV-2021</w:t>
            </w:r>
          </w:p>
        </w:tc>
        <w:tc>
          <w:tcPr>
            <w:tcW w:w="6792" w:type="dxa"/>
            <w:tcBorders>
              <w:top w:val="single" w:sz="4" w:space="0" w:color="auto"/>
              <w:left w:val="single" w:sz="4" w:space="0" w:color="auto"/>
              <w:bottom w:val="single" w:sz="4" w:space="0" w:color="auto"/>
              <w:right w:val="single" w:sz="4" w:space="0" w:color="000000"/>
            </w:tcBorders>
          </w:tcPr>
          <w:p w14:paraId="1E567632"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Informe anual del 2020 del Modelo de Seguimiento y Sostenibilidad del Primer Circuito Judicial de la Zona Atlántica.</w:t>
            </w:r>
          </w:p>
        </w:tc>
      </w:tr>
      <w:tr w:rsidR="00CF7396" w:rsidRPr="00CF7396" w14:paraId="0B2EE79C" w14:textId="77777777" w:rsidTr="00AF369B">
        <w:trPr>
          <w:trHeight w:val="239"/>
        </w:trPr>
        <w:tc>
          <w:tcPr>
            <w:tcW w:w="742" w:type="dxa"/>
            <w:tcBorders>
              <w:top w:val="single" w:sz="4" w:space="0" w:color="auto"/>
              <w:left w:val="single" w:sz="4" w:space="0" w:color="auto"/>
              <w:bottom w:val="single" w:sz="4" w:space="0" w:color="auto"/>
              <w:right w:val="single" w:sz="4" w:space="0" w:color="000000"/>
            </w:tcBorders>
          </w:tcPr>
          <w:p w14:paraId="2240529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w:t>
            </w:r>
          </w:p>
        </w:tc>
        <w:tc>
          <w:tcPr>
            <w:tcW w:w="2716"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18AC1BF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539-PLA-EV-MI-2021</w:t>
            </w:r>
          </w:p>
        </w:tc>
        <w:tc>
          <w:tcPr>
            <w:tcW w:w="6792" w:type="dxa"/>
            <w:tcBorders>
              <w:top w:val="single" w:sz="4" w:space="0" w:color="auto"/>
              <w:left w:val="single" w:sz="4" w:space="0" w:color="auto"/>
              <w:bottom w:val="single" w:sz="4" w:space="0" w:color="auto"/>
              <w:right w:val="single" w:sz="4" w:space="0" w:color="000000"/>
            </w:tcBorders>
          </w:tcPr>
          <w:p w14:paraId="1DBA3278"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Informe de Seguimiento de los Indicadores de la Sección de Flagrancia del ICJ ZA.</w:t>
            </w:r>
          </w:p>
        </w:tc>
      </w:tr>
      <w:tr w:rsidR="00CF7396" w:rsidRPr="00CF7396" w14:paraId="7C0CF9FA" w14:textId="77777777" w:rsidTr="00AF369B">
        <w:trPr>
          <w:trHeight w:val="239"/>
        </w:trPr>
        <w:tc>
          <w:tcPr>
            <w:tcW w:w="742" w:type="dxa"/>
            <w:tcBorders>
              <w:top w:val="single" w:sz="4" w:space="0" w:color="auto"/>
              <w:left w:val="single" w:sz="4" w:space="0" w:color="auto"/>
              <w:bottom w:val="single" w:sz="4" w:space="0" w:color="auto"/>
              <w:right w:val="single" w:sz="4" w:space="0" w:color="000000"/>
            </w:tcBorders>
          </w:tcPr>
          <w:p w14:paraId="2178002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w:t>
            </w:r>
          </w:p>
        </w:tc>
        <w:tc>
          <w:tcPr>
            <w:tcW w:w="2716"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13A984C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720-PLA-EV-2021</w:t>
            </w:r>
          </w:p>
        </w:tc>
        <w:tc>
          <w:tcPr>
            <w:tcW w:w="6792" w:type="dxa"/>
            <w:tcBorders>
              <w:top w:val="single" w:sz="4" w:space="0" w:color="auto"/>
              <w:left w:val="single" w:sz="4" w:space="0" w:color="auto"/>
              <w:bottom w:val="single" w:sz="4" w:space="0" w:color="auto"/>
              <w:right w:val="single" w:sz="4" w:space="0" w:color="000000"/>
            </w:tcBorders>
          </w:tcPr>
          <w:p w14:paraId="69585049"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Informe de plan de trabajo cobro-civil, referente a que las personas técnicas judiciales de Civil realizaran demandas nuevas en materia cobratoria</w:t>
            </w:r>
          </w:p>
        </w:tc>
      </w:tr>
      <w:tr w:rsidR="00CF7396" w:rsidRPr="00CF7396" w14:paraId="19509D87" w14:textId="77777777" w:rsidTr="00AF369B">
        <w:trPr>
          <w:trHeight w:val="239"/>
        </w:trPr>
        <w:tc>
          <w:tcPr>
            <w:tcW w:w="742" w:type="dxa"/>
            <w:tcBorders>
              <w:top w:val="single" w:sz="4" w:space="0" w:color="auto"/>
              <w:left w:val="single" w:sz="4" w:space="0" w:color="auto"/>
              <w:bottom w:val="single" w:sz="4" w:space="0" w:color="auto"/>
              <w:right w:val="single" w:sz="4" w:space="0" w:color="000000"/>
            </w:tcBorders>
          </w:tcPr>
          <w:p w14:paraId="18DED68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w:t>
            </w:r>
          </w:p>
        </w:tc>
        <w:tc>
          <w:tcPr>
            <w:tcW w:w="2716"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37D878F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803-PLA-EV-MI-2021</w:t>
            </w:r>
          </w:p>
        </w:tc>
        <w:tc>
          <w:tcPr>
            <w:tcW w:w="6792" w:type="dxa"/>
            <w:tcBorders>
              <w:top w:val="single" w:sz="4" w:space="0" w:color="auto"/>
              <w:left w:val="single" w:sz="4" w:space="0" w:color="auto"/>
              <w:bottom w:val="single" w:sz="4" w:space="0" w:color="auto"/>
              <w:right w:val="single" w:sz="4" w:space="0" w:color="000000"/>
            </w:tcBorders>
          </w:tcPr>
          <w:p w14:paraId="06A594F8"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Oficio preliminar del informe del plan de descongestionamiento del Tribunal Penal y plan para la Sección de Flagrancia del ICJ ZA.</w:t>
            </w:r>
          </w:p>
        </w:tc>
      </w:tr>
      <w:tr w:rsidR="00CF7396" w:rsidRPr="00CF7396" w14:paraId="017C86F9" w14:textId="77777777" w:rsidTr="00AF369B">
        <w:trPr>
          <w:trHeight w:val="239"/>
        </w:trPr>
        <w:tc>
          <w:tcPr>
            <w:tcW w:w="742" w:type="dxa"/>
            <w:tcBorders>
              <w:top w:val="single" w:sz="4" w:space="0" w:color="auto"/>
              <w:left w:val="single" w:sz="4" w:space="0" w:color="auto"/>
              <w:bottom w:val="single" w:sz="4" w:space="0" w:color="auto"/>
              <w:right w:val="single" w:sz="4" w:space="0" w:color="000000"/>
            </w:tcBorders>
          </w:tcPr>
          <w:p w14:paraId="44B7F6B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w:t>
            </w:r>
          </w:p>
        </w:tc>
        <w:tc>
          <w:tcPr>
            <w:tcW w:w="2716"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607FDC6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1146-PLA-EV-MI-2021</w:t>
            </w:r>
          </w:p>
        </w:tc>
        <w:tc>
          <w:tcPr>
            <w:tcW w:w="6792" w:type="dxa"/>
            <w:tcBorders>
              <w:top w:val="single" w:sz="4" w:space="0" w:color="auto"/>
              <w:left w:val="single" w:sz="4" w:space="0" w:color="auto"/>
              <w:bottom w:val="single" w:sz="4" w:space="0" w:color="auto"/>
              <w:right w:val="single" w:sz="4" w:space="0" w:color="000000"/>
            </w:tcBorders>
          </w:tcPr>
          <w:p w14:paraId="24378881"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Oficio aclaratorio sobre el plan de descongestionamiento del Tribunal Penal del ICJ ZA.</w:t>
            </w:r>
          </w:p>
        </w:tc>
      </w:tr>
      <w:tr w:rsidR="00CF7396" w:rsidRPr="00CF7396" w14:paraId="19F6545A" w14:textId="77777777" w:rsidTr="00AF369B">
        <w:trPr>
          <w:trHeight w:val="239"/>
        </w:trPr>
        <w:tc>
          <w:tcPr>
            <w:tcW w:w="742" w:type="dxa"/>
            <w:tcBorders>
              <w:top w:val="single" w:sz="4" w:space="0" w:color="auto"/>
              <w:left w:val="single" w:sz="4" w:space="0" w:color="auto"/>
              <w:bottom w:val="single" w:sz="4" w:space="0" w:color="auto"/>
              <w:right w:val="single" w:sz="4" w:space="0" w:color="000000"/>
            </w:tcBorders>
          </w:tcPr>
          <w:p w14:paraId="2152A43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w:t>
            </w:r>
          </w:p>
        </w:tc>
        <w:tc>
          <w:tcPr>
            <w:tcW w:w="2716"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7A72E72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1209-PLA-MI-EV-2021</w:t>
            </w:r>
          </w:p>
        </w:tc>
        <w:tc>
          <w:tcPr>
            <w:tcW w:w="6792" w:type="dxa"/>
            <w:tcBorders>
              <w:top w:val="single" w:sz="4" w:space="0" w:color="auto"/>
              <w:left w:val="single" w:sz="4" w:space="0" w:color="auto"/>
              <w:bottom w:val="single" w:sz="4" w:space="0" w:color="auto"/>
              <w:right w:val="single" w:sz="4" w:space="0" w:color="000000"/>
            </w:tcBorders>
          </w:tcPr>
          <w:p w14:paraId="251B0E0A"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Oficio dirigido a la Comisión Nacional de Flagrancia y la Comisión de la Jurisdicción Penal referente a los criterios jurídicos emitidos por los jueces de Flagrancia, Juzgados Penales y Fiscalías, en relación con los asuntos que ingresan a Flagrancia.</w:t>
            </w:r>
          </w:p>
        </w:tc>
      </w:tr>
    </w:tbl>
    <w:p w14:paraId="1A0EB573" w14:textId="77777777" w:rsidR="00CF7396" w:rsidRPr="00CF7396" w:rsidRDefault="00CF7396" w:rsidP="00CF7396">
      <w:pPr>
        <w:ind w:left="1389" w:firstLine="651"/>
        <w:contextualSpacing/>
        <w:jc w:val="both"/>
        <w:rPr>
          <w:i/>
          <w:iCs/>
          <w:color w:val="000000" w:themeColor="text1"/>
          <w:lang w:val="es-CR" w:eastAsia="zh-CN"/>
        </w:rPr>
      </w:pPr>
      <w:r w:rsidRPr="00CF7396">
        <w:rPr>
          <w:b/>
          <w:bCs/>
          <w:i/>
          <w:iCs/>
          <w:color w:val="000000" w:themeColor="text1"/>
          <w:lang w:val="es-CR" w:eastAsia="zh-CN"/>
        </w:rPr>
        <w:t>Fuente:</w:t>
      </w:r>
      <w:r w:rsidRPr="00CF7396">
        <w:rPr>
          <w:i/>
          <w:iCs/>
          <w:color w:val="000000" w:themeColor="text1"/>
          <w:lang w:val="es-CR" w:eastAsia="zh-CN"/>
        </w:rPr>
        <w:t xml:space="preserve"> Elaborado por el Subproceso de Evaluación</w:t>
      </w:r>
    </w:p>
    <w:p w14:paraId="4153AB75" w14:textId="77777777" w:rsidR="00CF7396" w:rsidRPr="00CF7396" w:rsidRDefault="00CF7396" w:rsidP="00CF7396">
      <w:pPr>
        <w:ind w:left="1389" w:firstLine="651"/>
        <w:contextualSpacing/>
        <w:jc w:val="both"/>
        <w:rPr>
          <w:i/>
          <w:iCs/>
          <w:color w:val="000000" w:themeColor="text1"/>
          <w:lang w:val="es-CR" w:eastAsia="zh-CN"/>
        </w:rPr>
      </w:pPr>
    </w:p>
    <w:p w14:paraId="41E58790" w14:textId="77777777" w:rsidR="00CF7396" w:rsidRPr="00CF7396" w:rsidRDefault="00CF7396" w:rsidP="00CF7396">
      <w:pPr>
        <w:ind w:left="851" w:right="851" w:firstLine="709"/>
        <w:contextualSpacing/>
        <w:jc w:val="both"/>
        <w:rPr>
          <w:color w:val="000000" w:themeColor="text1"/>
          <w:lang w:val="es-CR" w:eastAsia="zh-CN"/>
        </w:rPr>
      </w:pPr>
      <w:r w:rsidRPr="00CF7396">
        <w:rPr>
          <w:color w:val="000000" w:themeColor="text1"/>
          <w:lang w:val="es-CR" w:eastAsia="zh-CN"/>
        </w:rPr>
        <w:t>Sobre el informe 539-PLA-EV-MI-2021 referente al seguimiento de los Indicadores de la Sección de Flagrancia del Primer Circuito Judicial de la Zona Atlántica, se realizó dando cumplimiento al acuerdo tomado por el Consejo Superior en sesión 95-2020 del 2 de octubre del 2020, artículo XLI.</w:t>
      </w:r>
    </w:p>
    <w:p w14:paraId="1D8E73E9" w14:textId="77777777" w:rsidR="00CF7396" w:rsidRPr="00CF7396" w:rsidRDefault="00CF7396" w:rsidP="00CF7396">
      <w:pPr>
        <w:ind w:left="851" w:right="851" w:firstLine="709"/>
        <w:contextualSpacing/>
        <w:jc w:val="both"/>
        <w:rPr>
          <w:color w:val="000000" w:themeColor="text1"/>
          <w:lang w:val="es-CR" w:eastAsia="zh-CN"/>
        </w:rPr>
      </w:pPr>
    </w:p>
    <w:p w14:paraId="7D0167E4" w14:textId="77777777" w:rsidR="00CF7396" w:rsidRPr="00CF7396" w:rsidRDefault="00CF7396" w:rsidP="00CF7396">
      <w:pPr>
        <w:ind w:left="851" w:right="851" w:firstLine="709"/>
        <w:contextualSpacing/>
        <w:jc w:val="both"/>
        <w:rPr>
          <w:color w:val="000000" w:themeColor="text1"/>
          <w:lang w:val="es-CR" w:eastAsia="zh-CN"/>
        </w:rPr>
      </w:pPr>
      <w:r w:rsidRPr="00CF7396">
        <w:rPr>
          <w:color w:val="000000" w:themeColor="text1"/>
          <w:lang w:val="es-CR" w:eastAsia="zh-CN"/>
        </w:rPr>
        <w:t xml:space="preserve">En cuanto al oficio preliminar 803-PLA-EV-MI-2021 sobre el informe del plan de descongestionamiento del Tribunal Penal y plan para la Sección de Flagrancia del Primer Circuito Judicial de la Zona Atlántica, se estuvo trabajando arduamente en diversas reuniones y coordinaciones, entre ellas, se formularon planes remediales y oportunidades de mejora para el Tribunal y Flagrancia, así como con la Defensa Pública, Fiscalía y Organismo de Investigación Judicial. Se coordinaron tamizajes con la </w:t>
      </w:r>
      <w:proofErr w:type="gramStart"/>
      <w:r w:rsidRPr="00CF7396">
        <w:rPr>
          <w:color w:val="000000" w:themeColor="text1"/>
          <w:lang w:val="es-CR" w:eastAsia="zh-CN"/>
        </w:rPr>
        <w:t>Fiscalía General</w:t>
      </w:r>
      <w:proofErr w:type="gramEnd"/>
      <w:r w:rsidRPr="00CF7396">
        <w:rPr>
          <w:color w:val="000000" w:themeColor="text1"/>
          <w:lang w:val="es-CR" w:eastAsia="zh-CN"/>
        </w:rPr>
        <w:t>, Juzgados Penales y Tribunal de aquellos asuntos referentes a Flagrancia. Se enviaron consultas de criterios jurídicos a la Comisión Nacional de Flagrancia y a la Comisión de la Jurisdicción Penal. Por lo que en el oficio definitivo de dicho plan se ampliará más el tema.</w:t>
      </w:r>
    </w:p>
    <w:p w14:paraId="39FB8326" w14:textId="77777777" w:rsidR="00CF7396" w:rsidRPr="00CF7396" w:rsidRDefault="00CF7396" w:rsidP="00CF7396">
      <w:pPr>
        <w:ind w:left="851" w:right="851" w:firstLine="709"/>
        <w:contextualSpacing/>
        <w:jc w:val="both"/>
        <w:rPr>
          <w:color w:val="000000" w:themeColor="text1"/>
          <w:lang w:val="es-CR" w:eastAsia="zh-CN"/>
        </w:rPr>
      </w:pPr>
    </w:p>
    <w:p w14:paraId="00E3233F" w14:textId="77777777" w:rsidR="00CF7396" w:rsidRPr="00CF7396" w:rsidRDefault="00CF7396" w:rsidP="00CF7396">
      <w:pPr>
        <w:ind w:left="851" w:right="851" w:firstLine="709"/>
        <w:contextualSpacing/>
        <w:jc w:val="both"/>
        <w:rPr>
          <w:color w:val="000000" w:themeColor="text1"/>
          <w:lang w:val="es-CR" w:eastAsia="zh-CN"/>
        </w:rPr>
      </w:pPr>
    </w:p>
    <w:p w14:paraId="24CBE495" w14:textId="77777777" w:rsidR="00CF7396" w:rsidRPr="00CF7396" w:rsidRDefault="00CF7396" w:rsidP="00CF7396">
      <w:pPr>
        <w:ind w:left="851" w:right="851" w:firstLine="709"/>
        <w:rPr>
          <w:b/>
          <w:bCs/>
          <w:color w:val="000000" w:themeColor="text1"/>
          <w:lang w:val="es-CR"/>
        </w:rPr>
      </w:pPr>
      <w:bookmarkStart w:id="5" w:name="_Hlk100323768"/>
      <w:r w:rsidRPr="00CF7396">
        <w:rPr>
          <w:b/>
          <w:bCs/>
          <w:color w:val="000000" w:themeColor="text1"/>
          <w:lang w:val="es-CR"/>
        </w:rPr>
        <w:t>2.2 Oficinas atendidas por la Dirección de Planificación</w:t>
      </w:r>
    </w:p>
    <w:p w14:paraId="3D0CE08D" w14:textId="77777777" w:rsidR="00CF7396" w:rsidRPr="00CF7396" w:rsidRDefault="00CF7396" w:rsidP="00CF7396">
      <w:pPr>
        <w:ind w:left="851" w:right="851" w:firstLine="709"/>
        <w:rPr>
          <w:color w:val="000000" w:themeColor="text1"/>
          <w:lang w:val="es-CR"/>
        </w:rPr>
      </w:pPr>
    </w:p>
    <w:bookmarkEnd w:id="5"/>
    <w:p w14:paraId="320F5DF3"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En el siguiente cuadro se detallan las oficinas que son atendidas por el Modelo Seguimiento y Sostenibilidad:</w:t>
      </w:r>
    </w:p>
    <w:p w14:paraId="1293F179" w14:textId="77777777" w:rsidR="00CF7396" w:rsidRPr="00CF7396" w:rsidRDefault="00CF7396" w:rsidP="00CF7396">
      <w:pPr>
        <w:rPr>
          <w:color w:val="000000" w:themeColor="text1"/>
          <w:lang w:val="es-CR"/>
        </w:rPr>
      </w:pPr>
    </w:p>
    <w:p w14:paraId="50A3594A" w14:textId="77777777" w:rsidR="00CF7396" w:rsidRPr="00CF7396" w:rsidRDefault="00CF7396" w:rsidP="00CF7396">
      <w:pPr>
        <w:jc w:val="center"/>
        <w:rPr>
          <w:b/>
          <w:bCs/>
          <w:i/>
          <w:iCs/>
          <w:color w:val="000000" w:themeColor="text1"/>
          <w:lang w:val="es-CR"/>
        </w:rPr>
      </w:pPr>
      <w:r w:rsidRPr="00CF7396">
        <w:rPr>
          <w:b/>
          <w:bCs/>
          <w:i/>
          <w:iCs/>
          <w:color w:val="000000" w:themeColor="text1"/>
          <w:lang w:val="es-CR"/>
        </w:rPr>
        <w:t>Cuadro 7</w:t>
      </w:r>
    </w:p>
    <w:p w14:paraId="25A55DC7" w14:textId="77777777" w:rsidR="00CF7396" w:rsidRPr="00CF7396" w:rsidRDefault="00CF7396" w:rsidP="00CF7396">
      <w:pPr>
        <w:jc w:val="center"/>
        <w:rPr>
          <w:b/>
          <w:bCs/>
          <w:i/>
          <w:iCs/>
          <w:color w:val="000000" w:themeColor="text1"/>
          <w:lang w:val="es-CR"/>
        </w:rPr>
      </w:pPr>
      <w:r w:rsidRPr="00CF7396">
        <w:rPr>
          <w:b/>
          <w:bCs/>
          <w:i/>
          <w:iCs/>
          <w:color w:val="000000" w:themeColor="text1"/>
          <w:lang w:val="es-CR"/>
        </w:rPr>
        <w:t xml:space="preserve">Detalle de oficinas atendidas por la Dirección de Planificación en el </w:t>
      </w:r>
    </w:p>
    <w:p w14:paraId="540B525D" w14:textId="77777777" w:rsidR="00CF7396" w:rsidRPr="00CF7396" w:rsidRDefault="00CF7396" w:rsidP="00CF7396">
      <w:pPr>
        <w:jc w:val="center"/>
        <w:rPr>
          <w:color w:val="000000" w:themeColor="text1"/>
          <w:lang w:val="es-CR"/>
        </w:rPr>
      </w:pPr>
      <w:r w:rsidRPr="00CF7396">
        <w:rPr>
          <w:b/>
          <w:bCs/>
          <w:i/>
          <w:iCs/>
          <w:color w:val="000000" w:themeColor="text1"/>
          <w:lang w:val="es-CR"/>
        </w:rPr>
        <w:t>Primer Circuito Judicial de la Zona Atlántica</w:t>
      </w:r>
    </w:p>
    <w:tbl>
      <w:tblPr>
        <w:tblW w:w="11323" w:type="dxa"/>
        <w:tblInd w:w="-1206" w:type="dxa"/>
        <w:tblLayout w:type="fixed"/>
        <w:tblCellMar>
          <w:left w:w="70" w:type="dxa"/>
          <w:right w:w="70" w:type="dxa"/>
        </w:tblCellMar>
        <w:tblLook w:val="04A0" w:firstRow="1" w:lastRow="0" w:firstColumn="1" w:lastColumn="0" w:noHBand="0" w:noVBand="1"/>
      </w:tblPr>
      <w:tblGrid>
        <w:gridCol w:w="4110"/>
        <w:gridCol w:w="3829"/>
        <w:gridCol w:w="3384"/>
      </w:tblGrid>
      <w:tr w:rsidR="00CF7396" w:rsidRPr="00CF7396" w14:paraId="3B89423E" w14:textId="77777777" w:rsidTr="00AF369B">
        <w:trPr>
          <w:trHeight w:val="310"/>
          <w:tblHeader/>
        </w:trPr>
        <w:tc>
          <w:tcPr>
            <w:tcW w:w="4110" w:type="dxa"/>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5163A70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Oficinas que conforma el Modelo del Seguimiento y Sostenibilidad </w:t>
            </w:r>
          </w:p>
        </w:tc>
        <w:tc>
          <w:tcPr>
            <w:tcW w:w="3829" w:type="dxa"/>
            <w:tcBorders>
              <w:top w:val="single" w:sz="4" w:space="0" w:color="auto"/>
              <w:left w:val="nil"/>
              <w:bottom w:val="single" w:sz="4" w:space="0" w:color="auto"/>
              <w:right w:val="single" w:sz="4" w:space="0" w:color="auto"/>
            </w:tcBorders>
            <w:shd w:val="clear" w:color="000000" w:fill="203764"/>
            <w:noWrap/>
            <w:vAlign w:val="bottom"/>
            <w:hideMark/>
          </w:tcPr>
          <w:p w14:paraId="770BB14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Oficinas que conforman Proyectos de Rediseños o abordajes por proyectos de reforma o estructuras</w:t>
            </w:r>
          </w:p>
        </w:tc>
        <w:tc>
          <w:tcPr>
            <w:tcW w:w="3384" w:type="dxa"/>
            <w:tcBorders>
              <w:top w:val="single" w:sz="4" w:space="0" w:color="auto"/>
              <w:left w:val="nil"/>
              <w:bottom w:val="single" w:sz="4" w:space="0" w:color="auto"/>
              <w:right w:val="single" w:sz="4" w:space="0" w:color="auto"/>
            </w:tcBorders>
            <w:shd w:val="clear" w:color="000000" w:fill="203764"/>
            <w:noWrap/>
            <w:vAlign w:val="bottom"/>
            <w:hideMark/>
          </w:tcPr>
          <w:p w14:paraId="169DB72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Oficinas pendientes por abordar por la Dirección de Planificación y responden ante la Administración Regional</w:t>
            </w:r>
          </w:p>
        </w:tc>
      </w:tr>
      <w:tr w:rsidR="00CF7396" w:rsidRPr="00CF7396" w14:paraId="22859C9E" w14:textId="77777777" w:rsidTr="00AF369B">
        <w:trPr>
          <w:trHeight w:val="260"/>
          <w:tblHeader/>
        </w:trPr>
        <w:tc>
          <w:tcPr>
            <w:tcW w:w="4110" w:type="dxa"/>
            <w:tcBorders>
              <w:top w:val="nil"/>
              <w:left w:val="single" w:sz="4" w:space="0" w:color="auto"/>
              <w:bottom w:val="single" w:sz="4" w:space="0" w:color="auto"/>
              <w:right w:val="single" w:sz="4" w:space="0" w:color="auto"/>
            </w:tcBorders>
            <w:shd w:val="clear" w:color="auto" w:fill="auto"/>
            <w:noWrap/>
            <w:vAlign w:val="center"/>
          </w:tcPr>
          <w:p w14:paraId="1BBF18E5" w14:textId="77777777" w:rsidR="00CF7396" w:rsidRPr="00CF7396" w:rsidRDefault="00CF7396" w:rsidP="00CF7396">
            <w:pPr>
              <w:numPr>
                <w:ilvl w:val="0"/>
                <w:numId w:val="58"/>
              </w:numPr>
              <w:rPr>
                <w:color w:val="000000" w:themeColor="text1"/>
                <w:lang w:val="es-CR" w:eastAsia="es-CR"/>
              </w:rPr>
            </w:pPr>
            <w:r w:rsidRPr="00CF7396">
              <w:rPr>
                <w:color w:val="000000" w:themeColor="text1"/>
                <w:lang w:val="es-CR" w:eastAsia="es-CR"/>
              </w:rPr>
              <w:t>Tribunal Penal del Primer Circuito Judicial de la Zona Atlántica</w:t>
            </w:r>
          </w:p>
        </w:tc>
        <w:tc>
          <w:tcPr>
            <w:tcW w:w="3829" w:type="dxa"/>
            <w:tcBorders>
              <w:top w:val="nil"/>
              <w:left w:val="nil"/>
              <w:bottom w:val="single" w:sz="4" w:space="0" w:color="auto"/>
              <w:right w:val="single" w:sz="4" w:space="0" w:color="auto"/>
            </w:tcBorders>
            <w:shd w:val="clear" w:color="auto" w:fill="auto"/>
            <w:noWrap/>
            <w:vAlign w:val="bottom"/>
          </w:tcPr>
          <w:p w14:paraId="0D2AD0E7" w14:textId="77777777" w:rsidR="00CF7396" w:rsidRPr="00CF7396" w:rsidRDefault="00CF7396" w:rsidP="00CF7396">
            <w:pPr>
              <w:rPr>
                <w:color w:val="000000" w:themeColor="text1"/>
                <w:lang w:val="es-CR" w:eastAsia="es-CR"/>
              </w:rPr>
            </w:pPr>
            <w:r w:rsidRPr="00CF7396">
              <w:rPr>
                <w:color w:val="000000" w:themeColor="text1"/>
                <w:lang w:val="es-CR" w:eastAsia="es-CR"/>
              </w:rPr>
              <w:t>Juzgado Penal del Primer Circuito Judicial de la Zona Atlántica</w:t>
            </w:r>
          </w:p>
        </w:tc>
        <w:tc>
          <w:tcPr>
            <w:tcW w:w="3384" w:type="dxa"/>
            <w:tcBorders>
              <w:top w:val="nil"/>
              <w:left w:val="nil"/>
              <w:bottom w:val="single" w:sz="4" w:space="0" w:color="auto"/>
              <w:right w:val="single" w:sz="4" w:space="0" w:color="auto"/>
            </w:tcBorders>
            <w:shd w:val="clear" w:color="auto" w:fill="auto"/>
            <w:noWrap/>
            <w:vAlign w:val="bottom"/>
          </w:tcPr>
          <w:p w14:paraId="3E9CDAE0" w14:textId="77777777" w:rsidR="00CF7396" w:rsidRPr="00CF7396" w:rsidRDefault="00CF7396" w:rsidP="00CF7396">
            <w:pPr>
              <w:rPr>
                <w:color w:val="000000" w:themeColor="text1"/>
                <w:lang w:val="es-CR" w:eastAsia="es-CR"/>
              </w:rPr>
            </w:pPr>
            <w:r w:rsidRPr="00CF7396">
              <w:rPr>
                <w:color w:val="000000" w:themeColor="text1"/>
                <w:lang w:val="es-CR" w:eastAsia="es-CR"/>
              </w:rPr>
              <w:t>Juzgado de Ejecución de la Pena del Primer Circuito Judicial de la Zona Atlántica</w:t>
            </w:r>
          </w:p>
        </w:tc>
      </w:tr>
      <w:tr w:rsidR="00CF7396" w:rsidRPr="00CF7396" w14:paraId="4706EE85" w14:textId="77777777" w:rsidTr="00AF369B">
        <w:trPr>
          <w:trHeight w:val="260"/>
          <w:tblHeader/>
        </w:trPr>
        <w:tc>
          <w:tcPr>
            <w:tcW w:w="4110" w:type="dxa"/>
            <w:tcBorders>
              <w:top w:val="nil"/>
              <w:left w:val="single" w:sz="4" w:space="0" w:color="auto"/>
              <w:bottom w:val="single" w:sz="4" w:space="0" w:color="auto"/>
              <w:right w:val="single" w:sz="4" w:space="0" w:color="auto"/>
            </w:tcBorders>
            <w:shd w:val="clear" w:color="auto" w:fill="auto"/>
            <w:noWrap/>
            <w:vAlign w:val="center"/>
          </w:tcPr>
          <w:p w14:paraId="7AD619AF" w14:textId="77777777" w:rsidR="00CF7396" w:rsidRPr="00CF7396" w:rsidRDefault="00CF7396" w:rsidP="00CF7396">
            <w:pPr>
              <w:numPr>
                <w:ilvl w:val="0"/>
                <w:numId w:val="58"/>
              </w:numPr>
              <w:rPr>
                <w:color w:val="000000" w:themeColor="text1"/>
                <w:lang w:val="es-CR" w:eastAsia="es-CR"/>
              </w:rPr>
            </w:pPr>
            <w:r w:rsidRPr="00CF7396">
              <w:rPr>
                <w:color w:val="000000" w:themeColor="text1"/>
                <w:lang w:val="es-CR" w:eastAsia="es-CR"/>
              </w:rPr>
              <w:t>Sección de Flagrancia del Primer Circuito Judicial de la Zona Atlántica</w:t>
            </w:r>
          </w:p>
        </w:tc>
        <w:tc>
          <w:tcPr>
            <w:tcW w:w="3829" w:type="dxa"/>
            <w:tcBorders>
              <w:top w:val="nil"/>
              <w:left w:val="nil"/>
              <w:bottom w:val="single" w:sz="4" w:space="0" w:color="auto"/>
              <w:right w:val="single" w:sz="4" w:space="0" w:color="auto"/>
            </w:tcBorders>
            <w:shd w:val="clear" w:color="auto" w:fill="auto"/>
            <w:noWrap/>
            <w:vAlign w:val="bottom"/>
          </w:tcPr>
          <w:p w14:paraId="02A448F0" w14:textId="77777777" w:rsidR="00CF7396" w:rsidRPr="00CF7396" w:rsidRDefault="00CF7396" w:rsidP="00CF7396">
            <w:pPr>
              <w:rPr>
                <w:color w:val="000000" w:themeColor="text1"/>
                <w:lang w:val="es-CR" w:eastAsia="es-CR"/>
              </w:rPr>
            </w:pPr>
            <w:r w:rsidRPr="00CF7396">
              <w:rPr>
                <w:color w:val="000000" w:themeColor="text1"/>
                <w:lang w:val="es-CR" w:eastAsia="es-CR"/>
              </w:rPr>
              <w:t>Juzgado Penal de Batán</w:t>
            </w:r>
          </w:p>
        </w:tc>
        <w:tc>
          <w:tcPr>
            <w:tcW w:w="3384" w:type="dxa"/>
            <w:tcBorders>
              <w:top w:val="nil"/>
              <w:left w:val="nil"/>
              <w:bottom w:val="single" w:sz="4" w:space="0" w:color="auto"/>
              <w:right w:val="single" w:sz="4" w:space="0" w:color="auto"/>
            </w:tcBorders>
            <w:shd w:val="clear" w:color="auto" w:fill="auto"/>
            <w:noWrap/>
            <w:vAlign w:val="bottom"/>
          </w:tcPr>
          <w:p w14:paraId="738EC420" w14:textId="77777777" w:rsidR="00CF7396" w:rsidRPr="00CF7396" w:rsidRDefault="00CF7396" w:rsidP="00CF7396">
            <w:pPr>
              <w:rPr>
                <w:color w:val="000000" w:themeColor="text1"/>
                <w:lang w:val="es-CR" w:eastAsia="es-CR"/>
              </w:rPr>
            </w:pPr>
            <w:r w:rsidRPr="00CF7396">
              <w:rPr>
                <w:color w:val="000000" w:themeColor="text1"/>
                <w:lang w:val="es-CR" w:eastAsia="es-CR"/>
              </w:rPr>
              <w:t>Juzgado de Violencia Doméstica del Primer Circuito Judicial de la Zona Atlántica</w:t>
            </w:r>
          </w:p>
        </w:tc>
      </w:tr>
      <w:tr w:rsidR="00CF7396" w:rsidRPr="00CF7396" w14:paraId="2F2D5EBC" w14:textId="77777777" w:rsidTr="00AF369B">
        <w:trPr>
          <w:trHeight w:val="260"/>
          <w:tblHeader/>
        </w:trPr>
        <w:tc>
          <w:tcPr>
            <w:tcW w:w="4110" w:type="dxa"/>
            <w:tcBorders>
              <w:top w:val="nil"/>
              <w:left w:val="single" w:sz="4" w:space="0" w:color="auto"/>
              <w:bottom w:val="single" w:sz="4" w:space="0" w:color="auto"/>
              <w:right w:val="single" w:sz="4" w:space="0" w:color="auto"/>
            </w:tcBorders>
            <w:shd w:val="clear" w:color="auto" w:fill="auto"/>
            <w:noWrap/>
            <w:vAlign w:val="center"/>
            <w:hideMark/>
          </w:tcPr>
          <w:p w14:paraId="6FF94EA3" w14:textId="77777777" w:rsidR="00CF7396" w:rsidRPr="00CF7396" w:rsidRDefault="00CF7396" w:rsidP="00CF7396">
            <w:pPr>
              <w:numPr>
                <w:ilvl w:val="0"/>
                <w:numId w:val="58"/>
              </w:numPr>
              <w:rPr>
                <w:color w:val="000000" w:themeColor="text1"/>
                <w:lang w:val="es-CR" w:eastAsia="es-CR"/>
              </w:rPr>
            </w:pPr>
            <w:r w:rsidRPr="00CF7396">
              <w:rPr>
                <w:color w:val="000000" w:themeColor="text1"/>
                <w:lang w:val="es-CR" w:eastAsia="es-CR"/>
              </w:rPr>
              <w:t>Tribunal Colegiado de Primer Instancia Civil del Primer Circuito Judicial de la Zona Atlántica</w:t>
            </w:r>
          </w:p>
        </w:tc>
        <w:tc>
          <w:tcPr>
            <w:tcW w:w="3829" w:type="dxa"/>
            <w:tcBorders>
              <w:top w:val="nil"/>
              <w:left w:val="nil"/>
              <w:bottom w:val="single" w:sz="4" w:space="0" w:color="auto"/>
              <w:right w:val="single" w:sz="4" w:space="0" w:color="auto"/>
            </w:tcBorders>
            <w:shd w:val="clear" w:color="auto" w:fill="auto"/>
            <w:noWrap/>
            <w:vAlign w:val="bottom"/>
            <w:hideMark/>
          </w:tcPr>
          <w:p w14:paraId="4A4AB9C0" w14:textId="77777777" w:rsidR="00CF7396" w:rsidRPr="00CF7396" w:rsidRDefault="00CF7396" w:rsidP="00CF7396">
            <w:pPr>
              <w:rPr>
                <w:color w:val="000000" w:themeColor="text1"/>
                <w:lang w:val="es-CR" w:eastAsia="es-CR"/>
              </w:rPr>
            </w:pPr>
            <w:r w:rsidRPr="00CF7396">
              <w:rPr>
                <w:color w:val="000000" w:themeColor="text1"/>
                <w:lang w:val="es-CR" w:eastAsia="es-CR"/>
              </w:rPr>
              <w:t>Juzgado Penal de Talamanca</w:t>
            </w:r>
          </w:p>
        </w:tc>
        <w:tc>
          <w:tcPr>
            <w:tcW w:w="3384" w:type="dxa"/>
            <w:tcBorders>
              <w:top w:val="nil"/>
              <w:left w:val="nil"/>
              <w:bottom w:val="single" w:sz="4" w:space="0" w:color="auto"/>
              <w:right w:val="single" w:sz="4" w:space="0" w:color="auto"/>
            </w:tcBorders>
            <w:shd w:val="clear" w:color="auto" w:fill="auto"/>
            <w:noWrap/>
            <w:vAlign w:val="bottom"/>
            <w:hideMark/>
          </w:tcPr>
          <w:p w14:paraId="2FC4E261" w14:textId="77777777" w:rsidR="00CF7396" w:rsidRPr="00CF7396" w:rsidRDefault="00CF7396" w:rsidP="00CF7396">
            <w:pPr>
              <w:rPr>
                <w:color w:val="000000" w:themeColor="text1"/>
                <w:lang w:val="es-CR" w:eastAsia="es-CR"/>
              </w:rPr>
            </w:pPr>
            <w:r w:rsidRPr="00CF7396">
              <w:rPr>
                <w:color w:val="000000" w:themeColor="text1"/>
                <w:lang w:val="es-CR" w:eastAsia="es-CR"/>
              </w:rPr>
              <w:t>Juzgado Contravencional del Primer Circuito Judicial de la Zona Atlántica</w:t>
            </w:r>
          </w:p>
        </w:tc>
      </w:tr>
      <w:tr w:rsidR="00CF7396" w:rsidRPr="00CF7396" w14:paraId="01D5BF96" w14:textId="77777777" w:rsidTr="00AF369B">
        <w:trPr>
          <w:trHeight w:val="260"/>
          <w:tblHeader/>
        </w:trPr>
        <w:tc>
          <w:tcPr>
            <w:tcW w:w="4110" w:type="dxa"/>
            <w:tcBorders>
              <w:top w:val="nil"/>
              <w:left w:val="single" w:sz="4" w:space="0" w:color="auto"/>
              <w:bottom w:val="single" w:sz="4" w:space="0" w:color="auto"/>
              <w:right w:val="single" w:sz="4" w:space="0" w:color="auto"/>
            </w:tcBorders>
            <w:shd w:val="clear" w:color="auto" w:fill="auto"/>
            <w:noWrap/>
            <w:vAlign w:val="center"/>
            <w:hideMark/>
          </w:tcPr>
          <w:p w14:paraId="7A980E50" w14:textId="77777777" w:rsidR="00CF7396" w:rsidRPr="00CF7396" w:rsidRDefault="00CF7396" w:rsidP="00CF7396">
            <w:pPr>
              <w:numPr>
                <w:ilvl w:val="0"/>
                <w:numId w:val="58"/>
              </w:numPr>
              <w:rPr>
                <w:color w:val="000000" w:themeColor="text1"/>
                <w:lang w:val="es-CR" w:eastAsia="es-CR"/>
              </w:rPr>
            </w:pPr>
            <w:r w:rsidRPr="00CF7396">
              <w:rPr>
                <w:color w:val="000000" w:themeColor="text1"/>
                <w:lang w:val="es-CR" w:eastAsia="es-CR"/>
              </w:rPr>
              <w:t>Tribunal de Apelación Civil y de Trabajo del Primer Circuito Judicial de la Zona Atlántica</w:t>
            </w:r>
          </w:p>
        </w:tc>
        <w:tc>
          <w:tcPr>
            <w:tcW w:w="3829" w:type="dxa"/>
            <w:vMerge w:val="restart"/>
            <w:tcBorders>
              <w:top w:val="nil"/>
              <w:left w:val="nil"/>
              <w:right w:val="single" w:sz="4" w:space="0" w:color="auto"/>
            </w:tcBorders>
            <w:shd w:val="clear" w:color="auto" w:fill="auto"/>
            <w:noWrap/>
            <w:vAlign w:val="bottom"/>
            <w:hideMark/>
          </w:tcPr>
          <w:p w14:paraId="3669FFDC" w14:textId="77777777" w:rsidR="00CF7396" w:rsidRPr="00CF7396" w:rsidRDefault="00CF7396" w:rsidP="00CF7396">
            <w:pPr>
              <w:rPr>
                <w:color w:val="000000" w:themeColor="text1"/>
                <w:lang w:val="es-CR" w:eastAsia="es-CR"/>
              </w:rPr>
            </w:pPr>
          </w:p>
        </w:tc>
        <w:tc>
          <w:tcPr>
            <w:tcW w:w="3384" w:type="dxa"/>
            <w:tcBorders>
              <w:top w:val="nil"/>
              <w:left w:val="nil"/>
              <w:bottom w:val="single" w:sz="4" w:space="0" w:color="auto"/>
              <w:right w:val="single" w:sz="4" w:space="0" w:color="auto"/>
            </w:tcBorders>
            <w:shd w:val="clear" w:color="auto" w:fill="auto"/>
            <w:noWrap/>
            <w:vAlign w:val="bottom"/>
            <w:hideMark/>
          </w:tcPr>
          <w:p w14:paraId="1B896ADF" w14:textId="77777777" w:rsidR="00CF7396" w:rsidRPr="00CF7396" w:rsidRDefault="00CF7396" w:rsidP="00CF7396">
            <w:pPr>
              <w:rPr>
                <w:color w:val="000000" w:themeColor="text1"/>
                <w:lang w:val="es-CR" w:eastAsia="es-CR"/>
              </w:rPr>
            </w:pPr>
            <w:r w:rsidRPr="00CF7396">
              <w:rPr>
                <w:color w:val="000000" w:themeColor="text1"/>
                <w:lang w:val="es-CR" w:eastAsia="es-CR"/>
              </w:rPr>
              <w:t>Juzgado Penal Juvenil del Primer Circuito Judicial de la Zona Atlántica</w:t>
            </w:r>
          </w:p>
        </w:tc>
      </w:tr>
      <w:tr w:rsidR="00CF7396" w:rsidRPr="00CF7396" w14:paraId="5B9E03A1" w14:textId="77777777" w:rsidTr="00AF369B">
        <w:trPr>
          <w:trHeight w:val="260"/>
          <w:tblHeader/>
        </w:trPr>
        <w:tc>
          <w:tcPr>
            <w:tcW w:w="4110" w:type="dxa"/>
            <w:tcBorders>
              <w:top w:val="nil"/>
              <w:left w:val="single" w:sz="4" w:space="0" w:color="auto"/>
              <w:bottom w:val="single" w:sz="4" w:space="0" w:color="auto"/>
              <w:right w:val="single" w:sz="4" w:space="0" w:color="auto"/>
            </w:tcBorders>
            <w:shd w:val="clear" w:color="auto" w:fill="auto"/>
            <w:noWrap/>
            <w:vAlign w:val="center"/>
          </w:tcPr>
          <w:p w14:paraId="0023976A" w14:textId="77777777" w:rsidR="00CF7396" w:rsidRPr="00CF7396" w:rsidRDefault="00CF7396" w:rsidP="00CF7396">
            <w:pPr>
              <w:numPr>
                <w:ilvl w:val="0"/>
                <w:numId w:val="58"/>
              </w:numPr>
              <w:rPr>
                <w:color w:val="000000" w:themeColor="text1"/>
                <w:lang w:val="es-CR" w:eastAsia="es-CR"/>
              </w:rPr>
            </w:pPr>
            <w:r w:rsidRPr="00CF7396">
              <w:rPr>
                <w:color w:val="000000" w:themeColor="text1"/>
                <w:lang w:val="es-CR" w:eastAsia="es-CR"/>
              </w:rPr>
              <w:t>Juzgado Agrario del Primer Circuito Judicial de la Zona Atlántica</w:t>
            </w:r>
          </w:p>
        </w:tc>
        <w:tc>
          <w:tcPr>
            <w:tcW w:w="3829" w:type="dxa"/>
            <w:vMerge/>
            <w:tcBorders>
              <w:left w:val="nil"/>
              <w:right w:val="single" w:sz="4" w:space="0" w:color="auto"/>
            </w:tcBorders>
            <w:shd w:val="clear" w:color="auto" w:fill="auto"/>
            <w:noWrap/>
            <w:vAlign w:val="bottom"/>
          </w:tcPr>
          <w:p w14:paraId="707480A5" w14:textId="77777777" w:rsidR="00CF7396" w:rsidRPr="00CF7396" w:rsidRDefault="00CF7396" w:rsidP="00CF7396">
            <w:pPr>
              <w:rPr>
                <w:color w:val="000000" w:themeColor="text1"/>
                <w:lang w:val="es-CR" w:eastAsia="es-CR"/>
              </w:rPr>
            </w:pPr>
          </w:p>
        </w:tc>
        <w:tc>
          <w:tcPr>
            <w:tcW w:w="3384" w:type="dxa"/>
            <w:tcBorders>
              <w:top w:val="nil"/>
              <w:left w:val="nil"/>
              <w:bottom w:val="single" w:sz="4" w:space="0" w:color="auto"/>
              <w:right w:val="single" w:sz="4" w:space="0" w:color="auto"/>
            </w:tcBorders>
            <w:shd w:val="clear" w:color="auto" w:fill="auto"/>
            <w:noWrap/>
            <w:vAlign w:val="bottom"/>
          </w:tcPr>
          <w:p w14:paraId="40782130" w14:textId="77777777" w:rsidR="00CF7396" w:rsidRPr="00CF7396" w:rsidRDefault="00CF7396" w:rsidP="00CF7396">
            <w:pPr>
              <w:rPr>
                <w:color w:val="000000" w:themeColor="text1"/>
                <w:lang w:val="es-CR" w:eastAsia="es-CR"/>
              </w:rPr>
            </w:pPr>
            <w:r w:rsidRPr="00CF7396">
              <w:rPr>
                <w:color w:val="000000" w:themeColor="text1"/>
                <w:lang w:val="es-CR" w:eastAsia="es-CR"/>
              </w:rPr>
              <w:t>Oficina de Comunicaciones Judiciales</w:t>
            </w:r>
          </w:p>
        </w:tc>
      </w:tr>
      <w:tr w:rsidR="00CF7396" w:rsidRPr="00CF7396" w14:paraId="3B1978C9" w14:textId="77777777" w:rsidTr="00AF369B">
        <w:trPr>
          <w:trHeight w:val="260"/>
          <w:tblHeader/>
        </w:trPr>
        <w:tc>
          <w:tcPr>
            <w:tcW w:w="4110" w:type="dxa"/>
            <w:tcBorders>
              <w:top w:val="nil"/>
              <w:left w:val="single" w:sz="4" w:space="0" w:color="auto"/>
              <w:bottom w:val="single" w:sz="4" w:space="0" w:color="auto"/>
              <w:right w:val="single" w:sz="4" w:space="0" w:color="auto"/>
            </w:tcBorders>
            <w:shd w:val="clear" w:color="auto" w:fill="auto"/>
            <w:noWrap/>
            <w:vAlign w:val="center"/>
            <w:hideMark/>
          </w:tcPr>
          <w:p w14:paraId="57FE257B" w14:textId="77777777" w:rsidR="00CF7396" w:rsidRPr="00CF7396" w:rsidRDefault="00CF7396" w:rsidP="00CF7396">
            <w:pPr>
              <w:numPr>
                <w:ilvl w:val="0"/>
                <w:numId w:val="58"/>
              </w:numPr>
              <w:rPr>
                <w:color w:val="000000" w:themeColor="text1"/>
                <w:lang w:val="es-CR" w:eastAsia="es-CR"/>
              </w:rPr>
            </w:pPr>
            <w:r w:rsidRPr="00CF7396">
              <w:rPr>
                <w:color w:val="000000" w:themeColor="text1"/>
                <w:lang w:val="es-CR" w:eastAsia="es-CR"/>
              </w:rPr>
              <w:t xml:space="preserve">Juzgado Civil del Primer Circuito Judicial de la Zona Atlántica </w:t>
            </w:r>
          </w:p>
        </w:tc>
        <w:tc>
          <w:tcPr>
            <w:tcW w:w="3829" w:type="dxa"/>
            <w:vMerge/>
            <w:tcBorders>
              <w:left w:val="nil"/>
              <w:right w:val="single" w:sz="4" w:space="0" w:color="auto"/>
            </w:tcBorders>
            <w:shd w:val="clear" w:color="auto" w:fill="auto"/>
            <w:noWrap/>
            <w:vAlign w:val="bottom"/>
            <w:hideMark/>
          </w:tcPr>
          <w:p w14:paraId="4BF0D266" w14:textId="77777777" w:rsidR="00CF7396" w:rsidRPr="00CF7396" w:rsidRDefault="00CF7396" w:rsidP="00CF7396">
            <w:pPr>
              <w:rPr>
                <w:color w:val="000000" w:themeColor="text1"/>
                <w:lang w:val="es-CR" w:eastAsia="es-CR"/>
              </w:rPr>
            </w:pPr>
          </w:p>
        </w:tc>
        <w:tc>
          <w:tcPr>
            <w:tcW w:w="3384" w:type="dxa"/>
            <w:tcBorders>
              <w:top w:val="nil"/>
              <w:left w:val="nil"/>
              <w:bottom w:val="single" w:sz="4" w:space="0" w:color="auto"/>
              <w:right w:val="single" w:sz="4" w:space="0" w:color="auto"/>
            </w:tcBorders>
            <w:shd w:val="clear" w:color="auto" w:fill="auto"/>
            <w:noWrap/>
            <w:vAlign w:val="bottom"/>
          </w:tcPr>
          <w:p w14:paraId="70C4706A" w14:textId="77777777" w:rsidR="00CF7396" w:rsidRPr="00CF7396" w:rsidRDefault="00CF7396" w:rsidP="00CF7396">
            <w:pPr>
              <w:rPr>
                <w:color w:val="000000" w:themeColor="text1"/>
                <w:lang w:val="es-CR" w:eastAsia="es-CR"/>
              </w:rPr>
            </w:pPr>
            <w:r w:rsidRPr="00CF7396">
              <w:rPr>
                <w:color w:val="000000" w:themeColor="text1"/>
                <w:lang w:val="es-CR" w:eastAsia="es-CR"/>
              </w:rPr>
              <w:t>Contraloría de Servicios del Primer Circuito Judicial de la Zona Atlántica</w:t>
            </w:r>
          </w:p>
        </w:tc>
      </w:tr>
      <w:tr w:rsidR="00CF7396" w:rsidRPr="00CF7396" w14:paraId="79E589D0" w14:textId="77777777" w:rsidTr="00AF369B">
        <w:trPr>
          <w:trHeight w:val="260"/>
          <w:tblHeader/>
        </w:trPr>
        <w:tc>
          <w:tcPr>
            <w:tcW w:w="4110" w:type="dxa"/>
            <w:tcBorders>
              <w:top w:val="nil"/>
              <w:left w:val="single" w:sz="4" w:space="0" w:color="auto"/>
              <w:bottom w:val="single" w:sz="4" w:space="0" w:color="auto"/>
              <w:right w:val="single" w:sz="4" w:space="0" w:color="auto"/>
            </w:tcBorders>
            <w:shd w:val="clear" w:color="auto" w:fill="auto"/>
            <w:noWrap/>
            <w:vAlign w:val="center"/>
            <w:hideMark/>
          </w:tcPr>
          <w:p w14:paraId="5B3B8E9C" w14:textId="77777777" w:rsidR="00CF7396" w:rsidRPr="00CF7396" w:rsidRDefault="00CF7396" w:rsidP="00CF7396">
            <w:pPr>
              <w:numPr>
                <w:ilvl w:val="0"/>
                <w:numId w:val="58"/>
              </w:numPr>
              <w:rPr>
                <w:color w:val="000000" w:themeColor="text1"/>
                <w:lang w:val="es-CR" w:eastAsia="es-CR"/>
              </w:rPr>
            </w:pPr>
            <w:r w:rsidRPr="00CF7396">
              <w:rPr>
                <w:color w:val="000000" w:themeColor="text1"/>
                <w:lang w:val="es-CR" w:eastAsia="es-CR"/>
              </w:rPr>
              <w:t>Juzgado de Cobro del Primer Circuito Judicial de la Zona Atlántica</w:t>
            </w:r>
          </w:p>
        </w:tc>
        <w:tc>
          <w:tcPr>
            <w:tcW w:w="3829" w:type="dxa"/>
            <w:vMerge/>
            <w:tcBorders>
              <w:left w:val="nil"/>
              <w:right w:val="single" w:sz="4" w:space="0" w:color="auto"/>
            </w:tcBorders>
            <w:shd w:val="clear" w:color="auto" w:fill="auto"/>
            <w:noWrap/>
            <w:vAlign w:val="bottom"/>
            <w:hideMark/>
          </w:tcPr>
          <w:p w14:paraId="16DADD7A" w14:textId="77777777" w:rsidR="00CF7396" w:rsidRPr="00CF7396" w:rsidRDefault="00CF7396" w:rsidP="00CF7396">
            <w:pPr>
              <w:rPr>
                <w:color w:val="000000" w:themeColor="text1"/>
                <w:lang w:val="es-CR" w:eastAsia="es-CR"/>
              </w:rPr>
            </w:pPr>
          </w:p>
        </w:tc>
        <w:tc>
          <w:tcPr>
            <w:tcW w:w="3384" w:type="dxa"/>
            <w:tcBorders>
              <w:top w:val="nil"/>
              <w:left w:val="nil"/>
              <w:bottom w:val="single" w:sz="4" w:space="0" w:color="auto"/>
              <w:right w:val="single" w:sz="4" w:space="0" w:color="auto"/>
            </w:tcBorders>
            <w:shd w:val="clear" w:color="auto" w:fill="auto"/>
            <w:noWrap/>
            <w:vAlign w:val="bottom"/>
          </w:tcPr>
          <w:p w14:paraId="656F4CE3" w14:textId="77777777" w:rsidR="00CF7396" w:rsidRPr="00CF7396" w:rsidRDefault="00CF7396" w:rsidP="00CF7396">
            <w:pPr>
              <w:rPr>
                <w:color w:val="000000" w:themeColor="text1"/>
                <w:lang w:val="es-CR" w:eastAsia="es-CR"/>
              </w:rPr>
            </w:pPr>
            <w:r w:rsidRPr="00CF7396">
              <w:rPr>
                <w:color w:val="000000" w:themeColor="text1"/>
                <w:lang w:val="es-CR" w:eastAsia="es-CR"/>
              </w:rPr>
              <w:t xml:space="preserve">Unidad de Localización, Citación y Presentación de </w:t>
            </w:r>
            <w:proofErr w:type="spellStart"/>
            <w:r w:rsidRPr="00CF7396">
              <w:rPr>
                <w:color w:val="000000" w:themeColor="text1"/>
                <w:lang w:val="es-CR" w:eastAsia="es-CR"/>
              </w:rPr>
              <w:t>Bribrí</w:t>
            </w:r>
            <w:proofErr w:type="spellEnd"/>
          </w:p>
        </w:tc>
      </w:tr>
      <w:tr w:rsidR="00CF7396" w:rsidRPr="00CF7396" w14:paraId="03F9F986" w14:textId="77777777" w:rsidTr="00AF369B">
        <w:trPr>
          <w:trHeight w:val="260"/>
          <w:tblHeader/>
        </w:trPr>
        <w:tc>
          <w:tcPr>
            <w:tcW w:w="4110" w:type="dxa"/>
            <w:tcBorders>
              <w:top w:val="nil"/>
              <w:left w:val="single" w:sz="4" w:space="0" w:color="auto"/>
              <w:bottom w:val="single" w:sz="4" w:space="0" w:color="auto"/>
              <w:right w:val="single" w:sz="4" w:space="0" w:color="auto"/>
            </w:tcBorders>
            <w:shd w:val="clear" w:color="auto" w:fill="auto"/>
            <w:noWrap/>
            <w:vAlign w:val="center"/>
            <w:hideMark/>
          </w:tcPr>
          <w:p w14:paraId="75E4D93C" w14:textId="77777777" w:rsidR="00CF7396" w:rsidRPr="00CF7396" w:rsidRDefault="00CF7396" w:rsidP="00CF7396">
            <w:pPr>
              <w:numPr>
                <w:ilvl w:val="0"/>
                <w:numId w:val="58"/>
              </w:numPr>
              <w:rPr>
                <w:color w:val="000000" w:themeColor="text1"/>
                <w:lang w:val="es-CR" w:eastAsia="es-CR"/>
              </w:rPr>
            </w:pPr>
            <w:r w:rsidRPr="00CF7396">
              <w:rPr>
                <w:color w:val="000000" w:themeColor="text1"/>
                <w:lang w:val="es-CR" w:eastAsia="es-CR"/>
              </w:rPr>
              <w:t>Juzgado de Trabajo del Primer Circuito Judicial de la Zona Atlántica</w:t>
            </w:r>
          </w:p>
        </w:tc>
        <w:tc>
          <w:tcPr>
            <w:tcW w:w="3829" w:type="dxa"/>
            <w:vMerge/>
            <w:tcBorders>
              <w:left w:val="nil"/>
              <w:bottom w:val="single" w:sz="4" w:space="0" w:color="auto"/>
              <w:right w:val="single" w:sz="4" w:space="0" w:color="auto"/>
            </w:tcBorders>
            <w:shd w:val="clear" w:color="auto" w:fill="auto"/>
            <w:noWrap/>
            <w:vAlign w:val="bottom"/>
            <w:hideMark/>
          </w:tcPr>
          <w:p w14:paraId="676EC98E" w14:textId="77777777" w:rsidR="00CF7396" w:rsidRPr="00CF7396" w:rsidRDefault="00CF7396" w:rsidP="00CF7396">
            <w:pPr>
              <w:rPr>
                <w:color w:val="000000" w:themeColor="text1"/>
                <w:lang w:val="es-CR" w:eastAsia="es-CR"/>
              </w:rPr>
            </w:pPr>
          </w:p>
        </w:tc>
        <w:tc>
          <w:tcPr>
            <w:tcW w:w="3384" w:type="dxa"/>
            <w:tcBorders>
              <w:top w:val="nil"/>
              <w:left w:val="nil"/>
              <w:bottom w:val="single" w:sz="4" w:space="0" w:color="auto"/>
              <w:right w:val="single" w:sz="4" w:space="0" w:color="auto"/>
            </w:tcBorders>
            <w:shd w:val="clear" w:color="auto" w:fill="auto"/>
            <w:noWrap/>
            <w:vAlign w:val="bottom"/>
          </w:tcPr>
          <w:p w14:paraId="2037490B" w14:textId="77777777" w:rsidR="00CF7396" w:rsidRPr="00CF7396" w:rsidRDefault="00CF7396" w:rsidP="00CF7396">
            <w:pPr>
              <w:rPr>
                <w:color w:val="000000" w:themeColor="text1"/>
                <w:lang w:val="es-CR" w:eastAsia="es-CR"/>
              </w:rPr>
            </w:pPr>
            <w:r w:rsidRPr="00CF7396">
              <w:rPr>
                <w:color w:val="000000" w:themeColor="text1"/>
                <w:lang w:val="es-CR" w:eastAsia="es-CR"/>
              </w:rPr>
              <w:t>Oficina de Trabajo Social del Primer Circuito Judicial de la Zona Atlántica</w:t>
            </w:r>
          </w:p>
        </w:tc>
      </w:tr>
      <w:tr w:rsidR="00CF7396" w:rsidRPr="00CF7396" w14:paraId="50353529" w14:textId="77777777" w:rsidTr="00AF369B">
        <w:trPr>
          <w:trHeight w:val="290"/>
          <w:tblHeader/>
        </w:trPr>
        <w:tc>
          <w:tcPr>
            <w:tcW w:w="7939"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27E64AF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Juzgado Contravencional de </w:t>
            </w:r>
            <w:proofErr w:type="spellStart"/>
            <w:r w:rsidRPr="00CF7396">
              <w:rPr>
                <w:color w:val="000000" w:themeColor="text1"/>
                <w:lang w:val="es-CR" w:eastAsia="es-CR"/>
              </w:rPr>
              <w:t>Bribrí</w:t>
            </w:r>
            <w:proofErr w:type="spellEnd"/>
            <w:r w:rsidRPr="00CF7396">
              <w:rPr>
                <w:color w:val="000000" w:themeColor="text1"/>
                <w:lang w:val="es-CR" w:eastAsia="es-CR"/>
              </w:rPr>
              <w:t xml:space="preserve">* </w:t>
            </w:r>
          </w:p>
        </w:tc>
        <w:tc>
          <w:tcPr>
            <w:tcW w:w="3384" w:type="dxa"/>
            <w:tcBorders>
              <w:top w:val="nil"/>
              <w:left w:val="nil"/>
              <w:bottom w:val="single" w:sz="4" w:space="0" w:color="auto"/>
              <w:right w:val="single" w:sz="4" w:space="0" w:color="auto"/>
            </w:tcBorders>
            <w:shd w:val="clear" w:color="auto" w:fill="auto"/>
            <w:noWrap/>
            <w:vAlign w:val="bottom"/>
          </w:tcPr>
          <w:p w14:paraId="48D5E168" w14:textId="77777777" w:rsidR="00CF7396" w:rsidRPr="00CF7396" w:rsidRDefault="00CF7396" w:rsidP="00CF7396">
            <w:pPr>
              <w:rPr>
                <w:color w:val="000000" w:themeColor="text1"/>
                <w:lang w:val="es-CR" w:eastAsia="es-CR"/>
              </w:rPr>
            </w:pPr>
            <w:r w:rsidRPr="00CF7396">
              <w:rPr>
                <w:color w:val="000000" w:themeColor="text1"/>
                <w:lang w:val="es-CR" w:eastAsia="es-CR"/>
              </w:rPr>
              <w:t>Centro de Conciliación del Primer Circuito Judicial de la Zona Atlántica</w:t>
            </w:r>
          </w:p>
        </w:tc>
      </w:tr>
      <w:tr w:rsidR="00CF7396" w:rsidRPr="00CF7396" w14:paraId="251C09D3" w14:textId="77777777" w:rsidTr="00AF369B">
        <w:trPr>
          <w:trHeight w:val="280"/>
          <w:tblHeader/>
        </w:trPr>
        <w:tc>
          <w:tcPr>
            <w:tcW w:w="7939" w:type="dxa"/>
            <w:gridSpan w:val="2"/>
            <w:vMerge/>
            <w:tcBorders>
              <w:top w:val="single" w:sz="4" w:space="0" w:color="auto"/>
              <w:left w:val="single" w:sz="4" w:space="0" w:color="auto"/>
              <w:bottom w:val="single" w:sz="4" w:space="0" w:color="000000"/>
              <w:right w:val="single" w:sz="4" w:space="0" w:color="000000"/>
            </w:tcBorders>
            <w:vAlign w:val="center"/>
            <w:hideMark/>
          </w:tcPr>
          <w:p w14:paraId="244552B1" w14:textId="77777777" w:rsidR="00CF7396" w:rsidRPr="00CF7396" w:rsidRDefault="00CF7396" w:rsidP="00CF7396">
            <w:pPr>
              <w:rPr>
                <w:color w:val="000000" w:themeColor="text1"/>
                <w:lang w:val="es-CR" w:eastAsia="es-CR"/>
              </w:rPr>
            </w:pPr>
          </w:p>
        </w:tc>
        <w:tc>
          <w:tcPr>
            <w:tcW w:w="3384" w:type="dxa"/>
            <w:tcBorders>
              <w:top w:val="nil"/>
              <w:left w:val="nil"/>
              <w:bottom w:val="single" w:sz="4" w:space="0" w:color="auto"/>
              <w:right w:val="single" w:sz="4" w:space="0" w:color="auto"/>
            </w:tcBorders>
            <w:shd w:val="clear" w:color="auto" w:fill="auto"/>
            <w:noWrap/>
            <w:vAlign w:val="bottom"/>
          </w:tcPr>
          <w:p w14:paraId="12822041" w14:textId="77777777" w:rsidR="00CF7396" w:rsidRPr="00CF7396" w:rsidRDefault="00CF7396" w:rsidP="00CF7396">
            <w:pPr>
              <w:rPr>
                <w:color w:val="000000" w:themeColor="text1"/>
                <w:lang w:val="es-CR" w:eastAsia="es-CR"/>
              </w:rPr>
            </w:pPr>
            <w:r w:rsidRPr="00CF7396">
              <w:rPr>
                <w:color w:val="000000" w:themeColor="text1"/>
                <w:lang w:val="es-CR" w:eastAsia="es-CR"/>
              </w:rPr>
              <w:t>Unidad Médico Legal de Limón</w:t>
            </w:r>
          </w:p>
        </w:tc>
      </w:tr>
      <w:tr w:rsidR="00CF7396" w:rsidRPr="00CF7396" w14:paraId="671E2561" w14:textId="77777777" w:rsidTr="00AF369B">
        <w:trPr>
          <w:trHeight w:val="480"/>
          <w:tblHeader/>
        </w:trPr>
        <w:tc>
          <w:tcPr>
            <w:tcW w:w="79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B19D9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Juzgado Contravencional de Matina* </w:t>
            </w:r>
          </w:p>
        </w:tc>
        <w:tc>
          <w:tcPr>
            <w:tcW w:w="3384" w:type="dxa"/>
            <w:tcBorders>
              <w:top w:val="nil"/>
              <w:left w:val="nil"/>
              <w:bottom w:val="single" w:sz="4" w:space="0" w:color="auto"/>
              <w:right w:val="single" w:sz="4" w:space="0" w:color="auto"/>
            </w:tcBorders>
            <w:shd w:val="clear" w:color="auto" w:fill="auto"/>
            <w:noWrap/>
            <w:vAlign w:val="bottom"/>
          </w:tcPr>
          <w:p w14:paraId="1BF6D38A" w14:textId="77777777" w:rsidR="00CF7396" w:rsidRPr="00CF7396" w:rsidRDefault="00CF7396" w:rsidP="00CF7396">
            <w:pPr>
              <w:rPr>
                <w:color w:val="000000" w:themeColor="text1"/>
                <w:lang w:val="es-CR" w:eastAsia="es-CR"/>
              </w:rPr>
            </w:pPr>
            <w:r w:rsidRPr="00CF7396">
              <w:rPr>
                <w:color w:val="000000" w:themeColor="text1"/>
                <w:lang w:val="es-CR" w:eastAsia="es-CR"/>
              </w:rPr>
              <w:t>Unidad de Servicios Médicos</w:t>
            </w:r>
          </w:p>
        </w:tc>
      </w:tr>
      <w:tr w:rsidR="00CF7396" w:rsidRPr="00CF7396" w14:paraId="2B899483" w14:textId="77777777" w:rsidTr="00AF369B">
        <w:trPr>
          <w:trHeight w:val="390"/>
          <w:tblHeader/>
        </w:trPr>
        <w:tc>
          <w:tcPr>
            <w:tcW w:w="79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A8CE8B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Juzgado de Familia del Primer Circuito Judicial de la Zona Atlántica*</w:t>
            </w:r>
          </w:p>
        </w:tc>
        <w:tc>
          <w:tcPr>
            <w:tcW w:w="3384" w:type="dxa"/>
            <w:tcBorders>
              <w:top w:val="nil"/>
              <w:left w:val="nil"/>
              <w:bottom w:val="single" w:sz="4" w:space="0" w:color="auto"/>
              <w:right w:val="single" w:sz="4" w:space="0" w:color="auto"/>
            </w:tcBorders>
            <w:shd w:val="clear" w:color="auto" w:fill="auto"/>
            <w:noWrap/>
            <w:vAlign w:val="bottom"/>
          </w:tcPr>
          <w:p w14:paraId="5AC7515F" w14:textId="77777777" w:rsidR="00CF7396" w:rsidRPr="00CF7396" w:rsidRDefault="00CF7396" w:rsidP="00CF7396">
            <w:pPr>
              <w:rPr>
                <w:color w:val="000000" w:themeColor="text1"/>
                <w:lang w:val="es-CR" w:eastAsia="es-CR"/>
              </w:rPr>
            </w:pPr>
            <w:r w:rsidRPr="00CF7396">
              <w:rPr>
                <w:color w:val="000000" w:themeColor="text1"/>
                <w:lang w:val="es-CR" w:eastAsia="es-CR"/>
              </w:rPr>
              <w:t>Administración Regional del Primer Circuito Judicial de la Zona Atlántica (Supernumerarios)</w:t>
            </w:r>
          </w:p>
        </w:tc>
      </w:tr>
      <w:tr w:rsidR="00CF7396" w:rsidRPr="00CF7396" w14:paraId="0CECDACB" w14:textId="77777777" w:rsidTr="00AF369B">
        <w:trPr>
          <w:trHeight w:val="390"/>
          <w:tblHeader/>
        </w:trPr>
        <w:tc>
          <w:tcPr>
            <w:tcW w:w="793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327C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Juzgado de Pensiones Alimentarias del Primer Circuito Judicial de la Zona Atlántica*</w:t>
            </w:r>
          </w:p>
        </w:tc>
        <w:tc>
          <w:tcPr>
            <w:tcW w:w="3384" w:type="dxa"/>
            <w:tcBorders>
              <w:top w:val="nil"/>
              <w:left w:val="nil"/>
              <w:bottom w:val="single" w:sz="4" w:space="0" w:color="auto"/>
              <w:right w:val="single" w:sz="4" w:space="0" w:color="auto"/>
            </w:tcBorders>
            <w:shd w:val="clear" w:color="auto" w:fill="auto"/>
            <w:noWrap/>
            <w:vAlign w:val="bottom"/>
          </w:tcPr>
          <w:p w14:paraId="71E8D97F" w14:textId="77777777" w:rsidR="00CF7396" w:rsidRPr="00CF7396" w:rsidRDefault="00CF7396" w:rsidP="00CF7396">
            <w:pPr>
              <w:rPr>
                <w:color w:val="000000" w:themeColor="text1"/>
                <w:lang w:val="es-CR" w:eastAsia="es-CR"/>
              </w:rPr>
            </w:pPr>
            <w:r w:rsidRPr="00CF7396">
              <w:rPr>
                <w:color w:val="000000" w:themeColor="text1"/>
                <w:lang w:val="es-CR" w:eastAsia="es-CR"/>
              </w:rPr>
              <w:t>Administración Regional del Primer Circuito Judicial de la Zona Atlántica</w:t>
            </w:r>
          </w:p>
        </w:tc>
      </w:tr>
      <w:tr w:rsidR="00CF7396" w:rsidRPr="00CF7396" w14:paraId="1B12B962" w14:textId="77777777" w:rsidTr="00AF369B">
        <w:trPr>
          <w:trHeight w:val="260"/>
          <w:tblHeader/>
        </w:trPr>
        <w:tc>
          <w:tcPr>
            <w:tcW w:w="41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59268B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w:t>
            </w:r>
          </w:p>
        </w:tc>
        <w:tc>
          <w:tcPr>
            <w:tcW w:w="3829" w:type="dxa"/>
            <w:tcBorders>
              <w:top w:val="nil"/>
              <w:left w:val="nil"/>
              <w:bottom w:val="single" w:sz="4" w:space="0" w:color="auto"/>
              <w:right w:val="single" w:sz="4" w:space="0" w:color="auto"/>
            </w:tcBorders>
            <w:shd w:val="clear" w:color="auto" w:fill="auto"/>
            <w:noWrap/>
            <w:vAlign w:val="bottom"/>
            <w:hideMark/>
          </w:tcPr>
          <w:p w14:paraId="0CC960C6" w14:textId="77777777" w:rsidR="00CF7396" w:rsidRPr="00CF7396" w:rsidRDefault="00CF7396" w:rsidP="00CF7396">
            <w:pPr>
              <w:rPr>
                <w:color w:val="000000" w:themeColor="text1"/>
                <w:lang w:val="es-CR" w:eastAsia="es-CR"/>
              </w:rPr>
            </w:pPr>
            <w:r w:rsidRPr="00CF7396">
              <w:rPr>
                <w:color w:val="000000" w:themeColor="text1"/>
                <w:lang w:val="es-CR" w:eastAsia="es-CR"/>
              </w:rPr>
              <w:t>Juzgado de Tránsito del Primer Circuito Judicial de la Zona Atlántica</w:t>
            </w:r>
          </w:p>
        </w:tc>
        <w:tc>
          <w:tcPr>
            <w:tcW w:w="3384" w:type="dxa"/>
            <w:tcBorders>
              <w:top w:val="nil"/>
              <w:left w:val="nil"/>
              <w:bottom w:val="single" w:sz="4" w:space="0" w:color="auto"/>
              <w:right w:val="single" w:sz="4" w:space="0" w:color="auto"/>
            </w:tcBorders>
            <w:shd w:val="clear" w:color="auto" w:fill="auto"/>
            <w:noWrap/>
            <w:vAlign w:val="bottom"/>
          </w:tcPr>
          <w:p w14:paraId="2492494C" w14:textId="77777777" w:rsidR="00CF7396" w:rsidRPr="00CF7396" w:rsidRDefault="00CF7396" w:rsidP="00CF7396">
            <w:pPr>
              <w:rPr>
                <w:color w:val="000000" w:themeColor="text1"/>
                <w:lang w:val="es-CR" w:eastAsia="es-CR"/>
              </w:rPr>
            </w:pPr>
          </w:p>
        </w:tc>
      </w:tr>
      <w:tr w:rsidR="00CF7396" w:rsidRPr="00CF7396" w14:paraId="74BB87EF" w14:textId="77777777" w:rsidTr="00AF369B">
        <w:trPr>
          <w:trHeight w:val="260"/>
          <w:tblHeader/>
        </w:trPr>
        <w:tc>
          <w:tcPr>
            <w:tcW w:w="4110" w:type="dxa"/>
            <w:vMerge/>
            <w:tcBorders>
              <w:top w:val="nil"/>
              <w:left w:val="single" w:sz="4" w:space="0" w:color="auto"/>
              <w:bottom w:val="single" w:sz="4" w:space="0" w:color="000000"/>
              <w:right w:val="single" w:sz="4" w:space="0" w:color="auto"/>
            </w:tcBorders>
            <w:vAlign w:val="center"/>
            <w:hideMark/>
          </w:tcPr>
          <w:p w14:paraId="385EB719" w14:textId="77777777" w:rsidR="00CF7396" w:rsidRPr="00CF7396" w:rsidRDefault="00CF7396" w:rsidP="00CF7396">
            <w:pPr>
              <w:rPr>
                <w:color w:val="000000" w:themeColor="text1"/>
                <w:lang w:val="es-CR" w:eastAsia="es-CR"/>
              </w:rPr>
            </w:pPr>
          </w:p>
        </w:tc>
        <w:tc>
          <w:tcPr>
            <w:tcW w:w="3829" w:type="dxa"/>
            <w:tcBorders>
              <w:top w:val="nil"/>
              <w:left w:val="nil"/>
              <w:bottom w:val="single" w:sz="4" w:space="0" w:color="auto"/>
              <w:right w:val="single" w:sz="4" w:space="0" w:color="auto"/>
            </w:tcBorders>
            <w:shd w:val="clear" w:color="auto" w:fill="auto"/>
            <w:noWrap/>
            <w:vAlign w:val="bottom"/>
            <w:hideMark/>
          </w:tcPr>
          <w:p w14:paraId="24A31366" w14:textId="77777777" w:rsidR="00CF7396" w:rsidRPr="00CF7396" w:rsidRDefault="00CF7396" w:rsidP="00CF7396">
            <w:pPr>
              <w:rPr>
                <w:color w:val="000000" w:themeColor="text1"/>
                <w:lang w:val="es-CR" w:eastAsia="es-CR"/>
              </w:rPr>
            </w:pPr>
            <w:r w:rsidRPr="00CF7396">
              <w:rPr>
                <w:color w:val="000000" w:themeColor="text1"/>
                <w:lang w:val="es-CR" w:eastAsia="es-CR"/>
              </w:rPr>
              <w:t>Defensa Pública del Primer Circuito Judicial de la Zona Atlántica</w:t>
            </w:r>
          </w:p>
        </w:tc>
        <w:tc>
          <w:tcPr>
            <w:tcW w:w="3384" w:type="dxa"/>
            <w:tcBorders>
              <w:top w:val="nil"/>
              <w:left w:val="nil"/>
              <w:bottom w:val="single" w:sz="4" w:space="0" w:color="auto"/>
              <w:right w:val="single" w:sz="4" w:space="0" w:color="auto"/>
            </w:tcBorders>
            <w:shd w:val="clear" w:color="auto" w:fill="auto"/>
            <w:noWrap/>
            <w:vAlign w:val="bottom"/>
          </w:tcPr>
          <w:p w14:paraId="1F2BF750" w14:textId="77777777" w:rsidR="00CF7396" w:rsidRPr="00CF7396" w:rsidRDefault="00CF7396" w:rsidP="00CF7396">
            <w:pPr>
              <w:rPr>
                <w:color w:val="000000" w:themeColor="text1"/>
                <w:lang w:val="es-CR" w:eastAsia="es-CR"/>
              </w:rPr>
            </w:pPr>
          </w:p>
        </w:tc>
      </w:tr>
      <w:tr w:rsidR="00CF7396" w:rsidRPr="00CF7396" w14:paraId="3A40E31A" w14:textId="77777777" w:rsidTr="00AF369B">
        <w:trPr>
          <w:trHeight w:val="260"/>
          <w:tblHeader/>
        </w:trPr>
        <w:tc>
          <w:tcPr>
            <w:tcW w:w="4110" w:type="dxa"/>
            <w:vMerge/>
            <w:tcBorders>
              <w:top w:val="nil"/>
              <w:left w:val="single" w:sz="4" w:space="0" w:color="auto"/>
              <w:bottom w:val="single" w:sz="4" w:space="0" w:color="000000"/>
              <w:right w:val="single" w:sz="4" w:space="0" w:color="auto"/>
            </w:tcBorders>
            <w:vAlign w:val="center"/>
            <w:hideMark/>
          </w:tcPr>
          <w:p w14:paraId="595ACDCA" w14:textId="77777777" w:rsidR="00CF7396" w:rsidRPr="00CF7396" w:rsidRDefault="00CF7396" w:rsidP="00CF7396">
            <w:pPr>
              <w:rPr>
                <w:color w:val="000000" w:themeColor="text1"/>
                <w:lang w:val="es-CR" w:eastAsia="es-CR"/>
              </w:rPr>
            </w:pPr>
          </w:p>
        </w:tc>
        <w:tc>
          <w:tcPr>
            <w:tcW w:w="3829" w:type="dxa"/>
            <w:tcBorders>
              <w:top w:val="nil"/>
              <w:left w:val="nil"/>
              <w:bottom w:val="single" w:sz="4" w:space="0" w:color="auto"/>
              <w:right w:val="single" w:sz="4" w:space="0" w:color="auto"/>
            </w:tcBorders>
            <w:shd w:val="clear" w:color="auto" w:fill="auto"/>
            <w:noWrap/>
            <w:vAlign w:val="bottom"/>
            <w:hideMark/>
          </w:tcPr>
          <w:p w14:paraId="0B95A2DD" w14:textId="77777777" w:rsidR="00CF7396" w:rsidRPr="00CF7396" w:rsidRDefault="00CF7396" w:rsidP="00CF7396">
            <w:pPr>
              <w:rPr>
                <w:color w:val="000000" w:themeColor="text1"/>
                <w:lang w:val="es-CR" w:eastAsia="es-CR"/>
              </w:rPr>
            </w:pPr>
            <w:r w:rsidRPr="00CF7396">
              <w:rPr>
                <w:color w:val="000000" w:themeColor="text1"/>
                <w:lang w:val="es-CR" w:eastAsia="es-CR"/>
              </w:rPr>
              <w:t>Defensa Pública de Batán</w:t>
            </w:r>
          </w:p>
        </w:tc>
        <w:tc>
          <w:tcPr>
            <w:tcW w:w="3384" w:type="dxa"/>
            <w:tcBorders>
              <w:top w:val="nil"/>
              <w:left w:val="nil"/>
              <w:bottom w:val="single" w:sz="4" w:space="0" w:color="auto"/>
              <w:right w:val="single" w:sz="4" w:space="0" w:color="auto"/>
            </w:tcBorders>
            <w:shd w:val="clear" w:color="auto" w:fill="auto"/>
            <w:noWrap/>
            <w:vAlign w:val="bottom"/>
          </w:tcPr>
          <w:p w14:paraId="0695C205" w14:textId="77777777" w:rsidR="00CF7396" w:rsidRPr="00CF7396" w:rsidRDefault="00CF7396" w:rsidP="00CF7396">
            <w:pPr>
              <w:rPr>
                <w:color w:val="000000" w:themeColor="text1"/>
                <w:lang w:val="es-CR" w:eastAsia="es-CR"/>
              </w:rPr>
            </w:pPr>
          </w:p>
        </w:tc>
      </w:tr>
      <w:tr w:rsidR="00CF7396" w:rsidRPr="00CF7396" w14:paraId="203CCBBF" w14:textId="77777777" w:rsidTr="00AF369B">
        <w:trPr>
          <w:trHeight w:val="260"/>
          <w:tblHeader/>
        </w:trPr>
        <w:tc>
          <w:tcPr>
            <w:tcW w:w="4110" w:type="dxa"/>
            <w:vMerge/>
            <w:tcBorders>
              <w:top w:val="nil"/>
              <w:left w:val="single" w:sz="4" w:space="0" w:color="auto"/>
              <w:bottom w:val="single" w:sz="4" w:space="0" w:color="000000"/>
              <w:right w:val="single" w:sz="4" w:space="0" w:color="auto"/>
            </w:tcBorders>
            <w:vAlign w:val="center"/>
            <w:hideMark/>
          </w:tcPr>
          <w:p w14:paraId="66553981" w14:textId="77777777" w:rsidR="00CF7396" w:rsidRPr="00CF7396" w:rsidRDefault="00CF7396" w:rsidP="00CF7396">
            <w:pPr>
              <w:rPr>
                <w:color w:val="000000" w:themeColor="text1"/>
                <w:lang w:val="es-CR" w:eastAsia="es-CR"/>
              </w:rPr>
            </w:pPr>
          </w:p>
        </w:tc>
        <w:tc>
          <w:tcPr>
            <w:tcW w:w="3829" w:type="dxa"/>
            <w:tcBorders>
              <w:top w:val="nil"/>
              <w:left w:val="nil"/>
              <w:bottom w:val="single" w:sz="4" w:space="0" w:color="auto"/>
              <w:right w:val="single" w:sz="4" w:space="0" w:color="auto"/>
            </w:tcBorders>
            <w:shd w:val="clear" w:color="auto" w:fill="auto"/>
            <w:noWrap/>
            <w:vAlign w:val="bottom"/>
            <w:hideMark/>
          </w:tcPr>
          <w:p w14:paraId="6E8BFAA1" w14:textId="77777777" w:rsidR="00CF7396" w:rsidRPr="00CF7396" w:rsidRDefault="00CF7396" w:rsidP="00CF7396">
            <w:pPr>
              <w:rPr>
                <w:color w:val="000000" w:themeColor="text1"/>
                <w:lang w:val="es-CR" w:eastAsia="es-CR"/>
              </w:rPr>
            </w:pPr>
            <w:r w:rsidRPr="00CF7396">
              <w:rPr>
                <w:color w:val="000000" w:themeColor="text1"/>
                <w:lang w:val="es-CR" w:eastAsia="es-CR"/>
              </w:rPr>
              <w:t xml:space="preserve">Defensa Pública de </w:t>
            </w:r>
            <w:proofErr w:type="spellStart"/>
            <w:r w:rsidRPr="00CF7396">
              <w:rPr>
                <w:color w:val="000000" w:themeColor="text1"/>
                <w:lang w:val="es-CR" w:eastAsia="es-CR"/>
              </w:rPr>
              <w:t>Bribrí</w:t>
            </w:r>
            <w:proofErr w:type="spellEnd"/>
          </w:p>
        </w:tc>
        <w:tc>
          <w:tcPr>
            <w:tcW w:w="3384" w:type="dxa"/>
            <w:tcBorders>
              <w:top w:val="nil"/>
              <w:left w:val="nil"/>
              <w:bottom w:val="single" w:sz="4" w:space="0" w:color="auto"/>
              <w:right w:val="single" w:sz="4" w:space="0" w:color="auto"/>
            </w:tcBorders>
            <w:shd w:val="clear" w:color="auto" w:fill="auto"/>
            <w:noWrap/>
            <w:vAlign w:val="bottom"/>
          </w:tcPr>
          <w:p w14:paraId="0B1ADA7E" w14:textId="77777777" w:rsidR="00CF7396" w:rsidRPr="00CF7396" w:rsidRDefault="00CF7396" w:rsidP="00CF7396">
            <w:pPr>
              <w:rPr>
                <w:color w:val="000000" w:themeColor="text1"/>
                <w:lang w:val="es-CR" w:eastAsia="es-CR"/>
              </w:rPr>
            </w:pPr>
          </w:p>
        </w:tc>
      </w:tr>
      <w:tr w:rsidR="00CF7396" w:rsidRPr="00CF7396" w14:paraId="7BD03416" w14:textId="77777777" w:rsidTr="00AF369B">
        <w:trPr>
          <w:trHeight w:val="260"/>
          <w:tblHeader/>
        </w:trPr>
        <w:tc>
          <w:tcPr>
            <w:tcW w:w="4110" w:type="dxa"/>
            <w:vMerge/>
            <w:tcBorders>
              <w:top w:val="nil"/>
              <w:left w:val="single" w:sz="4" w:space="0" w:color="auto"/>
              <w:bottom w:val="single" w:sz="4" w:space="0" w:color="000000"/>
              <w:right w:val="single" w:sz="4" w:space="0" w:color="auto"/>
            </w:tcBorders>
            <w:vAlign w:val="center"/>
            <w:hideMark/>
          </w:tcPr>
          <w:p w14:paraId="57612C29" w14:textId="77777777" w:rsidR="00CF7396" w:rsidRPr="00CF7396" w:rsidRDefault="00CF7396" w:rsidP="00CF7396">
            <w:pPr>
              <w:rPr>
                <w:color w:val="000000" w:themeColor="text1"/>
                <w:lang w:val="es-CR" w:eastAsia="es-CR"/>
              </w:rPr>
            </w:pPr>
          </w:p>
        </w:tc>
        <w:tc>
          <w:tcPr>
            <w:tcW w:w="3829" w:type="dxa"/>
            <w:tcBorders>
              <w:top w:val="nil"/>
              <w:left w:val="nil"/>
              <w:bottom w:val="single" w:sz="4" w:space="0" w:color="auto"/>
              <w:right w:val="single" w:sz="4" w:space="0" w:color="auto"/>
            </w:tcBorders>
            <w:shd w:val="clear" w:color="auto" w:fill="auto"/>
            <w:noWrap/>
            <w:vAlign w:val="bottom"/>
            <w:hideMark/>
          </w:tcPr>
          <w:p w14:paraId="45E80F90" w14:textId="77777777" w:rsidR="00CF7396" w:rsidRPr="00CF7396" w:rsidRDefault="00CF7396" w:rsidP="00CF7396">
            <w:pPr>
              <w:rPr>
                <w:color w:val="000000" w:themeColor="text1"/>
                <w:lang w:val="es-CR" w:eastAsia="es-CR"/>
              </w:rPr>
            </w:pPr>
            <w:r w:rsidRPr="00CF7396">
              <w:rPr>
                <w:color w:val="000000" w:themeColor="text1"/>
                <w:lang w:val="es-CR" w:eastAsia="es-CR"/>
              </w:rPr>
              <w:t>Fiscalía Adjunta de Limón</w:t>
            </w:r>
          </w:p>
        </w:tc>
        <w:tc>
          <w:tcPr>
            <w:tcW w:w="3384"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72A9EC0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w:t>
            </w:r>
          </w:p>
        </w:tc>
      </w:tr>
      <w:tr w:rsidR="00CF7396" w:rsidRPr="00CF7396" w14:paraId="28FD8983" w14:textId="77777777" w:rsidTr="00AF369B">
        <w:trPr>
          <w:trHeight w:val="260"/>
          <w:tblHeader/>
        </w:trPr>
        <w:tc>
          <w:tcPr>
            <w:tcW w:w="4110" w:type="dxa"/>
            <w:vMerge/>
            <w:tcBorders>
              <w:top w:val="nil"/>
              <w:left w:val="single" w:sz="4" w:space="0" w:color="auto"/>
              <w:bottom w:val="single" w:sz="4" w:space="0" w:color="000000"/>
              <w:right w:val="single" w:sz="4" w:space="0" w:color="auto"/>
            </w:tcBorders>
            <w:vAlign w:val="center"/>
            <w:hideMark/>
          </w:tcPr>
          <w:p w14:paraId="7D6B19B6" w14:textId="77777777" w:rsidR="00CF7396" w:rsidRPr="00CF7396" w:rsidRDefault="00CF7396" w:rsidP="00CF7396">
            <w:pPr>
              <w:rPr>
                <w:color w:val="000000" w:themeColor="text1"/>
                <w:lang w:val="es-CR" w:eastAsia="es-CR"/>
              </w:rPr>
            </w:pPr>
          </w:p>
        </w:tc>
        <w:tc>
          <w:tcPr>
            <w:tcW w:w="3829" w:type="dxa"/>
            <w:tcBorders>
              <w:top w:val="nil"/>
              <w:left w:val="nil"/>
              <w:bottom w:val="single" w:sz="4" w:space="0" w:color="auto"/>
              <w:right w:val="single" w:sz="4" w:space="0" w:color="auto"/>
            </w:tcBorders>
            <w:shd w:val="clear" w:color="auto" w:fill="auto"/>
            <w:noWrap/>
            <w:vAlign w:val="bottom"/>
            <w:hideMark/>
          </w:tcPr>
          <w:p w14:paraId="10C666B6" w14:textId="77777777" w:rsidR="00CF7396" w:rsidRPr="00CF7396" w:rsidRDefault="00CF7396" w:rsidP="00CF7396">
            <w:pPr>
              <w:rPr>
                <w:color w:val="000000" w:themeColor="text1"/>
                <w:lang w:val="es-CR" w:eastAsia="es-CR"/>
              </w:rPr>
            </w:pPr>
            <w:r w:rsidRPr="00CF7396">
              <w:rPr>
                <w:color w:val="000000" w:themeColor="text1"/>
                <w:lang w:val="es-CR" w:eastAsia="es-CR"/>
              </w:rPr>
              <w:t xml:space="preserve">Fiscalía de </w:t>
            </w:r>
            <w:proofErr w:type="spellStart"/>
            <w:r w:rsidRPr="00CF7396">
              <w:rPr>
                <w:color w:val="000000" w:themeColor="text1"/>
                <w:lang w:val="es-CR" w:eastAsia="es-CR"/>
              </w:rPr>
              <w:t>Bribrí</w:t>
            </w:r>
            <w:proofErr w:type="spellEnd"/>
          </w:p>
        </w:tc>
        <w:tc>
          <w:tcPr>
            <w:tcW w:w="3384" w:type="dxa"/>
            <w:vMerge/>
            <w:tcBorders>
              <w:top w:val="nil"/>
              <w:left w:val="single" w:sz="4" w:space="0" w:color="auto"/>
              <w:bottom w:val="single" w:sz="4" w:space="0" w:color="000000"/>
              <w:right w:val="single" w:sz="4" w:space="0" w:color="auto"/>
            </w:tcBorders>
            <w:vAlign w:val="center"/>
            <w:hideMark/>
          </w:tcPr>
          <w:p w14:paraId="265F16E1" w14:textId="77777777" w:rsidR="00CF7396" w:rsidRPr="00CF7396" w:rsidRDefault="00CF7396" w:rsidP="00CF7396">
            <w:pPr>
              <w:rPr>
                <w:color w:val="000000" w:themeColor="text1"/>
                <w:lang w:val="es-CR" w:eastAsia="es-CR"/>
              </w:rPr>
            </w:pPr>
          </w:p>
        </w:tc>
      </w:tr>
      <w:tr w:rsidR="00CF7396" w:rsidRPr="00CF7396" w14:paraId="1FB6EDA4" w14:textId="77777777" w:rsidTr="00AF369B">
        <w:trPr>
          <w:trHeight w:val="260"/>
          <w:tblHeader/>
        </w:trPr>
        <w:tc>
          <w:tcPr>
            <w:tcW w:w="4110" w:type="dxa"/>
            <w:vMerge/>
            <w:tcBorders>
              <w:top w:val="nil"/>
              <w:left w:val="single" w:sz="4" w:space="0" w:color="auto"/>
              <w:bottom w:val="single" w:sz="4" w:space="0" w:color="000000"/>
              <w:right w:val="single" w:sz="4" w:space="0" w:color="auto"/>
            </w:tcBorders>
            <w:vAlign w:val="center"/>
            <w:hideMark/>
          </w:tcPr>
          <w:p w14:paraId="21911CEA" w14:textId="77777777" w:rsidR="00CF7396" w:rsidRPr="00CF7396" w:rsidRDefault="00CF7396" w:rsidP="00CF7396">
            <w:pPr>
              <w:rPr>
                <w:color w:val="000000" w:themeColor="text1"/>
                <w:lang w:val="es-CR" w:eastAsia="es-CR"/>
              </w:rPr>
            </w:pPr>
          </w:p>
        </w:tc>
        <w:tc>
          <w:tcPr>
            <w:tcW w:w="3829" w:type="dxa"/>
            <w:tcBorders>
              <w:top w:val="nil"/>
              <w:left w:val="nil"/>
              <w:bottom w:val="single" w:sz="4" w:space="0" w:color="auto"/>
              <w:right w:val="single" w:sz="4" w:space="0" w:color="auto"/>
            </w:tcBorders>
            <w:shd w:val="clear" w:color="auto" w:fill="auto"/>
            <w:noWrap/>
            <w:vAlign w:val="bottom"/>
            <w:hideMark/>
          </w:tcPr>
          <w:p w14:paraId="570F0AEF" w14:textId="77777777" w:rsidR="00CF7396" w:rsidRPr="00CF7396" w:rsidRDefault="00CF7396" w:rsidP="00CF7396">
            <w:pPr>
              <w:rPr>
                <w:color w:val="000000" w:themeColor="text1"/>
                <w:lang w:val="es-CR" w:eastAsia="es-CR"/>
              </w:rPr>
            </w:pPr>
            <w:r w:rsidRPr="00CF7396">
              <w:rPr>
                <w:color w:val="000000" w:themeColor="text1"/>
                <w:lang w:val="es-CR" w:eastAsia="es-CR"/>
              </w:rPr>
              <w:t>Fiscalía de Batán</w:t>
            </w:r>
          </w:p>
        </w:tc>
        <w:tc>
          <w:tcPr>
            <w:tcW w:w="3384" w:type="dxa"/>
            <w:vMerge/>
            <w:tcBorders>
              <w:top w:val="nil"/>
              <w:left w:val="single" w:sz="4" w:space="0" w:color="auto"/>
              <w:bottom w:val="single" w:sz="4" w:space="0" w:color="000000"/>
              <w:right w:val="single" w:sz="4" w:space="0" w:color="auto"/>
            </w:tcBorders>
            <w:vAlign w:val="center"/>
            <w:hideMark/>
          </w:tcPr>
          <w:p w14:paraId="77234910" w14:textId="77777777" w:rsidR="00CF7396" w:rsidRPr="00CF7396" w:rsidRDefault="00CF7396" w:rsidP="00CF7396">
            <w:pPr>
              <w:rPr>
                <w:color w:val="000000" w:themeColor="text1"/>
                <w:lang w:val="es-CR" w:eastAsia="es-CR"/>
              </w:rPr>
            </w:pPr>
          </w:p>
        </w:tc>
      </w:tr>
      <w:tr w:rsidR="00CF7396" w:rsidRPr="00CF7396" w14:paraId="4E4EDB49" w14:textId="77777777" w:rsidTr="00AF369B">
        <w:trPr>
          <w:trHeight w:val="260"/>
          <w:tblHeader/>
        </w:trPr>
        <w:tc>
          <w:tcPr>
            <w:tcW w:w="4110" w:type="dxa"/>
            <w:vMerge/>
            <w:tcBorders>
              <w:top w:val="nil"/>
              <w:left w:val="single" w:sz="4" w:space="0" w:color="auto"/>
              <w:bottom w:val="single" w:sz="4" w:space="0" w:color="000000"/>
              <w:right w:val="single" w:sz="4" w:space="0" w:color="auto"/>
            </w:tcBorders>
            <w:vAlign w:val="center"/>
            <w:hideMark/>
          </w:tcPr>
          <w:p w14:paraId="47C765C0" w14:textId="77777777" w:rsidR="00CF7396" w:rsidRPr="00CF7396" w:rsidRDefault="00CF7396" w:rsidP="00CF7396">
            <w:pPr>
              <w:rPr>
                <w:color w:val="000000" w:themeColor="text1"/>
                <w:lang w:val="es-CR" w:eastAsia="es-CR"/>
              </w:rPr>
            </w:pPr>
          </w:p>
        </w:tc>
        <w:tc>
          <w:tcPr>
            <w:tcW w:w="3829" w:type="dxa"/>
            <w:tcBorders>
              <w:top w:val="nil"/>
              <w:left w:val="nil"/>
              <w:bottom w:val="single" w:sz="4" w:space="0" w:color="auto"/>
              <w:right w:val="single" w:sz="4" w:space="0" w:color="auto"/>
            </w:tcBorders>
            <w:shd w:val="clear" w:color="auto" w:fill="auto"/>
            <w:noWrap/>
            <w:vAlign w:val="bottom"/>
            <w:hideMark/>
          </w:tcPr>
          <w:p w14:paraId="479740EE" w14:textId="77777777" w:rsidR="00CF7396" w:rsidRPr="00CF7396" w:rsidRDefault="00CF7396" w:rsidP="00CF7396">
            <w:pPr>
              <w:rPr>
                <w:color w:val="000000" w:themeColor="text1"/>
                <w:lang w:val="es-CR" w:eastAsia="es-CR"/>
              </w:rPr>
            </w:pPr>
            <w:r w:rsidRPr="00CF7396">
              <w:rPr>
                <w:color w:val="000000" w:themeColor="text1"/>
                <w:lang w:val="es-CR" w:eastAsia="es-CR"/>
              </w:rPr>
              <w:t>Delegación Regional de Limón</w:t>
            </w:r>
          </w:p>
        </w:tc>
        <w:tc>
          <w:tcPr>
            <w:tcW w:w="3384" w:type="dxa"/>
            <w:vMerge/>
            <w:tcBorders>
              <w:top w:val="nil"/>
              <w:left w:val="single" w:sz="4" w:space="0" w:color="auto"/>
              <w:bottom w:val="single" w:sz="4" w:space="0" w:color="000000"/>
              <w:right w:val="single" w:sz="4" w:space="0" w:color="auto"/>
            </w:tcBorders>
            <w:vAlign w:val="center"/>
            <w:hideMark/>
          </w:tcPr>
          <w:p w14:paraId="10A2BD8F" w14:textId="77777777" w:rsidR="00CF7396" w:rsidRPr="00CF7396" w:rsidRDefault="00CF7396" w:rsidP="00CF7396">
            <w:pPr>
              <w:rPr>
                <w:color w:val="000000" w:themeColor="text1"/>
                <w:lang w:val="es-CR" w:eastAsia="es-CR"/>
              </w:rPr>
            </w:pPr>
          </w:p>
        </w:tc>
      </w:tr>
      <w:tr w:rsidR="00CF7396" w:rsidRPr="00CF7396" w14:paraId="5196B6B6" w14:textId="77777777" w:rsidTr="00AF369B">
        <w:trPr>
          <w:trHeight w:val="260"/>
          <w:tblHeader/>
        </w:trPr>
        <w:tc>
          <w:tcPr>
            <w:tcW w:w="4110" w:type="dxa"/>
            <w:vMerge/>
            <w:tcBorders>
              <w:top w:val="nil"/>
              <w:left w:val="single" w:sz="4" w:space="0" w:color="auto"/>
              <w:bottom w:val="single" w:sz="4" w:space="0" w:color="000000"/>
              <w:right w:val="single" w:sz="4" w:space="0" w:color="auto"/>
            </w:tcBorders>
            <w:vAlign w:val="center"/>
            <w:hideMark/>
          </w:tcPr>
          <w:p w14:paraId="423F4C2C" w14:textId="77777777" w:rsidR="00CF7396" w:rsidRPr="00CF7396" w:rsidRDefault="00CF7396" w:rsidP="00CF7396">
            <w:pPr>
              <w:rPr>
                <w:color w:val="000000" w:themeColor="text1"/>
                <w:lang w:val="es-CR" w:eastAsia="es-CR"/>
              </w:rPr>
            </w:pPr>
          </w:p>
        </w:tc>
        <w:tc>
          <w:tcPr>
            <w:tcW w:w="3829" w:type="dxa"/>
            <w:tcBorders>
              <w:top w:val="nil"/>
              <w:left w:val="nil"/>
              <w:bottom w:val="single" w:sz="4" w:space="0" w:color="auto"/>
              <w:right w:val="single" w:sz="4" w:space="0" w:color="auto"/>
            </w:tcBorders>
            <w:shd w:val="clear" w:color="auto" w:fill="auto"/>
            <w:noWrap/>
            <w:vAlign w:val="bottom"/>
            <w:hideMark/>
          </w:tcPr>
          <w:p w14:paraId="115A06DC" w14:textId="77777777" w:rsidR="00CF7396" w:rsidRPr="00CF7396" w:rsidRDefault="00CF7396" w:rsidP="00CF7396">
            <w:pPr>
              <w:rPr>
                <w:color w:val="000000" w:themeColor="text1"/>
                <w:lang w:val="es-CR" w:eastAsia="es-CR"/>
              </w:rPr>
            </w:pPr>
            <w:r w:rsidRPr="00CF7396">
              <w:rPr>
                <w:color w:val="000000" w:themeColor="text1"/>
                <w:lang w:val="es-CR" w:eastAsia="es-CR"/>
              </w:rPr>
              <w:t xml:space="preserve">Oficina Regional de </w:t>
            </w:r>
            <w:proofErr w:type="spellStart"/>
            <w:r w:rsidRPr="00CF7396">
              <w:rPr>
                <w:color w:val="000000" w:themeColor="text1"/>
                <w:lang w:val="es-CR" w:eastAsia="es-CR"/>
              </w:rPr>
              <w:t>Bribrí</w:t>
            </w:r>
            <w:proofErr w:type="spellEnd"/>
          </w:p>
        </w:tc>
        <w:tc>
          <w:tcPr>
            <w:tcW w:w="3384" w:type="dxa"/>
            <w:vMerge/>
            <w:tcBorders>
              <w:top w:val="nil"/>
              <w:left w:val="single" w:sz="4" w:space="0" w:color="auto"/>
              <w:bottom w:val="single" w:sz="4" w:space="0" w:color="000000"/>
              <w:right w:val="single" w:sz="4" w:space="0" w:color="auto"/>
            </w:tcBorders>
            <w:vAlign w:val="center"/>
            <w:hideMark/>
          </w:tcPr>
          <w:p w14:paraId="45C5D55A" w14:textId="77777777" w:rsidR="00CF7396" w:rsidRPr="00CF7396" w:rsidRDefault="00CF7396" w:rsidP="00CF7396">
            <w:pPr>
              <w:rPr>
                <w:color w:val="000000" w:themeColor="text1"/>
                <w:lang w:val="es-CR" w:eastAsia="es-CR"/>
              </w:rPr>
            </w:pPr>
          </w:p>
        </w:tc>
      </w:tr>
      <w:tr w:rsidR="00CF7396" w:rsidRPr="00CF7396" w14:paraId="24EF037D" w14:textId="77777777" w:rsidTr="00AF369B">
        <w:trPr>
          <w:trHeight w:val="260"/>
          <w:tblHeader/>
        </w:trPr>
        <w:tc>
          <w:tcPr>
            <w:tcW w:w="4110" w:type="dxa"/>
            <w:vMerge/>
            <w:tcBorders>
              <w:top w:val="nil"/>
              <w:left w:val="single" w:sz="4" w:space="0" w:color="auto"/>
              <w:bottom w:val="single" w:sz="4" w:space="0" w:color="000000"/>
              <w:right w:val="single" w:sz="4" w:space="0" w:color="auto"/>
            </w:tcBorders>
            <w:vAlign w:val="center"/>
            <w:hideMark/>
          </w:tcPr>
          <w:p w14:paraId="1DEC35DE" w14:textId="77777777" w:rsidR="00CF7396" w:rsidRPr="00CF7396" w:rsidRDefault="00CF7396" w:rsidP="00CF7396">
            <w:pPr>
              <w:rPr>
                <w:color w:val="000000" w:themeColor="text1"/>
                <w:lang w:val="es-CR" w:eastAsia="es-CR"/>
              </w:rPr>
            </w:pPr>
          </w:p>
        </w:tc>
        <w:tc>
          <w:tcPr>
            <w:tcW w:w="3829" w:type="dxa"/>
            <w:tcBorders>
              <w:top w:val="nil"/>
              <w:left w:val="nil"/>
              <w:bottom w:val="single" w:sz="4" w:space="0" w:color="auto"/>
              <w:right w:val="single" w:sz="4" w:space="0" w:color="auto"/>
            </w:tcBorders>
            <w:shd w:val="clear" w:color="auto" w:fill="auto"/>
            <w:noWrap/>
            <w:vAlign w:val="bottom"/>
            <w:hideMark/>
          </w:tcPr>
          <w:p w14:paraId="09DB3FA6" w14:textId="77777777" w:rsidR="00CF7396" w:rsidRPr="00CF7396" w:rsidRDefault="00CF7396" w:rsidP="00CF7396">
            <w:pPr>
              <w:rPr>
                <w:color w:val="000000" w:themeColor="text1"/>
                <w:lang w:val="es-CR" w:eastAsia="es-CR"/>
              </w:rPr>
            </w:pPr>
            <w:r w:rsidRPr="00CF7396">
              <w:rPr>
                <w:color w:val="000000" w:themeColor="text1"/>
                <w:lang w:val="es-CR" w:eastAsia="es-CR"/>
              </w:rPr>
              <w:t>Oficina Regional de Batán</w:t>
            </w:r>
          </w:p>
        </w:tc>
        <w:tc>
          <w:tcPr>
            <w:tcW w:w="3384" w:type="dxa"/>
            <w:vMerge/>
            <w:tcBorders>
              <w:top w:val="nil"/>
              <w:left w:val="single" w:sz="4" w:space="0" w:color="auto"/>
              <w:bottom w:val="single" w:sz="4" w:space="0" w:color="000000"/>
              <w:right w:val="single" w:sz="4" w:space="0" w:color="auto"/>
            </w:tcBorders>
            <w:vAlign w:val="center"/>
            <w:hideMark/>
          </w:tcPr>
          <w:p w14:paraId="3B25670C" w14:textId="77777777" w:rsidR="00CF7396" w:rsidRPr="00CF7396" w:rsidRDefault="00CF7396" w:rsidP="00CF7396">
            <w:pPr>
              <w:rPr>
                <w:color w:val="000000" w:themeColor="text1"/>
                <w:lang w:val="es-CR" w:eastAsia="es-CR"/>
              </w:rPr>
            </w:pPr>
          </w:p>
        </w:tc>
      </w:tr>
    </w:tbl>
    <w:p w14:paraId="00659ADF" w14:textId="77777777" w:rsidR="00CF7396" w:rsidRPr="00CF7396" w:rsidRDefault="00CF7396" w:rsidP="00CF7396">
      <w:pPr>
        <w:ind w:left="851" w:right="851" w:firstLine="709"/>
        <w:jc w:val="both"/>
        <w:rPr>
          <w:color w:val="000000" w:themeColor="text1"/>
          <w:lang w:val="es-CR"/>
        </w:rPr>
      </w:pPr>
      <w:r w:rsidRPr="00CF7396">
        <w:rPr>
          <w:b/>
          <w:bCs/>
          <w:color w:val="000000" w:themeColor="text1"/>
          <w:lang w:val="es-CR"/>
        </w:rPr>
        <w:t xml:space="preserve">Nota: </w:t>
      </w:r>
      <w:r w:rsidRPr="00CF7396">
        <w:rPr>
          <w:color w:val="000000" w:themeColor="text1"/>
          <w:lang w:val="es-CR"/>
        </w:rPr>
        <w:t>Las marcadas con asterisco son oficinas que se encontraban con el abordaje por parte del Subproceso de Modernización, debido a la Reforma al Código de Familia, no obstante, mensualmente se informan ante el Consejo de Administración del Primer Circuito Judicial de la Zona Atlántica y se consideran y analizan para los planes de trabajo de personal supernumerario.</w:t>
      </w:r>
    </w:p>
    <w:p w14:paraId="54F302ED" w14:textId="77777777" w:rsidR="00CF7396" w:rsidRPr="00CF7396" w:rsidRDefault="00CF7396" w:rsidP="00CF7396">
      <w:pPr>
        <w:ind w:left="851" w:right="851" w:firstLine="709"/>
        <w:jc w:val="both"/>
        <w:rPr>
          <w:color w:val="000000" w:themeColor="text1"/>
          <w:lang w:val="es-CR"/>
        </w:rPr>
      </w:pPr>
      <w:r w:rsidRPr="00CF7396">
        <w:rPr>
          <w:b/>
          <w:bCs/>
          <w:color w:val="000000" w:themeColor="text1"/>
          <w:lang w:val="es-CR"/>
        </w:rPr>
        <w:t xml:space="preserve">Fuente: </w:t>
      </w:r>
      <w:r w:rsidRPr="00CF7396">
        <w:rPr>
          <w:color w:val="000000" w:themeColor="text1"/>
          <w:lang w:val="es-CR"/>
        </w:rPr>
        <w:t>Elaboración propia del Subproceso de Evaluación.</w:t>
      </w:r>
    </w:p>
    <w:p w14:paraId="09C4147F" w14:textId="77777777" w:rsidR="00CF7396" w:rsidRPr="00CF7396" w:rsidRDefault="00CF7396" w:rsidP="00CF7396">
      <w:pPr>
        <w:ind w:left="851" w:right="851" w:firstLine="709"/>
        <w:jc w:val="both"/>
        <w:rPr>
          <w:color w:val="000000" w:themeColor="text1"/>
          <w:lang w:val="es-CR"/>
        </w:rPr>
      </w:pPr>
    </w:p>
    <w:p w14:paraId="4252F832"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El Primer Circuito Judicial de la Zona Atlántica cuenta con un total de 38 oficinas judiciales de las cuales 4 se encuentra de forma compartida entre el Modelo de Seguimiento y Sostenibilidad y el Subproceso de Modernización Institucional en el 2021, por cuanto se encontraban por la reforma al Código de Familia, 8 conforman el Modelo de Sostenibilidad, 13 se encuentra en Proyectos de Rediseño o Seguimiento y 13 oficinas y despachos aún no han sido rediseñados; los cuales serán abordados por la Dirección de Planificación según cronograma. </w:t>
      </w:r>
    </w:p>
    <w:p w14:paraId="04086884" w14:textId="77777777" w:rsidR="00CF7396" w:rsidRPr="00CF7396" w:rsidRDefault="00CF7396" w:rsidP="00CF7396">
      <w:pPr>
        <w:ind w:left="851" w:right="851" w:firstLine="709"/>
        <w:jc w:val="both"/>
        <w:rPr>
          <w:color w:val="000000" w:themeColor="text1"/>
          <w:lang w:val="es-CR"/>
        </w:rPr>
      </w:pPr>
    </w:p>
    <w:p w14:paraId="519E34F8"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Para el 2021 se trasladó a la Profesional de Planificación del Modelo de Seguimiento y Sostenibilidad del Primer Circuito Judicial de la Zona Atlántica por parte de los profesionales del Subproceso de Modernización Institucional y del Modelo de Proyecto Penal de la Dirección de Planificación, los siguientes despachos:</w:t>
      </w:r>
    </w:p>
    <w:p w14:paraId="3D62DD98" w14:textId="77777777" w:rsidR="00CF7396" w:rsidRPr="00CF7396" w:rsidRDefault="00CF7396" w:rsidP="00CF7396">
      <w:pPr>
        <w:ind w:left="851" w:right="851" w:firstLine="709"/>
        <w:jc w:val="both"/>
        <w:rPr>
          <w:color w:val="000000" w:themeColor="text1"/>
          <w:lang w:val="es-CR"/>
        </w:rPr>
      </w:pPr>
    </w:p>
    <w:p w14:paraId="14DBDF59" w14:textId="77777777" w:rsidR="00CF7396" w:rsidRPr="00CF7396" w:rsidRDefault="00CF7396" w:rsidP="00CF7396">
      <w:pPr>
        <w:numPr>
          <w:ilvl w:val="0"/>
          <w:numId w:val="39"/>
        </w:numPr>
        <w:ind w:left="851" w:right="851" w:firstLine="709"/>
        <w:jc w:val="both"/>
        <w:rPr>
          <w:color w:val="000000" w:themeColor="text1"/>
          <w:lang w:val="es-CR" w:eastAsia="zh-CN"/>
        </w:rPr>
      </w:pPr>
      <w:r w:rsidRPr="00CF7396">
        <w:rPr>
          <w:color w:val="000000" w:themeColor="text1"/>
          <w:lang w:val="es-CR" w:eastAsia="zh-CN"/>
        </w:rPr>
        <w:t>Tribunal Penal del Primer Circuito Judicial de la Zona Atlántica, en febrero del 2021.</w:t>
      </w:r>
    </w:p>
    <w:p w14:paraId="5214059D" w14:textId="77777777" w:rsidR="00CF7396" w:rsidRPr="00CF7396" w:rsidRDefault="00CF7396" w:rsidP="00CF7396">
      <w:pPr>
        <w:numPr>
          <w:ilvl w:val="0"/>
          <w:numId w:val="39"/>
        </w:numPr>
        <w:ind w:left="851" w:right="851" w:firstLine="709"/>
        <w:jc w:val="both"/>
        <w:rPr>
          <w:color w:val="000000" w:themeColor="text1"/>
          <w:lang w:val="es-CR" w:eastAsia="zh-CN"/>
        </w:rPr>
      </w:pPr>
      <w:r w:rsidRPr="00CF7396">
        <w:rPr>
          <w:color w:val="000000" w:themeColor="text1"/>
          <w:lang w:val="es-CR" w:eastAsia="zh-CN"/>
        </w:rPr>
        <w:t>Sección de Flagrancia del Primer Circuito Judicial de la Zona Atlántica, en febrero del 2021.</w:t>
      </w:r>
    </w:p>
    <w:p w14:paraId="65283F49" w14:textId="77777777" w:rsidR="00CF7396" w:rsidRPr="00CF7396" w:rsidRDefault="00CF7396" w:rsidP="00CF7396">
      <w:pPr>
        <w:numPr>
          <w:ilvl w:val="0"/>
          <w:numId w:val="39"/>
        </w:numPr>
        <w:ind w:left="851" w:right="851" w:firstLine="709"/>
        <w:jc w:val="both"/>
        <w:rPr>
          <w:color w:val="000000" w:themeColor="text1"/>
          <w:lang w:val="es-CR"/>
        </w:rPr>
      </w:pPr>
      <w:r w:rsidRPr="00CF7396">
        <w:rPr>
          <w:color w:val="000000" w:themeColor="text1"/>
          <w:lang w:val="es-CR" w:eastAsia="zh-CN"/>
        </w:rPr>
        <w:t>Juzgado Agrario del Primer Circuito Judicial de la Zona Atlántica, en marzo del 2021.</w:t>
      </w:r>
    </w:p>
    <w:p w14:paraId="5410B8E6" w14:textId="77777777" w:rsidR="00CF7396" w:rsidRPr="00CF7396" w:rsidRDefault="00CF7396" w:rsidP="00CF7396">
      <w:pPr>
        <w:ind w:left="851" w:right="851" w:firstLine="709"/>
        <w:jc w:val="both"/>
        <w:rPr>
          <w:b/>
          <w:bCs/>
          <w:color w:val="000000" w:themeColor="text1"/>
          <w:lang w:val="es-CR"/>
        </w:rPr>
      </w:pPr>
    </w:p>
    <w:p w14:paraId="2092202E" w14:textId="77777777" w:rsidR="00CF7396" w:rsidRPr="00CF7396" w:rsidRDefault="00CF7396" w:rsidP="00CF7396">
      <w:pPr>
        <w:ind w:left="851" w:right="851" w:firstLine="709"/>
        <w:jc w:val="both"/>
        <w:rPr>
          <w:b/>
          <w:bCs/>
          <w:color w:val="000000" w:themeColor="text1"/>
          <w:lang w:val="es-CR"/>
        </w:rPr>
      </w:pPr>
      <w:bookmarkStart w:id="6" w:name="_Toc78876652"/>
      <w:r w:rsidRPr="00CF7396">
        <w:rPr>
          <w:b/>
          <w:bCs/>
          <w:color w:val="000000" w:themeColor="text1"/>
          <w:lang w:val="es-CR"/>
        </w:rPr>
        <w:t>3. Situación global de los despachos que conforman parte del Modelo de Seguimiento y Sostenibilidad del Primer Circuito Judicial de la Zona Atlántica</w:t>
      </w:r>
      <w:bookmarkEnd w:id="6"/>
    </w:p>
    <w:p w14:paraId="20E94946" w14:textId="77777777" w:rsidR="00CF7396" w:rsidRPr="00CF7396" w:rsidRDefault="00CF7396" w:rsidP="00CF7396">
      <w:pPr>
        <w:ind w:left="851" w:right="851" w:firstLine="709"/>
        <w:jc w:val="both"/>
        <w:rPr>
          <w:b/>
          <w:bCs/>
          <w:color w:val="000000" w:themeColor="text1"/>
          <w:lang w:val="es-CR"/>
        </w:rPr>
      </w:pPr>
    </w:p>
    <w:p w14:paraId="30ACBDA0" w14:textId="77777777" w:rsidR="00CF7396" w:rsidRPr="00CF7396" w:rsidRDefault="00CF7396" w:rsidP="00CF7396">
      <w:pPr>
        <w:ind w:left="851" w:right="851" w:firstLine="709"/>
        <w:jc w:val="both"/>
        <w:rPr>
          <w:b/>
          <w:bCs/>
          <w:i/>
          <w:iCs/>
          <w:color w:val="000000" w:themeColor="text1"/>
          <w:lang w:val="es-CR"/>
        </w:rPr>
      </w:pPr>
      <w:bookmarkStart w:id="7" w:name="_Toc78876653"/>
      <w:r w:rsidRPr="00CF7396">
        <w:rPr>
          <w:b/>
          <w:bCs/>
          <w:color w:val="000000" w:themeColor="text1"/>
          <w:lang w:val="es-CR"/>
        </w:rPr>
        <w:t xml:space="preserve">3.1 Promedio de entrada, terminados y circulante durante el 2021 </w:t>
      </w:r>
      <w:bookmarkEnd w:id="7"/>
    </w:p>
    <w:p w14:paraId="6DF369A1" w14:textId="77777777" w:rsidR="00CF7396" w:rsidRPr="00CF7396" w:rsidRDefault="00CF7396" w:rsidP="00CF7396">
      <w:pPr>
        <w:ind w:left="851" w:right="851" w:firstLine="709"/>
        <w:jc w:val="both"/>
        <w:rPr>
          <w:color w:val="000000" w:themeColor="text1"/>
          <w:lang w:val="es-CR"/>
        </w:rPr>
      </w:pPr>
    </w:p>
    <w:p w14:paraId="2E2842C5"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A continuación, se muestran las variables estadísticas de entrada, terminados y circulante final de los despachos que conforman el Modelo de Seguimiento y Sostenibilidad del Primer Circuito Judicial de la Zona Atlántica (los despachos que conocen varias materias se muestran más adelante), durante el 2021:</w:t>
      </w:r>
    </w:p>
    <w:p w14:paraId="59964E04" w14:textId="77777777" w:rsidR="00CF7396" w:rsidRPr="00CF7396" w:rsidRDefault="00CF7396" w:rsidP="00CF7396">
      <w:pPr>
        <w:jc w:val="both"/>
        <w:rPr>
          <w:color w:val="000000" w:themeColor="text1"/>
          <w:lang w:val="es-CR"/>
        </w:rPr>
      </w:pPr>
    </w:p>
    <w:p w14:paraId="763BD01C" w14:textId="77777777" w:rsidR="00CF7396" w:rsidRPr="00CF7396" w:rsidRDefault="00CF7396" w:rsidP="00CF7396">
      <w:pPr>
        <w:jc w:val="center"/>
        <w:rPr>
          <w:color w:val="000000" w:themeColor="text1"/>
          <w:lang w:val="es-CR" w:eastAsia="zh-CN"/>
        </w:rPr>
      </w:pPr>
      <w:r w:rsidRPr="00CF7396">
        <w:rPr>
          <w:b/>
          <w:bCs/>
          <w:color w:val="000000" w:themeColor="text1"/>
          <w:lang w:val="es-CR" w:eastAsia="zh-CN"/>
        </w:rPr>
        <w:t>Cuadro 8</w:t>
      </w:r>
    </w:p>
    <w:p w14:paraId="6FABA826" w14:textId="77777777" w:rsidR="00CF7396" w:rsidRPr="00CF7396" w:rsidRDefault="00CF7396" w:rsidP="00CF7396">
      <w:pPr>
        <w:jc w:val="center"/>
        <w:rPr>
          <w:b/>
          <w:bCs/>
          <w:i/>
          <w:color w:val="000000" w:themeColor="text1"/>
          <w:lang w:val="es-CR"/>
        </w:rPr>
      </w:pPr>
      <w:r w:rsidRPr="00CF7396">
        <w:rPr>
          <w:b/>
          <w:bCs/>
          <w:i/>
          <w:color w:val="000000" w:themeColor="text1"/>
          <w:lang w:val="es-CR"/>
        </w:rPr>
        <w:t>Balance general de entrada, terminados y circulante de los despachos que conforman el Modelo de</w:t>
      </w:r>
    </w:p>
    <w:p w14:paraId="275E9BE3" w14:textId="77777777" w:rsidR="00CF7396" w:rsidRPr="00CF7396" w:rsidRDefault="00CF7396" w:rsidP="00CF7396">
      <w:pPr>
        <w:jc w:val="center"/>
        <w:rPr>
          <w:b/>
          <w:bCs/>
          <w:i/>
          <w:color w:val="000000" w:themeColor="text1"/>
          <w:lang w:val="es-CR"/>
        </w:rPr>
      </w:pPr>
      <w:r w:rsidRPr="00CF7396">
        <w:rPr>
          <w:b/>
          <w:bCs/>
          <w:i/>
          <w:color w:val="000000" w:themeColor="text1"/>
          <w:lang w:val="es-CR"/>
        </w:rPr>
        <w:t xml:space="preserve"> Seguimiento y Sostenibilidad de los despachos (especializados) que conforman</w:t>
      </w:r>
    </w:p>
    <w:p w14:paraId="738F2476" w14:textId="77777777" w:rsidR="00CF7396" w:rsidRPr="00CF7396" w:rsidRDefault="00CF7396" w:rsidP="00CF7396">
      <w:pPr>
        <w:jc w:val="center"/>
        <w:rPr>
          <w:b/>
          <w:bCs/>
          <w:i/>
          <w:color w:val="000000" w:themeColor="text1"/>
          <w:lang w:val="es-CR"/>
        </w:rPr>
      </w:pPr>
      <w:r w:rsidRPr="00CF7396">
        <w:rPr>
          <w:b/>
          <w:bCs/>
          <w:i/>
          <w:color w:val="000000" w:themeColor="text1"/>
          <w:lang w:val="es-CR"/>
        </w:rPr>
        <w:t xml:space="preserve"> el Modelo de Seguimiento y Sostenibilidad en el Primer Circuito Judicial</w:t>
      </w:r>
    </w:p>
    <w:p w14:paraId="5576AA44" w14:textId="77777777" w:rsidR="00CF7396" w:rsidRPr="00CF7396" w:rsidRDefault="00CF7396" w:rsidP="00CF7396">
      <w:pPr>
        <w:jc w:val="center"/>
        <w:rPr>
          <w:b/>
          <w:bCs/>
          <w:i/>
          <w:color w:val="000000" w:themeColor="text1"/>
          <w:lang w:val="es-CR"/>
        </w:rPr>
      </w:pPr>
      <w:r w:rsidRPr="00CF7396">
        <w:rPr>
          <w:b/>
          <w:bCs/>
          <w:i/>
          <w:color w:val="000000" w:themeColor="text1"/>
          <w:lang w:val="es-CR"/>
        </w:rPr>
        <w:t xml:space="preserve"> de la Zona Atlántica, 2021</w:t>
      </w:r>
    </w:p>
    <w:tbl>
      <w:tblPr>
        <w:tblW w:w="5000" w:type="pct"/>
        <w:tblCellMar>
          <w:left w:w="70" w:type="dxa"/>
          <w:right w:w="70" w:type="dxa"/>
        </w:tblCellMar>
        <w:tblLook w:val="04A0" w:firstRow="1" w:lastRow="0" w:firstColumn="1" w:lastColumn="0" w:noHBand="0" w:noVBand="1"/>
      </w:tblPr>
      <w:tblGrid>
        <w:gridCol w:w="911"/>
        <w:gridCol w:w="1074"/>
        <w:gridCol w:w="486"/>
        <w:gridCol w:w="486"/>
        <w:gridCol w:w="486"/>
        <w:gridCol w:w="486"/>
        <w:gridCol w:w="486"/>
        <w:gridCol w:w="486"/>
        <w:gridCol w:w="486"/>
        <w:gridCol w:w="486"/>
        <w:gridCol w:w="486"/>
        <w:gridCol w:w="486"/>
        <w:gridCol w:w="486"/>
        <w:gridCol w:w="486"/>
        <w:gridCol w:w="717"/>
        <w:gridCol w:w="856"/>
      </w:tblGrid>
      <w:tr w:rsidR="00CF7396" w:rsidRPr="00CF7396" w14:paraId="0EAA5CB1" w14:textId="77777777" w:rsidTr="00AF369B">
        <w:trPr>
          <w:trHeight w:val="1080"/>
          <w:tblHeader/>
        </w:trPr>
        <w:tc>
          <w:tcPr>
            <w:tcW w:w="590" w:type="pct"/>
            <w:tcBorders>
              <w:top w:val="single" w:sz="8" w:space="0" w:color="auto"/>
              <w:left w:val="single" w:sz="8" w:space="0" w:color="auto"/>
              <w:bottom w:val="dotted" w:sz="4" w:space="0" w:color="auto"/>
              <w:right w:val="dotted" w:sz="4" w:space="0" w:color="auto"/>
            </w:tcBorders>
            <w:shd w:val="clear" w:color="000000" w:fill="203764"/>
            <w:vAlign w:val="center"/>
            <w:hideMark/>
          </w:tcPr>
          <w:p w14:paraId="446EE60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Nombre del despacho judicial</w:t>
            </w:r>
          </w:p>
        </w:tc>
        <w:tc>
          <w:tcPr>
            <w:tcW w:w="540" w:type="pct"/>
            <w:tcBorders>
              <w:top w:val="single" w:sz="8" w:space="0" w:color="auto"/>
              <w:left w:val="nil"/>
              <w:bottom w:val="dotted" w:sz="4" w:space="0" w:color="auto"/>
              <w:right w:val="dotted" w:sz="4" w:space="0" w:color="auto"/>
            </w:tcBorders>
            <w:shd w:val="clear" w:color="000000" w:fill="203764"/>
            <w:vAlign w:val="center"/>
            <w:hideMark/>
          </w:tcPr>
          <w:p w14:paraId="6D7B163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Variable estadística</w:t>
            </w:r>
          </w:p>
        </w:tc>
        <w:tc>
          <w:tcPr>
            <w:tcW w:w="246" w:type="pct"/>
            <w:tcBorders>
              <w:top w:val="single" w:sz="8" w:space="0" w:color="auto"/>
              <w:left w:val="nil"/>
              <w:bottom w:val="dotted" w:sz="4" w:space="0" w:color="auto"/>
              <w:right w:val="dotted" w:sz="4" w:space="0" w:color="auto"/>
            </w:tcBorders>
            <w:shd w:val="clear" w:color="D9E1F2" w:fill="203764"/>
            <w:vAlign w:val="center"/>
            <w:hideMark/>
          </w:tcPr>
          <w:p w14:paraId="260F67D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En</w:t>
            </w:r>
          </w:p>
        </w:tc>
        <w:tc>
          <w:tcPr>
            <w:tcW w:w="245" w:type="pct"/>
            <w:tcBorders>
              <w:top w:val="single" w:sz="8" w:space="0" w:color="auto"/>
              <w:left w:val="nil"/>
              <w:bottom w:val="dotted" w:sz="4" w:space="0" w:color="auto"/>
              <w:right w:val="dotted" w:sz="4" w:space="0" w:color="auto"/>
            </w:tcBorders>
            <w:shd w:val="clear" w:color="D9E1F2" w:fill="203764"/>
            <w:vAlign w:val="center"/>
            <w:hideMark/>
          </w:tcPr>
          <w:p w14:paraId="380F575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Feb</w:t>
            </w:r>
          </w:p>
        </w:tc>
        <w:tc>
          <w:tcPr>
            <w:tcW w:w="245" w:type="pct"/>
            <w:tcBorders>
              <w:top w:val="single" w:sz="8" w:space="0" w:color="auto"/>
              <w:left w:val="nil"/>
              <w:bottom w:val="dotted" w:sz="4" w:space="0" w:color="auto"/>
              <w:right w:val="dotted" w:sz="4" w:space="0" w:color="auto"/>
            </w:tcBorders>
            <w:shd w:val="clear" w:color="D9E1F2" w:fill="203764"/>
            <w:vAlign w:val="center"/>
            <w:hideMark/>
          </w:tcPr>
          <w:p w14:paraId="3F96228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Mar</w:t>
            </w:r>
          </w:p>
        </w:tc>
        <w:tc>
          <w:tcPr>
            <w:tcW w:w="246" w:type="pct"/>
            <w:tcBorders>
              <w:top w:val="single" w:sz="8" w:space="0" w:color="auto"/>
              <w:left w:val="nil"/>
              <w:bottom w:val="dotted" w:sz="4" w:space="0" w:color="auto"/>
              <w:right w:val="dotted" w:sz="4" w:space="0" w:color="auto"/>
            </w:tcBorders>
            <w:shd w:val="clear" w:color="D9E1F2" w:fill="203764"/>
            <w:vAlign w:val="center"/>
            <w:hideMark/>
          </w:tcPr>
          <w:p w14:paraId="7DB6ABC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Abr</w:t>
            </w:r>
          </w:p>
        </w:tc>
        <w:tc>
          <w:tcPr>
            <w:tcW w:w="246" w:type="pct"/>
            <w:tcBorders>
              <w:top w:val="single" w:sz="8" w:space="0" w:color="auto"/>
              <w:left w:val="nil"/>
              <w:bottom w:val="dotted" w:sz="4" w:space="0" w:color="auto"/>
              <w:right w:val="dotted" w:sz="4" w:space="0" w:color="auto"/>
            </w:tcBorders>
            <w:shd w:val="clear" w:color="D9E1F2" w:fill="203764"/>
            <w:vAlign w:val="center"/>
            <w:hideMark/>
          </w:tcPr>
          <w:p w14:paraId="63E8768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May</w:t>
            </w:r>
          </w:p>
        </w:tc>
        <w:tc>
          <w:tcPr>
            <w:tcW w:w="245" w:type="pct"/>
            <w:tcBorders>
              <w:top w:val="single" w:sz="8" w:space="0" w:color="auto"/>
              <w:left w:val="nil"/>
              <w:bottom w:val="dotted" w:sz="4" w:space="0" w:color="auto"/>
              <w:right w:val="dotted" w:sz="4" w:space="0" w:color="auto"/>
            </w:tcBorders>
            <w:shd w:val="clear" w:color="D9E1F2" w:fill="203764"/>
            <w:vAlign w:val="center"/>
            <w:hideMark/>
          </w:tcPr>
          <w:p w14:paraId="68185B2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Jun</w:t>
            </w:r>
          </w:p>
        </w:tc>
        <w:tc>
          <w:tcPr>
            <w:tcW w:w="246" w:type="pct"/>
            <w:tcBorders>
              <w:top w:val="single" w:sz="8" w:space="0" w:color="auto"/>
              <w:left w:val="nil"/>
              <w:bottom w:val="dotted" w:sz="4" w:space="0" w:color="auto"/>
              <w:right w:val="dotted" w:sz="4" w:space="0" w:color="auto"/>
            </w:tcBorders>
            <w:shd w:val="clear" w:color="D9E1F2" w:fill="203764"/>
            <w:vAlign w:val="center"/>
            <w:hideMark/>
          </w:tcPr>
          <w:p w14:paraId="096EE5C1"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Jul</w:t>
            </w:r>
          </w:p>
        </w:tc>
        <w:tc>
          <w:tcPr>
            <w:tcW w:w="246" w:type="pct"/>
            <w:tcBorders>
              <w:top w:val="single" w:sz="8" w:space="0" w:color="auto"/>
              <w:left w:val="nil"/>
              <w:bottom w:val="dotted" w:sz="4" w:space="0" w:color="auto"/>
              <w:right w:val="dotted" w:sz="4" w:space="0" w:color="auto"/>
            </w:tcBorders>
            <w:shd w:val="clear" w:color="D9E1F2" w:fill="203764"/>
            <w:vAlign w:val="center"/>
            <w:hideMark/>
          </w:tcPr>
          <w:p w14:paraId="7E70E21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Agos</w:t>
            </w:r>
          </w:p>
        </w:tc>
        <w:tc>
          <w:tcPr>
            <w:tcW w:w="245" w:type="pct"/>
            <w:tcBorders>
              <w:top w:val="single" w:sz="8" w:space="0" w:color="auto"/>
              <w:left w:val="nil"/>
              <w:bottom w:val="dotted" w:sz="4" w:space="0" w:color="auto"/>
              <w:right w:val="dotted" w:sz="4" w:space="0" w:color="auto"/>
            </w:tcBorders>
            <w:shd w:val="clear" w:color="D9E1F2" w:fill="203764"/>
            <w:vAlign w:val="center"/>
            <w:hideMark/>
          </w:tcPr>
          <w:p w14:paraId="4B9FA44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Set</w:t>
            </w:r>
          </w:p>
        </w:tc>
        <w:tc>
          <w:tcPr>
            <w:tcW w:w="246" w:type="pct"/>
            <w:tcBorders>
              <w:top w:val="single" w:sz="8" w:space="0" w:color="auto"/>
              <w:left w:val="nil"/>
              <w:bottom w:val="dotted" w:sz="4" w:space="0" w:color="auto"/>
              <w:right w:val="dotted" w:sz="4" w:space="0" w:color="auto"/>
            </w:tcBorders>
            <w:shd w:val="clear" w:color="D9E1F2" w:fill="203764"/>
            <w:vAlign w:val="center"/>
            <w:hideMark/>
          </w:tcPr>
          <w:p w14:paraId="466D98D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Oct</w:t>
            </w:r>
          </w:p>
        </w:tc>
        <w:tc>
          <w:tcPr>
            <w:tcW w:w="245" w:type="pct"/>
            <w:tcBorders>
              <w:top w:val="single" w:sz="8" w:space="0" w:color="auto"/>
              <w:left w:val="nil"/>
              <w:bottom w:val="dotted" w:sz="4" w:space="0" w:color="auto"/>
              <w:right w:val="dotted" w:sz="4" w:space="0" w:color="auto"/>
            </w:tcBorders>
            <w:shd w:val="clear" w:color="D9E1F2" w:fill="203764"/>
            <w:vAlign w:val="center"/>
            <w:hideMark/>
          </w:tcPr>
          <w:p w14:paraId="758D95F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Nov</w:t>
            </w:r>
          </w:p>
        </w:tc>
        <w:tc>
          <w:tcPr>
            <w:tcW w:w="246" w:type="pct"/>
            <w:tcBorders>
              <w:top w:val="single" w:sz="8" w:space="0" w:color="auto"/>
              <w:left w:val="nil"/>
              <w:bottom w:val="dotted" w:sz="4" w:space="0" w:color="auto"/>
              <w:right w:val="dotted" w:sz="4" w:space="0" w:color="auto"/>
            </w:tcBorders>
            <w:shd w:val="clear" w:color="D9E1F2" w:fill="203764"/>
            <w:vAlign w:val="center"/>
            <w:hideMark/>
          </w:tcPr>
          <w:p w14:paraId="53C0375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Dic</w:t>
            </w:r>
          </w:p>
        </w:tc>
        <w:tc>
          <w:tcPr>
            <w:tcW w:w="416" w:type="pct"/>
            <w:tcBorders>
              <w:top w:val="single" w:sz="8" w:space="0" w:color="auto"/>
              <w:left w:val="nil"/>
              <w:bottom w:val="dotted" w:sz="4" w:space="0" w:color="auto"/>
              <w:right w:val="dotted" w:sz="4" w:space="0" w:color="auto"/>
            </w:tcBorders>
            <w:shd w:val="clear" w:color="D9E1F2" w:fill="203764"/>
            <w:vAlign w:val="center"/>
            <w:hideMark/>
          </w:tcPr>
          <w:p w14:paraId="10171CF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Promedio mensual de Entrada</w:t>
            </w:r>
          </w:p>
        </w:tc>
        <w:tc>
          <w:tcPr>
            <w:tcW w:w="506" w:type="pct"/>
            <w:tcBorders>
              <w:top w:val="single" w:sz="8" w:space="0" w:color="auto"/>
              <w:left w:val="nil"/>
              <w:bottom w:val="dotted" w:sz="4" w:space="0" w:color="auto"/>
              <w:right w:val="dotted" w:sz="4" w:space="0" w:color="auto"/>
            </w:tcBorders>
            <w:shd w:val="clear" w:color="D9E1F2" w:fill="203764"/>
            <w:vAlign w:val="center"/>
            <w:hideMark/>
          </w:tcPr>
          <w:p w14:paraId="61BF9B01"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Promedio mensual de Terminados</w:t>
            </w:r>
          </w:p>
        </w:tc>
      </w:tr>
      <w:tr w:rsidR="00CF7396" w:rsidRPr="00CF7396" w14:paraId="3CBE0CBA" w14:textId="77777777" w:rsidTr="00AF369B">
        <w:trPr>
          <w:trHeight w:val="300"/>
        </w:trPr>
        <w:tc>
          <w:tcPr>
            <w:tcW w:w="590" w:type="pct"/>
            <w:vMerge w:val="restart"/>
            <w:tcBorders>
              <w:top w:val="nil"/>
              <w:left w:val="single" w:sz="8" w:space="0" w:color="auto"/>
              <w:bottom w:val="dotted" w:sz="4" w:space="0" w:color="auto"/>
              <w:right w:val="dotted" w:sz="4" w:space="0" w:color="auto"/>
            </w:tcBorders>
            <w:shd w:val="clear" w:color="auto" w:fill="auto"/>
            <w:vAlign w:val="center"/>
            <w:hideMark/>
          </w:tcPr>
          <w:p w14:paraId="38B2B84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Juzgado Agrario del ICJ Zona Atlántica</w:t>
            </w:r>
          </w:p>
        </w:tc>
        <w:tc>
          <w:tcPr>
            <w:tcW w:w="540" w:type="pct"/>
            <w:tcBorders>
              <w:top w:val="nil"/>
              <w:left w:val="nil"/>
              <w:bottom w:val="dotted" w:sz="4" w:space="0" w:color="auto"/>
              <w:right w:val="dotted" w:sz="4" w:space="0" w:color="auto"/>
            </w:tcBorders>
            <w:shd w:val="clear" w:color="auto" w:fill="auto"/>
            <w:noWrap/>
            <w:vAlign w:val="center"/>
            <w:hideMark/>
          </w:tcPr>
          <w:p w14:paraId="3B54950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Entrada</w:t>
            </w:r>
          </w:p>
        </w:tc>
        <w:tc>
          <w:tcPr>
            <w:tcW w:w="246" w:type="pct"/>
            <w:tcBorders>
              <w:top w:val="nil"/>
              <w:left w:val="nil"/>
              <w:bottom w:val="dotted" w:sz="4" w:space="0" w:color="auto"/>
              <w:right w:val="dotted" w:sz="4" w:space="0" w:color="auto"/>
            </w:tcBorders>
            <w:shd w:val="clear" w:color="auto" w:fill="auto"/>
            <w:noWrap/>
            <w:vAlign w:val="center"/>
            <w:hideMark/>
          </w:tcPr>
          <w:p w14:paraId="36E5CC1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44</w:t>
            </w:r>
          </w:p>
        </w:tc>
        <w:tc>
          <w:tcPr>
            <w:tcW w:w="245" w:type="pct"/>
            <w:tcBorders>
              <w:top w:val="nil"/>
              <w:left w:val="nil"/>
              <w:bottom w:val="dotted" w:sz="4" w:space="0" w:color="auto"/>
              <w:right w:val="dotted" w:sz="4" w:space="0" w:color="auto"/>
            </w:tcBorders>
            <w:shd w:val="clear" w:color="auto" w:fill="auto"/>
            <w:noWrap/>
            <w:vAlign w:val="center"/>
            <w:hideMark/>
          </w:tcPr>
          <w:p w14:paraId="28D4529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57</w:t>
            </w:r>
          </w:p>
        </w:tc>
        <w:tc>
          <w:tcPr>
            <w:tcW w:w="245" w:type="pct"/>
            <w:tcBorders>
              <w:top w:val="nil"/>
              <w:left w:val="nil"/>
              <w:bottom w:val="dotted" w:sz="4" w:space="0" w:color="auto"/>
              <w:right w:val="dotted" w:sz="4" w:space="0" w:color="auto"/>
            </w:tcBorders>
            <w:shd w:val="clear" w:color="auto" w:fill="auto"/>
            <w:noWrap/>
            <w:vAlign w:val="center"/>
            <w:hideMark/>
          </w:tcPr>
          <w:p w14:paraId="7470834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24</w:t>
            </w:r>
          </w:p>
        </w:tc>
        <w:tc>
          <w:tcPr>
            <w:tcW w:w="246" w:type="pct"/>
            <w:tcBorders>
              <w:top w:val="nil"/>
              <w:left w:val="nil"/>
              <w:bottom w:val="dotted" w:sz="4" w:space="0" w:color="auto"/>
              <w:right w:val="dotted" w:sz="4" w:space="0" w:color="auto"/>
            </w:tcBorders>
            <w:shd w:val="clear" w:color="auto" w:fill="auto"/>
            <w:noWrap/>
            <w:vAlign w:val="center"/>
            <w:hideMark/>
          </w:tcPr>
          <w:p w14:paraId="1B6A202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35</w:t>
            </w:r>
          </w:p>
        </w:tc>
        <w:tc>
          <w:tcPr>
            <w:tcW w:w="246" w:type="pct"/>
            <w:tcBorders>
              <w:top w:val="nil"/>
              <w:left w:val="nil"/>
              <w:bottom w:val="dotted" w:sz="4" w:space="0" w:color="auto"/>
              <w:right w:val="dotted" w:sz="4" w:space="0" w:color="auto"/>
            </w:tcBorders>
            <w:shd w:val="clear" w:color="auto" w:fill="auto"/>
            <w:noWrap/>
            <w:vAlign w:val="center"/>
            <w:hideMark/>
          </w:tcPr>
          <w:p w14:paraId="515F4EE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41</w:t>
            </w:r>
          </w:p>
        </w:tc>
        <w:tc>
          <w:tcPr>
            <w:tcW w:w="245" w:type="pct"/>
            <w:tcBorders>
              <w:top w:val="nil"/>
              <w:left w:val="nil"/>
              <w:bottom w:val="dotted" w:sz="4" w:space="0" w:color="auto"/>
              <w:right w:val="dotted" w:sz="4" w:space="0" w:color="auto"/>
            </w:tcBorders>
            <w:shd w:val="clear" w:color="auto" w:fill="auto"/>
            <w:noWrap/>
            <w:vAlign w:val="center"/>
            <w:hideMark/>
          </w:tcPr>
          <w:p w14:paraId="5062E79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48</w:t>
            </w:r>
          </w:p>
        </w:tc>
        <w:tc>
          <w:tcPr>
            <w:tcW w:w="246" w:type="pct"/>
            <w:tcBorders>
              <w:top w:val="nil"/>
              <w:left w:val="nil"/>
              <w:bottom w:val="dotted" w:sz="4" w:space="0" w:color="auto"/>
              <w:right w:val="dotted" w:sz="4" w:space="0" w:color="auto"/>
            </w:tcBorders>
            <w:shd w:val="clear" w:color="auto" w:fill="auto"/>
            <w:noWrap/>
            <w:vAlign w:val="center"/>
            <w:hideMark/>
          </w:tcPr>
          <w:p w14:paraId="7D5C108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21</w:t>
            </w:r>
          </w:p>
        </w:tc>
        <w:tc>
          <w:tcPr>
            <w:tcW w:w="246" w:type="pct"/>
            <w:tcBorders>
              <w:top w:val="nil"/>
              <w:left w:val="nil"/>
              <w:bottom w:val="dotted" w:sz="4" w:space="0" w:color="auto"/>
              <w:right w:val="dotted" w:sz="4" w:space="0" w:color="auto"/>
            </w:tcBorders>
            <w:shd w:val="clear" w:color="auto" w:fill="auto"/>
            <w:noWrap/>
            <w:vAlign w:val="center"/>
            <w:hideMark/>
          </w:tcPr>
          <w:p w14:paraId="4FF3087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w:t>
            </w:r>
          </w:p>
        </w:tc>
        <w:tc>
          <w:tcPr>
            <w:tcW w:w="245" w:type="pct"/>
            <w:tcBorders>
              <w:top w:val="nil"/>
              <w:left w:val="nil"/>
              <w:bottom w:val="dotted" w:sz="4" w:space="0" w:color="auto"/>
              <w:right w:val="dotted" w:sz="4" w:space="0" w:color="auto"/>
            </w:tcBorders>
            <w:shd w:val="clear" w:color="auto" w:fill="auto"/>
            <w:noWrap/>
            <w:vAlign w:val="center"/>
            <w:hideMark/>
          </w:tcPr>
          <w:p w14:paraId="3998E67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22</w:t>
            </w:r>
          </w:p>
        </w:tc>
        <w:tc>
          <w:tcPr>
            <w:tcW w:w="246" w:type="pct"/>
            <w:tcBorders>
              <w:top w:val="nil"/>
              <w:left w:val="nil"/>
              <w:bottom w:val="dotted" w:sz="4" w:space="0" w:color="auto"/>
              <w:right w:val="dotted" w:sz="4" w:space="0" w:color="auto"/>
            </w:tcBorders>
            <w:shd w:val="clear" w:color="auto" w:fill="auto"/>
            <w:noWrap/>
            <w:vAlign w:val="center"/>
            <w:hideMark/>
          </w:tcPr>
          <w:p w14:paraId="39CF562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w:t>
            </w:r>
          </w:p>
        </w:tc>
        <w:tc>
          <w:tcPr>
            <w:tcW w:w="245" w:type="pct"/>
            <w:tcBorders>
              <w:top w:val="nil"/>
              <w:left w:val="nil"/>
              <w:bottom w:val="dotted" w:sz="4" w:space="0" w:color="auto"/>
              <w:right w:val="dotted" w:sz="4" w:space="0" w:color="auto"/>
            </w:tcBorders>
            <w:shd w:val="clear" w:color="auto" w:fill="auto"/>
            <w:noWrap/>
            <w:vAlign w:val="center"/>
            <w:hideMark/>
          </w:tcPr>
          <w:p w14:paraId="6227E81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29</w:t>
            </w:r>
          </w:p>
        </w:tc>
        <w:tc>
          <w:tcPr>
            <w:tcW w:w="246" w:type="pct"/>
            <w:tcBorders>
              <w:top w:val="nil"/>
              <w:left w:val="nil"/>
              <w:bottom w:val="dotted" w:sz="4" w:space="0" w:color="auto"/>
              <w:right w:val="dotted" w:sz="4" w:space="0" w:color="auto"/>
            </w:tcBorders>
            <w:shd w:val="clear" w:color="auto" w:fill="auto"/>
            <w:noWrap/>
            <w:vAlign w:val="center"/>
            <w:hideMark/>
          </w:tcPr>
          <w:p w14:paraId="300055E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86</w:t>
            </w:r>
          </w:p>
        </w:tc>
        <w:tc>
          <w:tcPr>
            <w:tcW w:w="416" w:type="pct"/>
            <w:vMerge w:val="restart"/>
            <w:tcBorders>
              <w:top w:val="nil"/>
              <w:left w:val="dotted" w:sz="4" w:space="0" w:color="auto"/>
              <w:bottom w:val="dotted" w:sz="4" w:space="0" w:color="auto"/>
              <w:right w:val="dotted" w:sz="4" w:space="0" w:color="auto"/>
            </w:tcBorders>
            <w:shd w:val="clear" w:color="auto" w:fill="auto"/>
            <w:noWrap/>
            <w:vAlign w:val="center"/>
            <w:hideMark/>
          </w:tcPr>
          <w:p w14:paraId="17EBA58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39</w:t>
            </w:r>
          </w:p>
        </w:tc>
        <w:tc>
          <w:tcPr>
            <w:tcW w:w="506" w:type="pct"/>
            <w:vMerge w:val="restart"/>
            <w:tcBorders>
              <w:top w:val="nil"/>
              <w:left w:val="dotted" w:sz="4" w:space="0" w:color="auto"/>
              <w:bottom w:val="dotted" w:sz="4" w:space="0" w:color="auto"/>
              <w:right w:val="single" w:sz="8" w:space="0" w:color="auto"/>
            </w:tcBorders>
            <w:shd w:val="clear" w:color="auto" w:fill="auto"/>
            <w:noWrap/>
            <w:vAlign w:val="center"/>
            <w:hideMark/>
          </w:tcPr>
          <w:p w14:paraId="463A117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18</w:t>
            </w:r>
          </w:p>
        </w:tc>
      </w:tr>
      <w:tr w:rsidR="00CF7396" w:rsidRPr="00CF7396" w14:paraId="67AB48D6" w14:textId="77777777" w:rsidTr="00AF369B">
        <w:trPr>
          <w:trHeight w:val="300"/>
        </w:trPr>
        <w:tc>
          <w:tcPr>
            <w:tcW w:w="590" w:type="pct"/>
            <w:vMerge/>
            <w:tcBorders>
              <w:top w:val="nil"/>
              <w:left w:val="single" w:sz="8" w:space="0" w:color="auto"/>
              <w:bottom w:val="dotted" w:sz="4" w:space="0" w:color="auto"/>
              <w:right w:val="dotted" w:sz="4" w:space="0" w:color="auto"/>
            </w:tcBorders>
            <w:vAlign w:val="center"/>
            <w:hideMark/>
          </w:tcPr>
          <w:p w14:paraId="61FB225F"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auto" w:fill="auto"/>
            <w:noWrap/>
            <w:vAlign w:val="center"/>
            <w:hideMark/>
          </w:tcPr>
          <w:p w14:paraId="7A627871"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Terminados</w:t>
            </w:r>
          </w:p>
        </w:tc>
        <w:tc>
          <w:tcPr>
            <w:tcW w:w="246" w:type="pct"/>
            <w:tcBorders>
              <w:top w:val="nil"/>
              <w:left w:val="nil"/>
              <w:bottom w:val="dotted" w:sz="4" w:space="0" w:color="auto"/>
              <w:right w:val="dotted" w:sz="4" w:space="0" w:color="auto"/>
            </w:tcBorders>
            <w:shd w:val="clear" w:color="auto" w:fill="auto"/>
            <w:noWrap/>
            <w:vAlign w:val="center"/>
            <w:hideMark/>
          </w:tcPr>
          <w:p w14:paraId="2EB3706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w:t>
            </w:r>
          </w:p>
        </w:tc>
        <w:tc>
          <w:tcPr>
            <w:tcW w:w="245" w:type="pct"/>
            <w:tcBorders>
              <w:top w:val="nil"/>
              <w:left w:val="nil"/>
              <w:bottom w:val="dotted" w:sz="4" w:space="0" w:color="auto"/>
              <w:right w:val="dotted" w:sz="4" w:space="0" w:color="auto"/>
            </w:tcBorders>
            <w:shd w:val="clear" w:color="auto" w:fill="auto"/>
            <w:noWrap/>
            <w:vAlign w:val="center"/>
            <w:hideMark/>
          </w:tcPr>
          <w:p w14:paraId="34EBE1E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w:t>
            </w:r>
          </w:p>
        </w:tc>
        <w:tc>
          <w:tcPr>
            <w:tcW w:w="245" w:type="pct"/>
            <w:tcBorders>
              <w:top w:val="nil"/>
              <w:left w:val="nil"/>
              <w:bottom w:val="dotted" w:sz="4" w:space="0" w:color="auto"/>
              <w:right w:val="dotted" w:sz="4" w:space="0" w:color="auto"/>
            </w:tcBorders>
            <w:shd w:val="clear" w:color="auto" w:fill="auto"/>
            <w:noWrap/>
            <w:vAlign w:val="center"/>
            <w:hideMark/>
          </w:tcPr>
          <w:p w14:paraId="584552F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25</w:t>
            </w:r>
          </w:p>
        </w:tc>
        <w:tc>
          <w:tcPr>
            <w:tcW w:w="246" w:type="pct"/>
            <w:tcBorders>
              <w:top w:val="nil"/>
              <w:left w:val="nil"/>
              <w:bottom w:val="dotted" w:sz="4" w:space="0" w:color="auto"/>
              <w:right w:val="dotted" w:sz="4" w:space="0" w:color="auto"/>
            </w:tcBorders>
            <w:shd w:val="clear" w:color="auto" w:fill="auto"/>
            <w:noWrap/>
            <w:vAlign w:val="center"/>
            <w:hideMark/>
          </w:tcPr>
          <w:p w14:paraId="768DEDC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21</w:t>
            </w:r>
          </w:p>
        </w:tc>
        <w:tc>
          <w:tcPr>
            <w:tcW w:w="246" w:type="pct"/>
            <w:tcBorders>
              <w:top w:val="nil"/>
              <w:left w:val="nil"/>
              <w:bottom w:val="dotted" w:sz="4" w:space="0" w:color="auto"/>
              <w:right w:val="dotted" w:sz="4" w:space="0" w:color="auto"/>
            </w:tcBorders>
            <w:shd w:val="clear" w:color="auto" w:fill="auto"/>
            <w:noWrap/>
            <w:vAlign w:val="center"/>
            <w:hideMark/>
          </w:tcPr>
          <w:p w14:paraId="3DE8EAA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w:t>
            </w:r>
          </w:p>
        </w:tc>
        <w:tc>
          <w:tcPr>
            <w:tcW w:w="245" w:type="pct"/>
            <w:tcBorders>
              <w:top w:val="nil"/>
              <w:left w:val="nil"/>
              <w:bottom w:val="dotted" w:sz="4" w:space="0" w:color="auto"/>
              <w:right w:val="dotted" w:sz="4" w:space="0" w:color="auto"/>
            </w:tcBorders>
            <w:shd w:val="clear" w:color="auto" w:fill="auto"/>
            <w:noWrap/>
            <w:vAlign w:val="center"/>
            <w:hideMark/>
          </w:tcPr>
          <w:p w14:paraId="2B7DE07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w:t>
            </w:r>
          </w:p>
        </w:tc>
        <w:tc>
          <w:tcPr>
            <w:tcW w:w="246" w:type="pct"/>
            <w:tcBorders>
              <w:top w:val="nil"/>
              <w:left w:val="nil"/>
              <w:bottom w:val="dotted" w:sz="4" w:space="0" w:color="auto"/>
              <w:right w:val="dotted" w:sz="4" w:space="0" w:color="auto"/>
            </w:tcBorders>
            <w:shd w:val="clear" w:color="auto" w:fill="auto"/>
            <w:noWrap/>
            <w:vAlign w:val="center"/>
            <w:hideMark/>
          </w:tcPr>
          <w:p w14:paraId="1718A44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w:t>
            </w:r>
          </w:p>
        </w:tc>
        <w:tc>
          <w:tcPr>
            <w:tcW w:w="246" w:type="pct"/>
            <w:tcBorders>
              <w:top w:val="nil"/>
              <w:left w:val="nil"/>
              <w:bottom w:val="dotted" w:sz="4" w:space="0" w:color="auto"/>
              <w:right w:val="dotted" w:sz="4" w:space="0" w:color="auto"/>
            </w:tcBorders>
            <w:shd w:val="clear" w:color="auto" w:fill="auto"/>
            <w:noWrap/>
            <w:vAlign w:val="center"/>
            <w:hideMark/>
          </w:tcPr>
          <w:p w14:paraId="2763CF8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27</w:t>
            </w:r>
          </w:p>
        </w:tc>
        <w:tc>
          <w:tcPr>
            <w:tcW w:w="245" w:type="pct"/>
            <w:tcBorders>
              <w:top w:val="nil"/>
              <w:left w:val="nil"/>
              <w:bottom w:val="dotted" w:sz="4" w:space="0" w:color="auto"/>
              <w:right w:val="dotted" w:sz="4" w:space="0" w:color="auto"/>
            </w:tcBorders>
            <w:shd w:val="clear" w:color="auto" w:fill="auto"/>
            <w:noWrap/>
            <w:vAlign w:val="center"/>
            <w:hideMark/>
          </w:tcPr>
          <w:p w14:paraId="3B1C3DD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33</w:t>
            </w:r>
          </w:p>
        </w:tc>
        <w:tc>
          <w:tcPr>
            <w:tcW w:w="246" w:type="pct"/>
            <w:tcBorders>
              <w:top w:val="nil"/>
              <w:left w:val="nil"/>
              <w:bottom w:val="dotted" w:sz="4" w:space="0" w:color="auto"/>
              <w:right w:val="dotted" w:sz="4" w:space="0" w:color="auto"/>
            </w:tcBorders>
            <w:shd w:val="clear" w:color="auto" w:fill="auto"/>
            <w:noWrap/>
            <w:vAlign w:val="center"/>
            <w:hideMark/>
          </w:tcPr>
          <w:p w14:paraId="457C260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w:t>
            </w:r>
          </w:p>
        </w:tc>
        <w:tc>
          <w:tcPr>
            <w:tcW w:w="245" w:type="pct"/>
            <w:tcBorders>
              <w:top w:val="nil"/>
              <w:left w:val="nil"/>
              <w:bottom w:val="dotted" w:sz="4" w:space="0" w:color="auto"/>
              <w:right w:val="dotted" w:sz="4" w:space="0" w:color="auto"/>
            </w:tcBorders>
            <w:shd w:val="clear" w:color="auto" w:fill="auto"/>
            <w:noWrap/>
            <w:vAlign w:val="center"/>
            <w:hideMark/>
          </w:tcPr>
          <w:p w14:paraId="46CB059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24</w:t>
            </w:r>
          </w:p>
        </w:tc>
        <w:tc>
          <w:tcPr>
            <w:tcW w:w="246" w:type="pct"/>
            <w:tcBorders>
              <w:top w:val="nil"/>
              <w:left w:val="nil"/>
              <w:bottom w:val="dotted" w:sz="4" w:space="0" w:color="auto"/>
              <w:right w:val="dotted" w:sz="4" w:space="0" w:color="auto"/>
            </w:tcBorders>
            <w:shd w:val="clear" w:color="auto" w:fill="auto"/>
            <w:noWrap/>
            <w:vAlign w:val="center"/>
            <w:hideMark/>
          </w:tcPr>
          <w:p w14:paraId="75A1B2F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w:t>
            </w:r>
          </w:p>
        </w:tc>
        <w:tc>
          <w:tcPr>
            <w:tcW w:w="416" w:type="pct"/>
            <w:vMerge/>
            <w:tcBorders>
              <w:top w:val="nil"/>
              <w:left w:val="dotted" w:sz="4" w:space="0" w:color="auto"/>
              <w:bottom w:val="dotted" w:sz="4" w:space="0" w:color="auto"/>
              <w:right w:val="dotted" w:sz="4" w:space="0" w:color="auto"/>
            </w:tcBorders>
            <w:vAlign w:val="center"/>
            <w:hideMark/>
          </w:tcPr>
          <w:p w14:paraId="575C84E7"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dotted" w:sz="4" w:space="0" w:color="auto"/>
              <w:right w:val="single" w:sz="8" w:space="0" w:color="auto"/>
            </w:tcBorders>
            <w:vAlign w:val="center"/>
            <w:hideMark/>
          </w:tcPr>
          <w:p w14:paraId="13636877" w14:textId="77777777" w:rsidR="00CF7396" w:rsidRPr="00CF7396" w:rsidRDefault="00CF7396" w:rsidP="00CF7396">
            <w:pPr>
              <w:rPr>
                <w:b/>
                <w:bCs/>
                <w:color w:val="000000" w:themeColor="text1"/>
                <w:lang w:val="es-CR" w:eastAsia="es-CR"/>
              </w:rPr>
            </w:pPr>
          </w:p>
        </w:tc>
      </w:tr>
      <w:tr w:rsidR="00CF7396" w:rsidRPr="00CF7396" w14:paraId="75C3985B" w14:textId="77777777" w:rsidTr="00AF369B">
        <w:trPr>
          <w:trHeight w:val="300"/>
        </w:trPr>
        <w:tc>
          <w:tcPr>
            <w:tcW w:w="590" w:type="pct"/>
            <w:vMerge/>
            <w:tcBorders>
              <w:top w:val="nil"/>
              <w:left w:val="single" w:sz="8" w:space="0" w:color="auto"/>
              <w:bottom w:val="dotted" w:sz="4" w:space="0" w:color="auto"/>
              <w:right w:val="dotted" w:sz="4" w:space="0" w:color="auto"/>
            </w:tcBorders>
            <w:vAlign w:val="center"/>
            <w:hideMark/>
          </w:tcPr>
          <w:p w14:paraId="31162F02"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auto" w:fill="auto"/>
            <w:noWrap/>
            <w:vAlign w:val="center"/>
            <w:hideMark/>
          </w:tcPr>
          <w:p w14:paraId="3B161D7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Circulante final</w:t>
            </w:r>
          </w:p>
        </w:tc>
        <w:tc>
          <w:tcPr>
            <w:tcW w:w="246" w:type="pct"/>
            <w:tcBorders>
              <w:top w:val="nil"/>
              <w:left w:val="nil"/>
              <w:bottom w:val="dotted" w:sz="4" w:space="0" w:color="auto"/>
              <w:right w:val="dotted" w:sz="4" w:space="0" w:color="auto"/>
            </w:tcBorders>
            <w:shd w:val="clear" w:color="auto" w:fill="auto"/>
            <w:noWrap/>
            <w:vAlign w:val="center"/>
            <w:hideMark/>
          </w:tcPr>
          <w:p w14:paraId="5A7551D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661</w:t>
            </w:r>
          </w:p>
        </w:tc>
        <w:tc>
          <w:tcPr>
            <w:tcW w:w="245" w:type="pct"/>
            <w:tcBorders>
              <w:top w:val="nil"/>
              <w:left w:val="nil"/>
              <w:bottom w:val="dotted" w:sz="4" w:space="0" w:color="auto"/>
              <w:right w:val="dotted" w:sz="4" w:space="0" w:color="auto"/>
            </w:tcBorders>
            <w:shd w:val="clear" w:color="auto" w:fill="auto"/>
            <w:noWrap/>
            <w:vAlign w:val="center"/>
            <w:hideMark/>
          </w:tcPr>
          <w:p w14:paraId="61D1AFB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715</w:t>
            </w:r>
          </w:p>
        </w:tc>
        <w:tc>
          <w:tcPr>
            <w:tcW w:w="245" w:type="pct"/>
            <w:tcBorders>
              <w:top w:val="nil"/>
              <w:left w:val="nil"/>
              <w:bottom w:val="dotted" w:sz="4" w:space="0" w:color="auto"/>
              <w:right w:val="dotted" w:sz="4" w:space="0" w:color="auto"/>
            </w:tcBorders>
            <w:shd w:val="clear" w:color="auto" w:fill="auto"/>
            <w:noWrap/>
            <w:vAlign w:val="center"/>
            <w:hideMark/>
          </w:tcPr>
          <w:p w14:paraId="444F276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706</w:t>
            </w:r>
          </w:p>
        </w:tc>
        <w:tc>
          <w:tcPr>
            <w:tcW w:w="246" w:type="pct"/>
            <w:tcBorders>
              <w:top w:val="nil"/>
              <w:left w:val="nil"/>
              <w:bottom w:val="dotted" w:sz="4" w:space="0" w:color="auto"/>
              <w:right w:val="dotted" w:sz="4" w:space="0" w:color="auto"/>
            </w:tcBorders>
            <w:shd w:val="clear" w:color="auto" w:fill="auto"/>
            <w:noWrap/>
            <w:vAlign w:val="center"/>
            <w:hideMark/>
          </w:tcPr>
          <w:p w14:paraId="2BA729B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729</w:t>
            </w:r>
          </w:p>
        </w:tc>
        <w:tc>
          <w:tcPr>
            <w:tcW w:w="246" w:type="pct"/>
            <w:tcBorders>
              <w:top w:val="nil"/>
              <w:left w:val="nil"/>
              <w:bottom w:val="dotted" w:sz="4" w:space="0" w:color="auto"/>
              <w:right w:val="dotted" w:sz="4" w:space="0" w:color="auto"/>
            </w:tcBorders>
            <w:shd w:val="clear" w:color="auto" w:fill="auto"/>
            <w:noWrap/>
            <w:vAlign w:val="center"/>
            <w:hideMark/>
          </w:tcPr>
          <w:p w14:paraId="46F7BA5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756</w:t>
            </w:r>
          </w:p>
        </w:tc>
        <w:tc>
          <w:tcPr>
            <w:tcW w:w="245" w:type="pct"/>
            <w:tcBorders>
              <w:top w:val="nil"/>
              <w:left w:val="nil"/>
              <w:bottom w:val="dotted" w:sz="4" w:space="0" w:color="auto"/>
              <w:right w:val="dotted" w:sz="4" w:space="0" w:color="auto"/>
            </w:tcBorders>
            <w:shd w:val="clear" w:color="auto" w:fill="auto"/>
            <w:noWrap/>
            <w:vAlign w:val="center"/>
            <w:hideMark/>
          </w:tcPr>
          <w:p w14:paraId="28B3FD7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791</w:t>
            </w:r>
          </w:p>
        </w:tc>
        <w:tc>
          <w:tcPr>
            <w:tcW w:w="246" w:type="pct"/>
            <w:tcBorders>
              <w:top w:val="nil"/>
              <w:left w:val="nil"/>
              <w:bottom w:val="dotted" w:sz="4" w:space="0" w:color="auto"/>
              <w:right w:val="dotted" w:sz="4" w:space="0" w:color="auto"/>
            </w:tcBorders>
            <w:shd w:val="clear" w:color="auto" w:fill="auto"/>
            <w:noWrap/>
            <w:vAlign w:val="center"/>
            <w:hideMark/>
          </w:tcPr>
          <w:p w14:paraId="1C10572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792</w:t>
            </w:r>
          </w:p>
        </w:tc>
        <w:tc>
          <w:tcPr>
            <w:tcW w:w="246" w:type="pct"/>
            <w:tcBorders>
              <w:top w:val="nil"/>
              <w:left w:val="nil"/>
              <w:bottom w:val="dotted" w:sz="4" w:space="0" w:color="auto"/>
              <w:right w:val="dotted" w:sz="4" w:space="0" w:color="auto"/>
            </w:tcBorders>
            <w:shd w:val="clear" w:color="auto" w:fill="auto"/>
            <w:noWrap/>
            <w:vAlign w:val="center"/>
            <w:hideMark/>
          </w:tcPr>
          <w:p w14:paraId="39EBB26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794</w:t>
            </w:r>
          </w:p>
        </w:tc>
        <w:tc>
          <w:tcPr>
            <w:tcW w:w="245" w:type="pct"/>
            <w:tcBorders>
              <w:top w:val="nil"/>
              <w:left w:val="nil"/>
              <w:bottom w:val="dotted" w:sz="4" w:space="0" w:color="auto"/>
              <w:right w:val="dotted" w:sz="4" w:space="0" w:color="auto"/>
            </w:tcBorders>
            <w:shd w:val="clear" w:color="auto" w:fill="auto"/>
            <w:noWrap/>
            <w:vAlign w:val="center"/>
            <w:hideMark/>
          </w:tcPr>
          <w:p w14:paraId="2229023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786</w:t>
            </w:r>
          </w:p>
        </w:tc>
        <w:tc>
          <w:tcPr>
            <w:tcW w:w="246" w:type="pct"/>
            <w:tcBorders>
              <w:top w:val="nil"/>
              <w:left w:val="nil"/>
              <w:bottom w:val="dotted" w:sz="4" w:space="0" w:color="auto"/>
              <w:right w:val="dotted" w:sz="4" w:space="0" w:color="auto"/>
            </w:tcBorders>
            <w:shd w:val="clear" w:color="auto" w:fill="auto"/>
            <w:noWrap/>
            <w:vAlign w:val="center"/>
            <w:hideMark/>
          </w:tcPr>
          <w:p w14:paraId="1A46290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792</w:t>
            </w:r>
          </w:p>
        </w:tc>
        <w:tc>
          <w:tcPr>
            <w:tcW w:w="245" w:type="pct"/>
            <w:tcBorders>
              <w:top w:val="nil"/>
              <w:left w:val="nil"/>
              <w:bottom w:val="dotted" w:sz="4" w:space="0" w:color="auto"/>
              <w:right w:val="dotted" w:sz="4" w:space="0" w:color="auto"/>
            </w:tcBorders>
            <w:shd w:val="clear" w:color="auto" w:fill="auto"/>
            <w:noWrap/>
            <w:vAlign w:val="center"/>
            <w:hideMark/>
          </w:tcPr>
          <w:p w14:paraId="109FFA5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796</w:t>
            </w:r>
          </w:p>
        </w:tc>
        <w:tc>
          <w:tcPr>
            <w:tcW w:w="246" w:type="pct"/>
            <w:tcBorders>
              <w:top w:val="nil"/>
              <w:left w:val="nil"/>
              <w:bottom w:val="dotted" w:sz="4" w:space="0" w:color="auto"/>
              <w:right w:val="dotted" w:sz="4" w:space="0" w:color="auto"/>
            </w:tcBorders>
            <w:shd w:val="clear" w:color="auto" w:fill="auto"/>
            <w:noWrap/>
            <w:vAlign w:val="center"/>
            <w:hideMark/>
          </w:tcPr>
          <w:p w14:paraId="6453691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868</w:t>
            </w:r>
          </w:p>
        </w:tc>
        <w:tc>
          <w:tcPr>
            <w:tcW w:w="416" w:type="pct"/>
            <w:vMerge/>
            <w:tcBorders>
              <w:top w:val="nil"/>
              <w:left w:val="dotted" w:sz="4" w:space="0" w:color="auto"/>
              <w:bottom w:val="dotted" w:sz="4" w:space="0" w:color="auto"/>
              <w:right w:val="dotted" w:sz="4" w:space="0" w:color="auto"/>
            </w:tcBorders>
            <w:vAlign w:val="center"/>
            <w:hideMark/>
          </w:tcPr>
          <w:p w14:paraId="6EF38BDE"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dotted" w:sz="4" w:space="0" w:color="auto"/>
              <w:right w:val="single" w:sz="8" w:space="0" w:color="auto"/>
            </w:tcBorders>
            <w:vAlign w:val="center"/>
            <w:hideMark/>
          </w:tcPr>
          <w:p w14:paraId="1049AECD" w14:textId="77777777" w:rsidR="00CF7396" w:rsidRPr="00CF7396" w:rsidRDefault="00CF7396" w:rsidP="00CF7396">
            <w:pPr>
              <w:rPr>
                <w:b/>
                <w:bCs/>
                <w:color w:val="000000" w:themeColor="text1"/>
                <w:lang w:val="es-CR" w:eastAsia="es-CR"/>
              </w:rPr>
            </w:pPr>
          </w:p>
        </w:tc>
      </w:tr>
      <w:tr w:rsidR="00CF7396" w:rsidRPr="00CF7396" w14:paraId="74A7B947" w14:textId="77777777" w:rsidTr="00AF369B">
        <w:trPr>
          <w:trHeight w:val="300"/>
        </w:trPr>
        <w:tc>
          <w:tcPr>
            <w:tcW w:w="590" w:type="pct"/>
            <w:vMerge w:val="restart"/>
            <w:tcBorders>
              <w:top w:val="nil"/>
              <w:left w:val="single" w:sz="8" w:space="0" w:color="auto"/>
              <w:bottom w:val="dotted" w:sz="4" w:space="0" w:color="auto"/>
              <w:right w:val="dotted" w:sz="4" w:space="0" w:color="auto"/>
            </w:tcBorders>
            <w:shd w:val="clear" w:color="000000" w:fill="D9E1F2"/>
            <w:vAlign w:val="center"/>
            <w:hideMark/>
          </w:tcPr>
          <w:p w14:paraId="6BB8C980"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Juzgado Civil del ICJ Zona Atlántica</w:t>
            </w:r>
          </w:p>
        </w:tc>
        <w:tc>
          <w:tcPr>
            <w:tcW w:w="540" w:type="pct"/>
            <w:tcBorders>
              <w:top w:val="nil"/>
              <w:left w:val="nil"/>
              <w:bottom w:val="dotted" w:sz="4" w:space="0" w:color="auto"/>
              <w:right w:val="dotted" w:sz="4" w:space="0" w:color="auto"/>
            </w:tcBorders>
            <w:shd w:val="clear" w:color="000000" w:fill="D9E1F2"/>
            <w:noWrap/>
            <w:vAlign w:val="center"/>
            <w:hideMark/>
          </w:tcPr>
          <w:p w14:paraId="2B1729D0"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Entrada</w:t>
            </w:r>
          </w:p>
        </w:tc>
        <w:tc>
          <w:tcPr>
            <w:tcW w:w="246" w:type="pct"/>
            <w:tcBorders>
              <w:top w:val="nil"/>
              <w:left w:val="nil"/>
              <w:bottom w:val="dotted" w:sz="4" w:space="0" w:color="auto"/>
              <w:right w:val="dotted" w:sz="4" w:space="0" w:color="auto"/>
            </w:tcBorders>
            <w:shd w:val="clear" w:color="000000" w:fill="D9E1F2"/>
            <w:noWrap/>
            <w:vAlign w:val="center"/>
            <w:hideMark/>
          </w:tcPr>
          <w:p w14:paraId="32ABE33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22</w:t>
            </w:r>
          </w:p>
        </w:tc>
        <w:tc>
          <w:tcPr>
            <w:tcW w:w="245" w:type="pct"/>
            <w:tcBorders>
              <w:top w:val="nil"/>
              <w:left w:val="nil"/>
              <w:bottom w:val="dotted" w:sz="4" w:space="0" w:color="auto"/>
              <w:right w:val="dotted" w:sz="4" w:space="0" w:color="auto"/>
            </w:tcBorders>
            <w:shd w:val="clear" w:color="000000" w:fill="D9E1F2"/>
            <w:noWrap/>
            <w:vAlign w:val="center"/>
            <w:hideMark/>
          </w:tcPr>
          <w:p w14:paraId="07384F8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43</w:t>
            </w:r>
          </w:p>
        </w:tc>
        <w:tc>
          <w:tcPr>
            <w:tcW w:w="245" w:type="pct"/>
            <w:tcBorders>
              <w:top w:val="nil"/>
              <w:left w:val="nil"/>
              <w:bottom w:val="dotted" w:sz="4" w:space="0" w:color="auto"/>
              <w:right w:val="dotted" w:sz="4" w:space="0" w:color="auto"/>
            </w:tcBorders>
            <w:shd w:val="clear" w:color="000000" w:fill="D9E1F2"/>
            <w:noWrap/>
            <w:vAlign w:val="center"/>
            <w:hideMark/>
          </w:tcPr>
          <w:p w14:paraId="164EED3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42</w:t>
            </w:r>
          </w:p>
        </w:tc>
        <w:tc>
          <w:tcPr>
            <w:tcW w:w="246" w:type="pct"/>
            <w:tcBorders>
              <w:top w:val="nil"/>
              <w:left w:val="nil"/>
              <w:bottom w:val="dotted" w:sz="4" w:space="0" w:color="auto"/>
              <w:right w:val="dotted" w:sz="4" w:space="0" w:color="auto"/>
            </w:tcBorders>
            <w:shd w:val="clear" w:color="000000" w:fill="D9E1F2"/>
            <w:noWrap/>
            <w:vAlign w:val="center"/>
            <w:hideMark/>
          </w:tcPr>
          <w:p w14:paraId="6CF0342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21</w:t>
            </w:r>
          </w:p>
        </w:tc>
        <w:tc>
          <w:tcPr>
            <w:tcW w:w="246" w:type="pct"/>
            <w:tcBorders>
              <w:top w:val="nil"/>
              <w:left w:val="nil"/>
              <w:bottom w:val="dotted" w:sz="4" w:space="0" w:color="auto"/>
              <w:right w:val="dotted" w:sz="4" w:space="0" w:color="auto"/>
            </w:tcBorders>
            <w:shd w:val="clear" w:color="000000" w:fill="D9E1F2"/>
            <w:noWrap/>
            <w:vAlign w:val="center"/>
            <w:hideMark/>
          </w:tcPr>
          <w:p w14:paraId="560D5A5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36</w:t>
            </w:r>
          </w:p>
        </w:tc>
        <w:tc>
          <w:tcPr>
            <w:tcW w:w="245" w:type="pct"/>
            <w:tcBorders>
              <w:top w:val="nil"/>
              <w:left w:val="nil"/>
              <w:bottom w:val="dotted" w:sz="4" w:space="0" w:color="auto"/>
              <w:right w:val="dotted" w:sz="4" w:space="0" w:color="auto"/>
            </w:tcBorders>
            <w:shd w:val="clear" w:color="000000" w:fill="D9E1F2"/>
            <w:noWrap/>
            <w:vAlign w:val="center"/>
            <w:hideMark/>
          </w:tcPr>
          <w:p w14:paraId="5950836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36</w:t>
            </w:r>
          </w:p>
        </w:tc>
        <w:tc>
          <w:tcPr>
            <w:tcW w:w="246" w:type="pct"/>
            <w:tcBorders>
              <w:top w:val="nil"/>
              <w:left w:val="nil"/>
              <w:bottom w:val="dotted" w:sz="4" w:space="0" w:color="auto"/>
              <w:right w:val="dotted" w:sz="4" w:space="0" w:color="auto"/>
            </w:tcBorders>
            <w:shd w:val="clear" w:color="000000" w:fill="D9E1F2"/>
            <w:noWrap/>
            <w:vAlign w:val="center"/>
            <w:hideMark/>
          </w:tcPr>
          <w:p w14:paraId="00CE6D5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24</w:t>
            </w:r>
          </w:p>
        </w:tc>
        <w:tc>
          <w:tcPr>
            <w:tcW w:w="246" w:type="pct"/>
            <w:tcBorders>
              <w:top w:val="nil"/>
              <w:left w:val="nil"/>
              <w:bottom w:val="dotted" w:sz="4" w:space="0" w:color="auto"/>
              <w:right w:val="dotted" w:sz="4" w:space="0" w:color="auto"/>
            </w:tcBorders>
            <w:shd w:val="clear" w:color="000000" w:fill="D9E1F2"/>
            <w:noWrap/>
            <w:vAlign w:val="center"/>
            <w:hideMark/>
          </w:tcPr>
          <w:p w14:paraId="0A45C22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30</w:t>
            </w:r>
          </w:p>
        </w:tc>
        <w:tc>
          <w:tcPr>
            <w:tcW w:w="245" w:type="pct"/>
            <w:tcBorders>
              <w:top w:val="nil"/>
              <w:left w:val="nil"/>
              <w:bottom w:val="dotted" w:sz="4" w:space="0" w:color="auto"/>
              <w:right w:val="dotted" w:sz="4" w:space="0" w:color="auto"/>
            </w:tcBorders>
            <w:shd w:val="clear" w:color="000000" w:fill="D9E1F2"/>
            <w:noWrap/>
            <w:vAlign w:val="center"/>
            <w:hideMark/>
          </w:tcPr>
          <w:p w14:paraId="31353AD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66</w:t>
            </w:r>
          </w:p>
        </w:tc>
        <w:tc>
          <w:tcPr>
            <w:tcW w:w="246" w:type="pct"/>
            <w:tcBorders>
              <w:top w:val="nil"/>
              <w:left w:val="nil"/>
              <w:bottom w:val="dotted" w:sz="4" w:space="0" w:color="auto"/>
              <w:right w:val="dotted" w:sz="4" w:space="0" w:color="auto"/>
            </w:tcBorders>
            <w:shd w:val="clear" w:color="000000" w:fill="D9E1F2"/>
            <w:noWrap/>
            <w:vAlign w:val="center"/>
            <w:hideMark/>
          </w:tcPr>
          <w:p w14:paraId="621E263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w:t>
            </w:r>
          </w:p>
        </w:tc>
        <w:tc>
          <w:tcPr>
            <w:tcW w:w="245" w:type="pct"/>
            <w:tcBorders>
              <w:top w:val="nil"/>
              <w:left w:val="nil"/>
              <w:bottom w:val="dotted" w:sz="4" w:space="0" w:color="auto"/>
              <w:right w:val="dotted" w:sz="4" w:space="0" w:color="auto"/>
            </w:tcBorders>
            <w:shd w:val="clear" w:color="000000" w:fill="D9E1F2"/>
            <w:noWrap/>
            <w:vAlign w:val="center"/>
            <w:hideMark/>
          </w:tcPr>
          <w:p w14:paraId="39AC528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53</w:t>
            </w:r>
          </w:p>
        </w:tc>
        <w:tc>
          <w:tcPr>
            <w:tcW w:w="246" w:type="pct"/>
            <w:tcBorders>
              <w:top w:val="nil"/>
              <w:left w:val="nil"/>
              <w:bottom w:val="dotted" w:sz="4" w:space="0" w:color="auto"/>
              <w:right w:val="dotted" w:sz="4" w:space="0" w:color="auto"/>
            </w:tcBorders>
            <w:shd w:val="clear" w:color="000000" w:fill="D9E1F2"/>
            <w:noWrap/>
            <w:vAlign w:val="center"/>
            <w:hideMark/>
          </w:tcPr>
          <w:p w14:paraId="22E7A91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w:t>
            </w:r>
          </w:p>
        </w:tc>
        <w:tc>
          <w:tcPr>
            <w:tcW w:w="416" w:type="pct"/>
            <w:vMerge w:val="restart"/>
            <w:tcBorders>
              <w:top w:val="nil"/>
              <w:left w:val="dotted" w:sz="4" w:space="0" w:color="auto"/>
              <w:bottom w:val="dotted" w:sz="4" w:space="0" w:color="auto"/>
              <w:right w:val="dotted" w:sz="4" w:space="0" w:color="auto"/>
            </w:tcBorders>
            <w:shd w:val="clear" w:color="000000" w:fill="D9E1F2"/>
            <w:noWrap/>
            <w:vAlign w:val="center"/>
            <w:hideMark/>
          </w:tcPr>
          <w:p w14:paraId="2C4F98B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36</w:t>
            </w:r>
          </w:p>
        </w:tc>
        <w:tc>
          <w:tcPr>
            <w:tcW w:w="506" w:type="pct"/>
            <w:vMerge w:val="restart"/>
            <w:tcBorders>
              <w:top w:val="nil"/>
              <w:left w:val="dotted" w:sz="4" w:space="0" w:color="auto"/>
              <w:bottom w:val="dotted" w:sz="4" w:space="0" w:color="auto"/>
              <w:right w:val="single" w:sz="8" w:space="0" w:color="auto"/>
            </w:tcBorders>
            <w:shd w:val="clear" w:color="000000" w:fill="D9E1F2"/>
            <w:noWrap/>
            <w:vAlign w:val="center"/>
            <w:hideMark/>
          </w:tcPr>
          <w:p w14:paraId="04A2CD3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34</w:t>
            </w:r>
          </w:p>
        </w:tc>
      </w:tr>
      <w:tr w:rsidR="00CF7396" w:rsidRPr="00CF7396" w14:paraId="3043322B" w14:textId="77777777" w:rsidTr="00AF369B">
        <w:trPr>
          <w:trHeight w:val="300"/>
        </w:trPr>
        <w:tc>
          <w:tcPr>
            <w:tcW w:w="590" w:type="pct"/>
            <w:vMerge/>
            <w:tcBorders>
              <w:top w:val="nil"/>
              <w:left w:val="single" w:sz="8" w:space="0" w:color="auto"/>
              <w:bottom w:val="dotted" w:sz="4" w:space="0" w:color="auto"/>
              <w:right w:val="dotted" w:sz="4" w:space="0" w:color="auto"/>
            </w:tcBorders>
            <w:vAlign w:val="center"/>
            <w:hideMark/>
          </w:tcPr>
          <w:p w14:paraId="617BD420"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000000" w:fill="D9E1F2"/>
            <w:noWrap/>
            <w:vAlign w:val="center"/>
            <w:hideMark/>
          </w:tcPr>
          <w:p w14:paraId="6685A8D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Terminados</w:t>
            </w:r>
          </w:p>
        </w:tc>
        <w:tc>
          <w:tcPr>
            <w:tcW w:w="246" w:type="pct"/>
            <w:tcBorders>
              <w:top w:val="nil"/>
              <w:left w:val="nil"/>
              <w:bottom w:val="dotted" w:sz="4" w:space="0" w:color="auto"/>
              <w:right w:val="dotted" w:sz="4" w:space="0" w:color="auto"/>
            </w:tcBorders>
            <w:shd w:val="clear" w:color="000000" w:fill="D9E1F2"/>
            <w:noWrap/>
            <w:vAlign w:val="center"/>
            <w:hideMark/>
          </w:tcPr>
          <w:p w14:paraId="30AC0CF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43</w:t>
            </w:r>
          </w:p>
        </w:tc>
        <w:tc>
          <w:tcPr>
            <w:tcW w:w="245" w:type="pct"/>
            <w:tcBorders>
              <w:top w:val="nil"/>
              <w:left w:val="nil"/>
              <w:bottom w:val="dotted" w:sz="4" w:space="0" w:color="auto"/>
              <w:right w:val="dotted" w:sz="4" w:space="0" w:color="auto"/>
            </w:tcBorders>
            <w:shd w:val="clear" w:color="000000" w:fill="D9E1F2"/>
            <w:noWrap/>
            <w:vAlign w:val="center"/>
            <w:hideMark/>
          </w:tcPr>
          <w:p w14:paraId="5379272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32</w:t>
            </w:r>
          </w:p>
        </w:tc>
        <w:tc>
          <w:tcPr>
            <w:tcW w:w="245" w:type="pct"/>
            <w:tcBorders>
              <w:top w:val="nil"/>
              <w:left w:val="nil"/>
              <w:bottom w:val="dotted" w:sz="4" w:space="0" w:color="auto"/>
              <w:right w:val="dotted" w:sz="4" w:space="0" w:color="auto"/>
            </w:tcBorders>
            <w:shd w:val="clear" w:color="000000" w:fill="D9E1F2"/>
            <w:noWrap/>
            <w:vAlign w:val="center"/>
            <w:hideMark/>
          </w:tcPr>
          <w:p w14:paraId="69E1014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34</w:t>
            </w:r>
          </w:p>
        </w:tc>
        <w:tc>
          <w:tcPr>
            <w:tcW w:w="246" w:type="pct"/>
            <w:tcBorders>
              <w:top w:val="nil"/>
              <w:left w:val="nil"/>
              <w:bottom w:val="dotted" w:sz="4" w:space="0" w:color="auto"/>
              <w:right w:val="dotted" w:sz="4" w:space="0" w:color="auto"/>
            </w:tcBorders>
            <w:shd w:val="clear" w:color="000000" w:fill="D9E1F2"/>
            <w:noWrap/>
            <w:vAlign w:val="center"/>
            <w:hideMark/>
          </w:tcPr>
          <w:p w14:paraId="77FBCEE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21</w:t>
            </w:r>
          </w:p>
        </w:tc>
        <w:tc>
          <w:tcPr>
            <w:tcW w:w="246" w:type="pct"/>
            <w:tcBorders>
              <w:top w:val="nil"/>
              <w:left w:val="nil"/>
              <w:bottom w:val="dotted" w:sz="4" w:space="0" w:color="auto"/>
              <w:right w:val="dotted" w:sz="4" w:space="0" w:color="auto"/>
            </w:tcBorders>
            <w:shd w:val="clear" w:color="000000" w:fill="D9E1F2"/>
            <w:noWrap/>
            <w:vAlign w:val="center"/>
            <w:hideMark/>
          </w:tcPr>
          <w:p w14:paraId="123D24E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26</w:t>
            </w:r>
          </w:p>
        </w:tc>
        <w:tc>
          <w:tcPr>
            <w:tcW w:w="245" w:type="pct"/>
            <w:tcBorders>
              <w:top w:val="nil"/>
              <w:left w:val="nil"/>
              <w:bottom w:val="dotted" w:sz="4" w:space="0" w:color="auto"/>
              <w:right w:val="dotted" w:sz="4" w:space="0" w:color="auto"/>
            </w:tcBorders>
            <w:shd w:val="clear" w:color="000000" w:fill="D9E1F2"/>
            <w:noWrap/>
            <w:vAlign w:val="center"/>
            <w:hideMark/>
          </w:tcPr>
          <w:p w14:paraId="4EBE43C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26</w:t>
            </w:r>
          </w:p>
        </w:tc>
        <w:tc>
          <w:tcPr>
            <w:tcW w:w="246" w:type="pct"/>
            <w:tcBorders>
              <w:top w:val="nil"/>
              <w:left w:val="nil"/>
              <w:bottom w:val="dotted" w:sz="4" w:space="0" w:color="auto"/>
              <w:right w:val="dotted" w:sz="4" w:space="0" w:color="auto"/>
            </w:tcBorders>
            <w:shd w:val="clear" w:color="000000" w:fill="D9E1F2"/>
            <w:noWrap/>
            <w:vAlign w:val="center"/>
            <w:hideMark/>
          </w:tcPr>
          <w:p w14:paraId="743B258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41</w:t>
            </w:r>
          </w:p>
        </w:tc>
        <w:tc>
          <w:tcPr>
            <w:tcW w:w="246" w:type="pct"/>
            <w:tcBorders>
              <w:top w:val="nil"/>
              <w:left w:val="nil"/>
              <w:bottom w:val="dotted" w:sz="4" w:space="0" w:color="auto"/>
              <w:right w:val="dotted" w:sz="4" w:space="0" w:color="auto"/>
            </w:tcBorders>
            <w:shd w:val="clear" w:color="000000" w:fill="D9E1F2"/>
            <w:noWrap/>
            <w:vAlign w:val="center"/>
            <w:hideMark/>
          </w:tcPr>
          <w:p w14:paraId="1C1B65A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34</w:t>
            </w:r>
          </w:p>
        </w:tc>
        <w:tc>
          <w:tcPr>
            <w:tcW w:w="245" w:type="pct"/>
            <w:tcBorders>
              <w:top w:val="nil"/>
              <w:left w:val="nil"/>
              <w:bottom w:val="dotted" w:sz="4" w:space="0" w:color="auto"/>
              <w:right w:val="dotted" w:sz="4" w:space="0" w:color="auto"/>
            </w:tcBorders>
            <w:shd w:val="clear" w:color="000000" w:fill="D9E1F2"/>
            <w:noWrap/>
            <w:vAlign w:val="center"/>
            <w:hideMark/>
          </w:tcPr>
          <w:p w14:paraId="6217F87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22</w:t>
            </w:r>
          </w:p>
        </w:tc>
        <w:tc>
          <w:tcPr>
            <w:tcW w:w="246" w:type="pct"/>
            <w:tcBorders>
              <w:top w:val="nil"/>
              <w:left w:val="nil"/>
              <w:bottom w:val="dotted" w:sz="4" w:space="0" w:color="auto"/>
              <w:right w:val="dotted" w:sz="4" w:space="0" w:color="auto"/>
            </w:tcBorders>
            <w:shd w:val="clear" w:color="000000" w:fill="D9E1F2"/>
            <w:noWrap/>
            <w:vAlign w:val="center"/>
            <w:hideMark/>
          </w:tcPr>
          <w:p w14:paraId="4CA3883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64</w:t>
            </w:r>
          </w:p>
        </w:tc>
        <w:tc>
          <w:tcPr>
            <w:tcW w:w="245" w:type="pct"/>
            <w:tcBorders>
              <w:top w:val="nil"/>
              <w:left w:val="nil"/>
              <w:bottom w:val="dotted" w:sz="4" w:space="0" w:color="auto"/>
              <w:right w:val="dotted" w:sz="4" w:space="0" w:color="auto"/>
            </w:tcBorders>
            <w:shd w:val="clear" w:color="000000" w:fill="D9E1F2"/>
            <w:noWrap/>
            <w:vAlign w:val="center"/>
            <w:hideMark/>
          </w:tcPr>
          <w:p w14:paraId="38AD1BB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41</w:t>
            </w:r>
          </w:p>
        </w:tc>
        <w:tc>
          <w:tcPr>
            <w:tcW w:w="246" w:type="pct"/>
            <w:tcBorders>
              <w:top w:val="nil"/>
              <w:left w:val="nil"/>
              <w:bottom w:val="dotted" w:sz="4" w:space="0" w:color="auto"/>
              <w:right w:val="dotted" w:sz="4" w:space="0" w:color="auto"/>
            </w:tcBorders>
            <w:shd w:val="clear" w:color="000000" w:fill="D9E1F2"/>
            <w:noWrap/>
            <w:vAlign w:val="center"/>
            <w:hideMark/>
          </w:tcPr>
          <w:p w14:paraId="640D19B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w:t>
            </w:r>
          </w:p>
        </w:tc>
        <w:tc>
          <w:tcPr>
            <w:tcW w:w="416" w:type="pct"/>
            <w:vMerge/>
            <w:tcBorders>
              <w:top w:val="nil"/>
              <w:left w:val="dotted" w:sz="4" w:space="0" w:color="auto"/>
              <w:bottom w:val="dotted" w:sz="4" w:space="0" w:color="auto"/>
              <w:right w:val="dotted" w:sz="4" w:space="0" w:color="auto"/>
            </w:tcBorders>
            <w:vAlign w:val="center"/>
            <w:hideMark/>
          </w:tcPr>
          <w:p w14:paraId="65A154D4"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dotted" w:sz="4" w:space="0" w:color="auto"/>
              <w:right w:val="single" w:sz="8" w:space="0" w:color="auto"/>
            </w:tcBorders>
            <w:vAlign w:val="center"/>
            <w:hideMark/>
          </w:tcPr>
          <w:p w14:paraId="79403BCD" w14:textId="77777777" w:rsidR="00CF7396" w:rsidRPr="00CF7396" w:rsidRDefault="00CF7396" w:rsidP="00CF7396">
            <w:pPr>
              <w:rPr>
                <w:b/>
                <w:bCs/>
                <w:color w:val="000000" w:themeColor="text1"/>
                <w:lang w:val="es-CR" w:eastAsia="es-CR"/>
              </w:rPr>
            </w:pPr>
          </w:p>
        </w:tc>
      </w:tr>
      <w:tr w:rsidR="00CF7396" w:rsidRPr="00CF7396" w14:paraId="041C7E09" w14:textId="77777777" w:rsidTr="00AF369B">
        <w:trPr>
          <w:trHeight w:val="300"/>
        </w:trPr>
        <w:tc>
          <w:tcPr>
            <w:tcW w:w="590" w:type="pct"/>
            <w:vMerge/>
            <w:tcBorders>
              <w:top w:val="nil"/>
              <w:left w:val="single" w:sz="8" w:space="0" w:color="auto"/>
              <w:bottom w:val="dotted" w:sz="4" w:space="0" w:color="auto"/>
              <w:right w:val="dotted" w:sz="4" w:space="0" w:color="auto"/>
            </w:tcBorders>
            <w:vAlign w:val="center"/>
            <w:hideMark/>
          </w:tcPr>
          <w:p w14:paraId="1CE8577E"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000000" w:fill="D9E1F2"/>
            <w:noWrap/>
            <w:vAlign w:val="center"/>
            <w:hideMark/>
          </w:tcPr>
          <w:p w14:paraId="1871354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Circulante final</w:t>
            </w:r>
          </w:p>
        </w:tc>
        <w:tc>
          <w:tcPr>
            <w:tcW w:w="246" w:type="pct"/>
            <w:tcBorders>
              <w:top w:val="nil"/>
              <w:left w:val="nil"/>
              <w:bottom w:val="dotted" w:sz="4" w:space="0" w:color="auto"/>
              <w:right w:val="dotted" w:sz="4" w:space="0" w:color="auto"/>
            </w:tcBorders>
            <w:shd w:val="clear" w:color="000000" w:fill="D9E1F2"/>
            <w:noWrap/>
            <w:vAlign w:val="center"/>
            <w:hideMark/>
          </w:tcPr>
          <w:p w14:paraId="4A15704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875</w:t>
            </w:r>
          </w:p>
        </w:tc>
        <w:tc>
          <w:tcPr>
            <w:tcW w:w="245" w:type="pct"/>
            <w:tcBorders>
              <w:top w:val="nil"/>
              <w:left w:val="nil"/>
              <w:bottom w:val="dotted" w:sz="4" w:space="0" w:color="auto"/>
              <w:right w:val="dotted" w:sz="4" w:space="0" w:color="auto"/>
            </w:tcBorders>
            <w:shd w:val="clear" w:color="000000" w:fill="D9E1F2"/>
            <w:noWrap/>
            <w:vAlign w:val="center"/>
            <w:hideMark/>
          </w:tcPr>
          <w:p w14:paraId="338065C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845</w:t>
            </w:r>
          </w:p>
        </w:tc>
        <w:tc>
          <w:tcPr>
            <w:tcW w:w="245" w:type="pct"/>
            <w:tcBorders>
              <w:top w:val="nil"/>
              <w:left w:val="nil"/>
              <w:bottom w:val="dotted" w:sz="4" w:space="0" w:color="auto"/>
              <w:right w:val="dotted" w:sz="4" w:space="0" w:color="auto"/>
            </w:tcBorders>
            <w:shd w:val="clear" w:color="000000" w:fill="D9E1F2"/>
            <w:noWrap/>
            <w:vAlign w:val="center"/>
            <w:hideMark/>
          </w:tcPr>
          <w:p w14:paraId="5FCE2A6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833</w:t>
            </w:r>
          </w:p>
        </w:tc>
        <w:tc>
          <w:tcPr>
            <w:tcW w:w="246" w:type="pct"/>
            <w:tcBorders>
              <w:top w:val="nil"/>
              <w:left w:val="nil"/>
              <w:bottom w:val="dotted" w:sz="4" w:space="0" w:color="auto"/>
              <w:right w:val="dotted" w:sz="4" w:space="0" w:color="auto"/>
            </w:tcBorders>
            <w:shd w:val="clear" w:color="000000" w:fill="D9E1F2"/>
            <w:noWrap/>
            <w:vAlign w:val="center"/>
            <w:hideMark/>
          </w:tcPr>
          <w:p w14:paraId="033ED0A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816</w:t>
            </w:r>
          </w:p>
        </w:tc>
        <w:tc>
          <w:tcPr>
            <w:tcW w:w="246" w:type="pct"/>
            <w:tcBorders>
              <w:top w:val="nil"/>
              <w:left w:val="nil"/>
              <w:bottom w:val="dotted" w:sz="4" w:space="0" w:color="auto"/>
              <w:right w:val="dotted" w:sz="4" w:space="0" w:color="auto"/>
            </w:tcBorders>
            <w:shd w:val="clear" w:color="000000" w:fill="D9E1F2"/>
            <w:noWrap/>
            <w:vAlign w:val="center"/>
            <w:hideMark/>
          </w:tcPr>
          <w:p w14:paraId="1BD822F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526</w:t>
            </w:r>
          </w:p>
        </w:tc>
        <w:tc>
          <w:tcPr>
            <w:tcW w:w="245" w:type="pct"/>
            <w:tcBorders>
              <w:top w:val="nil"/>
              <w:left w:val="nil"/>
              <w:bottom w:val="dotted" w:sz="4" w:space="0" w:color="auto"/>
              <w:right w:val="dotted" w:sz="4" w:space="0" w:color="auto"/>
            </w:tcBorders>
            <w:shd w:val="clear" w:color="000000" w:fill="D9E1F2"/>
            <w:noWrap/>
            <w:vAlign w:val="center"/>
            <w:hideMark/>
          </w:tcPr>
          <w:p w14:paraId="4DC308D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525</w:t>
            </w:r>
          </w:p>
        </w:tc>
        <w:tc>
          <w:tcPr>
            <w:tcW w:w="246" w:type="pct"/>
            <w:tcBorders>
              <w:top w:val="nil"/>
              <w:left w:val="nil"/>
              <w:bottom w:val="dotted" w:sz="4" w:space="0" w:color="auto"/>
              <w:right w:val="dotted" w:sz="4" w:space="0" w:color="auto"/>
            </w:tcBorders>
            <w:shd w:val="clear" w:color="000000" w:fill="D9E1F2"/>
            <w:noWrap/>
            <w:vAlign w:val="center"/>
            <w:hideMark/>
          </w:tcPr>
          <w:p w14:paraId="4E373B8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621</w:t>
            </w:r>
          </w:p>
        </w:tc>
        <w:tc>
          <w:tcPr>
            <w:tcW w:w="246" w:type="pct"/>
            <w:tcBorders>
              <w:top w:val="nil"/>
              <w:left w:val="nil"/>
              <w:bottom w:val="dotted" w:sz="4" w:space="0" w:color="auto"/>
              <w:right w:val="dotted" w:sz="4" w:space="0" w:color="auto"/>
            </w:tcBorders>
            <w:shd w:val="clear" w:color="000000" w:fill="D9E1F2"/>
            <w:noWrap/>
            <w:vAlign w:val="center"/>
            <w:hideMark/>
          </w:tcPr>
          <w:p w14:paraId="37F2B96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675</w:t>
            </w:r>
          </w:p>
        </w:tc>
        <w:tc>
          <w:tcPr>
            <w:tcW w:w="245" w:type="pct"/>
            <w:tcBorders>
              <w:top w:val="nil"/>
              <w:left w:val="nil"/>
              <w:bottom w:val="dotted" w:sz="4" w:space="0" w:color="auto"/>
              <w:right w:val="dotted" w:sz="4" w:space="0" w:color="auto"/>
            </w:tcBorders>
            <w:shd w:val="clear" w:color="000000" w:fill="D9E1F2"/>
            <w:noWrap/>
            <w:vAlign w:val="center"/>
            <w:hideMark/>
          </w:tcPr>
          <w:p w14:paraId="75C0643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673</w:t>
            </w:r>
          </w:p>
        </w:tc>
        <w:tc>
          <w:tcPr>
            <w:tcW w:w="246" w:type="pct"/>
            <w:tcBorders>
              <w:top w:val="nil"/>
              <w:left w:val="nil"/>
              <w:bottom w:val="dotted" w:sz="4" w:space="0" w:color="auto"/>
              <w:right w:val="dotted" w:sz="4" w:space="0" w:color="auto"/>
            </w:tcBorders>
            <w:shd w:val="clear" w:color="000000" w:fill="D9E1F2"/>
            <w:noWrap/>
            <w:vAlign w:val="center"/>
            <w:hideMark/>
          </w:tcPr>
          <w:p w14:paraId="70D14EB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659</w:t>
            </w:r>
          </w:p>
        </w:tc>
        <w:tc>
          <w:tcPr>
            <w:tcW w:w="245" w:type="pct"/>
            <w:tcBorders>
              <w:top w:val="nil"/>
              <w:left w:val="nil"/>
              <w:bottom w:val="dotted" w:sz="4" w:space="0" w:color="auto"/>
              <w:right w:val="dotted" w:sz="4" w:space="0" w:color="auto"/>
            </w:tcBorders>
            <w:shd w:val="clear" w:color="000000" w:fill="D9E1F2"/>
            <w:noWrap/>
            <w:vAlign w:val="center"/>
            <w:hideMark/>
          </w:tcPr>
          <w:p w14:paraId="28C6DB3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716</w:t>
            </w:r>
          </w:p>
        </w:tc>
        <w:tc>
          <w:tcPr>
            <w:tcW w:w="246" w:type="pct"/>
            <w:tcBorders>
              <w:top w:val="nil"/>
              <w:left w:val="nil"/>
              <w:bottom w:val="dotted" w:sz="4" w:space="0" w:color="auto"/>
              <w:right w:val="dotted" w:sz="4" w:space="0" w:color="auto"/>
            </w:tcBorders>
            <w:shd w:val="clear" w:color="000000" w:fill="D9E1F2"/>
            <w:noWrap/>
            <w:vAlign w:val="center"/>
            <w:hideMark/>
          </w:tcPr>
          <w:p w14:paraId="6FD4A11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743</w:t>
            </w:r>
          </w:p>
        </w:tc>
        <w:tc>
          <w:tcPr>
            <w:tcW w:w="416" w:type="pct"/>
            <w:vMerge/>
            <w:tcBorders>
              <w:top w:val="nil"/>
              <w:left w:val="dotted" w:sz="4" w:space="0" w:color="auto"/>
              <w:bottom w:val="dotted" w:sz="4" w:space="0" w:color="auto"/>
              <w:right w:val="dotted" w:sz="4" w:space="0" w:color="auto"/>
            </w:tcBorders>
            <w:vAlign w:val="center"/>
            <w:hideMark/>
          </w:tcPr>
          <w:p w14:paraId="4B3621CA"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dotted" w:sz="4" w:space="0" w:color="auto"/>
              <w:right w:val="single" w:sz="8" w:space="0" w:color="auto"/>
            </w:tcBorders>
            <w:vAlign w:val="center"/>
            <w:hideMark/>
          </w:tcPr>
          <w:p w14:paraId="76BB2237" w14:textId="77777777" w:rsidR="00CF7396" w:rsidRPr="00CF7396" w:rsidRDefault="00CF7396" w:rsidP="00CF7396">
            <w:pPr>
              <w:rPr>
                <w:b/>
                <w:bCs/>
                <w:color w:val="000000" w:themeColor="text1"/>
                <w:lang w:val="es-CR" w:eastAsia="es-CR"/>
              </w:rPr>
            </w:pPr>
          </w:p>
        </w:tc>
      </w:tr>
      <w:tr w:rsidR="00CF7396" w:rsidRPr="00CF7396" w14:paraId="29265489" w14:textId="77777777" w:rsidTr="00AF369B">
        <w:trPr>
          <w:trHeight w:val="300"/>
        </w:trPr>
        <w:tc>
          <w:tcPr>
            <w:tcW w:w="590" w:type="pct"/>
            <w:vMerge w:val="restart"/>
            <w:tcBorders>
              <w:top w:val="nil"/>
              <w:left w:val="single" w:sz="8" w:space="0" w:color="auto"/>
              <w:bottom w:val="dotted" w:sz="4" w:space="0" w:color="auto"/>
              <w:right w:val="dotted" w:sz="4" w:space="0" w:color="auto"/>
            </w:tcBorders>
            <w:shd w:val="clear" w:color="auto" w:fill="auto"/>
            <w:vAlign w:val="center"/>
            <w:hideMark/>
          </w:tcPr>
          <w:p w14:paraId="541BE20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Juzgado de Cobro del ICJ Zona Atlántica</w:t>
            </w:r>
          </w:p>
        </w:tc>
        <w:tc>
          <w:tcPr>
            <w:tcW w:w="540" w:type="pct"/>
            <w:tcBorders>
              <w:top w:val="nil"/>
              <w:left w:val="nil"/>
              <w:bottom w:val="dotted" w:sz="4" w:space="0" w:color="auto"/>
              <w:right w:val="dotted" w:sz="4" w:space="0" w:color="auto"/>
            </w:tcBorders>
            <w:shd w:val="clear" w:color="auto" w:fill="auto"/>
            <w:noWrap/>
            <w:vAlign w:val="center"/>
            <w:hideMark/>
          </w:tcPr>
          <w:p w14:paraId="4CBB20A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Entrada</w:t>
            </w:r>
          </w:p>
        </w:tc>
        <w:tc>
          <w:tcPr>
            <w:tcW w:w="246" w:type="pct"/>
            <w:tcBorders>
              <w:top w:val="nil"/>
              <w:left w:val="nil"/>
              <w:bottom w:val="dotted" w:sz="4" w:space="0" w:color="auto"/>
              <w:right w:val="dotted" w:sz="4" w:space="0" w:color="auto"/>
            </w:tcBorders>
            <w:shd w:val="clear" w:color="auto" w:fill="auto"/>
            <w:noWrap/>
            <w:vAlign w:val="center"/>
            <w:hideMark/>
          </w:tcPr>
          <w:p w14:paraId="41E1698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575</w:t>
            </w:r>
          </w:p>
        </w:tc>
        <w:tc>
          <w:tcPr>
            <w:tcW w:w="245" w:type="pct"/>
            <w:tcBorders>
              <w:top w:val="nil"/>
              <w:left w:val="nil"/>
              <w:bottom w:val="dotted" w:sz="4" w:space="0" w:color="auto"/>
              <w:right w:val="dotted" w:sz="4" w:space="0" w:color="auto"/>
            </w:tcBorders>
            <w:shd w:val="clear" w:color="auto" w:fill="auto"/>
            <w:noWrap/>
            <w:vAlign w:val="center"/>
            <w:hideMark/>
          </w:tcPr>
          <w:p w14:paraId="7F9A7AB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748</w:t>
            </w:r>
          </w:p>
        </w:tc>
        <w:tc>
          <w:tcPr>
            <w:tcW w:w="245" w:type="pct"/>
            <w:tcBorders>
              <w:top w:val="nil"/>
              <w:left w:val="nil"/>
              <w:bottom w:val="dotted" w:sz="4" w:space="0" w:color="auto"/>
              <w:right w:val="dotted" w:sz="4" w:space="0" w:color="auto"/>
            </w:tcBorders>
            <w:shd w:val="clear" w:color="auto" w:fill="auto"/>
            <w:noWrap/>
            <w:vAlign w:val="center"/>
            <w:hideMark/>
          </w:tcPr>
          <w:p w14:paraId="6461D4E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509</w:t>
            </w:r>
          </w:p>
        </w:tc>
        <w:tc>
          <w:tcPr>
            <w:tcW w:w="246" w:type="pct"/>
            <w:tcBorders>
              <w:top w:val="nil"/>
              <w:left w:val="nil"/>
              <w:bottom w:val="dotted" w:sz="4" w:space="0" w:color="auto"/>
              <w:right w:val="dotted" w:sz="4" w:space="0" w:color="auto"/>
            </w:tcBorders>
            <w:shd w:val="clear" w:color="auto" w:fill="auto"/>
            <w:noWrap/>
            <w:vAlign w:val="center"/>
            <w:hideMark/>
          </w:tcPr>
          <w:p w14:paraId="1831A4D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450</w:t>
            </w:r>
          </w:p>
        </w:tc>
        <w:tc>
          <w:tcPr>
            <w:tcW w:w="246" w:type="pct"/>
            <w:tcBorders>
              <w:top w:val="nil"/>
              <w:left w:val="nil"/>
              <w:bottom w:val="dotted" w:sz="4" w:space="0" w:color="auto"/>
              <w:right w:val="dotted" w:sz="4" w:space="0" w:color="auto"/>
            </w:tcBorders>
            <w:shd w:val="clear" w:color="auto" w:fill="auto"/>
            <w:noWrap/>
            <w:vAlign w:val="center"/>
            <w:hideMark/>
          </w:tcPr>
          <w:p w14:paraId="438CCC4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596</w:t>
            </w:r>
          </w:p>
        </w:tc>
        <w:tc>
          <w:tcPr>
            <w:tcW w:w="245" w:type="pct"/>
            <w:tcBorders>
              <w:top w:val="nil"/>
              <w:left w:val="nil"/>
              <w:bottom w:val="dotted" w:sz="4" w:space="0" w:color="auto"/>
              <w:right w:val="dotted" w:sz="4" w:space="0" w:color="auto"/>
            </w:tcBorders>
            <w:shd w:val="clear" w:color="auto" w:fill="auto"/>
            <w:noWrap/>
            <w:vAlign w:val="center"/>
            <w:hideMark/>
          </w:tcPr>
          <w:p w14:paraId="0B859E4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328</w:t>
            </w:r>
          </w:p>
        </w:tc>
        <w:tc>
          <w:tcPr>
            <w:tcW w:w="246" w:type="pct"/>
            <w:tcBorders>
              <w:top w:val="nil"/>
              <w:left w:val="nil"/>
              <w:bottom w:val="dotted" w:sz="4" w:space="0" w:color="auto"/>
              <w:right w:val="dotted" w:sz="4" w:space="0" w:color="auto"/>
            </w:tcBorders>
            <w:shd w:val="clear" w:color="auto" w:fill="auto"/>
            <w:noWrap/>
            <w:vAlign w:val="center"/>
            <w:hideMark/>
          </w:tcPr>
          <w:p w14:paraId="2015E58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653</w:t>
            </w:r>
          </w:p>
        </w:tc>
        <w:tc>
          <w:tcPr>
            <w:tcW w:w="246" w:type="pct"/>
            <w:tcBorders>
              <w:top w:val="nil"/>
              <w:left w:val="nil"/>
              <w:bottom w:val="dotted" w:sz="4" w:space="0" w:color="auto"/>
              <w:right w:val="dotted" w:sz="4" w:space="0" w:color="auto"/>
            </w:tcBorders>
            <w:shd w:val="clear" w:color="auto" w:fill="auto"/>
            <w:noWrap/>
            <w:vAlign w:val="center"/>
            <w:hideMark/>
          </w:tcPr>
          <w:p w14:paraId="03126C4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831</w:t>
            </w:r>
          </w:p>
        </w:tc>
        <w:tc>
          <w:tcPr>
            <w:tcW w:w="245" w:type="pct"/>
            <w:tcBorders>
              <w:top w:val="nil"/>
              <w:left w:val="nil"/>
              <w:bottom w:val="dotted" w:sz="4" w:space="0" w:color="auto"/>
              <w:right w:val="dotted" w:sz="4" w:space="0" w:color="auto"/>
            </w:tcBorders>
            <w:shd w:val="clear" w:color="auto" w:fill="auto"/>
            <w:noWrap/>
            <w:vAlign w:val="center"/>
            <w:hideMark/>
          </w:tcPr>
          <w:p w14:paraId="74D1385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525</w:t>
            </w:r>
          </w:p>
        </w:tc>
        <w:tc>
          <w:tcPr>
            <w:tcW w:w="246" w:type="pct"/>
            <w:tcBorders>
              <w:top w:val="nil"/>
              <w:left w:val="nil"/>
              <w:bottom w:val="dotted" w:sz="4" w:space="0" w:color="auto"/>
              <w:right w:val="dotted" w:sz="4" w:space="0" w:color="auto"/>
            </w:tcBorders>
            <w:shd w:val="clear" w:color="auto" w:fill="auto"/>
            <w:noWrap/>
            <w:vAlign w:val="center"/>
            <w:hideMark/>
          </w:tcPr>
          <w:p w14:paraId="196B12D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571</w:t>
            </w:r>
          </w:p>
        </w:tc>
        <w:tc>
          <w:tcPr>
            <w:tcW w:w="245" w:type="pct"/>
            <w:tcBorders>
              <w:top w:val="nil"/>
              <w:left w:val="nil"/>
              <w:bottom w:val="dotted" w:sz="4" w:space="0" w:color="auto"/>
              <w:right w:val="dotted" w:sz="4" w:space="0" w:color="auto"/>
            </w:tcBorders>
            <w:shd w:val="clear" w:color="auto" w:fill="auto"/>
            <w:noWrap/>
            <w:vAlign w:val="center"/>
            <w:hideMark/>
          </w:tcPr>
          <w:p w14:paraId="3BBE732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630</w:t>
            </w:r>
          </w:p>
        </w:tc>
        <w:tc>
          <w:tcPr>
            <w:tcW w:w="246" w:type="pct"/>
            <w:tcBorders>
              <w:top w:val="nil"/>
              <w:left w:val="nil"/>
              <w:bottom w:val="dotted" w:sz="4" w:space="0" w:color="auto"/>
              <w:right w:val="dotted" w:sz="4" w:space="0" w:color="auto"/>
            </w:tcBorders>
            <w:shd w:val="clear" w:color="auto" w:fill="auto"/>
            <w:noWrap/>
            <w:vAlign w:val="center"/>
            <w:hideMark/>
          </w:tcPr>
          <w:p w14:paraId="1455AAF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489</w:t>
            </w:r>
          </w:p>
        </w:tc>
        <w:tc>
          <w:tcPr>
            <w:tcW w:w="416" w:type="pct"/>
            <w:vMerge w:val="restart"/>
            <w:tcBorders>
              <w:top w:val="nil"/>
              <w:left w:val="dotted" w:sz="4" w:space="0" w:color="auto"/>
              <w:bottom w:val="dotted" w:sz="4" w:space="0" w:color="auto"/>
              <w:right w:val="dotted" w:sz="4" w:space="0" w:color="auto"/>
            </w:tcBorders>
            <w:shd w:val="clear" w:color="auto" w:fill="auto"/>
            <w:noWrap/>
            <w:vAlign w:val="center"/>
            <w:hideMark/>
          </w:tcPr>
          <w:p w14:paraId="358BA35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600</w:t>
            </w:r>
          </w:p>
        </w:tc>
        <w:tc>
          <w:tcPr>
            <w:tcW w:w="506" w:type="pct"/>
            <w:vMerge w:val="restart"/>
            <w:tcBorders>
              <w:top w:val="nil"/>
              <w:left w:val="dotted" w:sz="4" w:space="0" w:color="auto"/>
              <w:bottom w:val="dotted" w:sz="4" w:space="0" w:color="auto"/>
              <w:right w:val="single" w:sz="8" w:space="0" w:color="auto"/>
            </w:tcBorders>
            <w:shd w:val="clear" w:color="auto" w:fill="auto"/>
            <w:noWrap/>
            <w:vAlign w:val="center"/>
            <w:hideMark/>
          </w:tcPr>
          <w:p w14:paraId="4906E90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296</w:t>
            </w:r>
          </w:p>
        </w:tc>
      </w:tr>
      <w:tr w:rsidR="00CF7396" w:rsidRPr="00CF7396" w14:paraId="6550259B" w14:textId="77777777" w:rsidTr="00AF369B">
        <w:trPr>
          <w:trHeight w:val="300"/>
        </w:trPr>
        <w:tc>
          <w:tcPr>
            <w:tcW w:w="590" w:type="pct"/>
            <w:vMerge/>
            <w:tcBorders>
              <w:top w:val="nil"/>
              <w:left w:val="single" w:sz="8" w:space="0" w:color="auto"/>
              <w:bottom w:val="dotted" w:sz="4" w:space="0" w:color="auto"/>
              <w:right w:val="dotted" w:sz="4" w:space="0" w:color="auto"/>
            </w:tcBorders>
            <w:vAlign w:val="center"/>
            <w:hideMark/>
          </w:tcPr>
          <w:p w14:paraId="3E85DEF1"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auto" w:fill="auto"/>
            <w:noWrap/>
            <w:vAlign w:val="center"/>
            <w:hideMark/>
          </w:tcPr>
          <w:p w14:paraId="30C68ED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Terminados</w:t>
            </w:r>
          </w:p>
        </w:tc>
        <w:tc>
          <w:tcPr>
            <w:tcW w:w="246" w:type="pct"/>
            <w:tcBorders>
              <w:top w:val="nil"/>
              <w:left w:val="nil"/>
              <w:bottom w:val="dotted" w:sz="4" w:space="0" w:color="auto"/>
              <w:right w:val="dotted" w:sz="4" w:space="0" w:color="auto"/>
            </w:tcBorders>
            <w:shd w:val="clear" w:color="auto" w:fill="auto"/>
            <w:noWrap/>
            <w:vAlign w:val="center"/>
            <w:hideMark/>
          </w:tcPr>
          <w:p w14:paraId="4C63301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304</w:t>
            </w:r>
          </w:p>
        </w:tc>
        <w:tc>
          <w:tcPr>
            <w:tcW w:w="245" w:type="pct"/>
            <w:tcBorders>
              <w:top w:val="nil"/>
              <w:left w:val="nil"/>
              <w:bottom w:val="dotted" w:sz="4" w:space="0" w:color="auto"/>
              <w:right w:val="dotted" w:sz="4" w:space="0" w:color="auto"/>
            </w:tcBorders>
            <w:shd w:val="clear" w:color="auto" w:fill="auto"/>
            <w:noWrap/>
            <w:vAlign w:val="center"/>
            <w:hideMark/>
          </w:tcPr>
          <w:p w14:paraId="1438B59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214</w:t>
            </w:r>
          </w:p>
        </w:tc>
        <w:tc>
          <w:tcPr>
            <w:tcW w:w="245" w:type="pct"/>
            <w:tcBorders>
              <w:top w:val="nil"/>
              <w:left w:val="nil"/>
              <w:bottom w:val="dotted" w:sz="4" w:space="0" w:color="auto"/>
              <w:right w:val="dotted" w:sz="4" w:space="0" w:color="auto"/>
            </w:tcBorders>
            <w:shd w:val="clear" w:color="auto" w:fill="auto"/>
            <w:noWrap/>
            <w:vAlign w:val="center"/>
            <w:hideMark/>
          </w:tcPr>
          <w:p w14:paraId="5E9BA73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351</w:t>
            </w:r>
          </w:p>
        </w:tc>
        <w:tc>
          <w:tcPr>
            <w:tcW w:w="246" w:type="pct"/>
            <w:tcBorders>
              <w:top w:val="nil"/>
              <w:left w:val="nil"/>
              <w:bottom w:val="dotted" w:sz="4" w:space="0" w:color="auto"/>
              <w:right w:val="dotted" w:sz="4" w:space="0" w:color="auto"/>
            </w:tcBorders>
            <w:shd w:val="clear" w:color="auto" w:fill="auto"/>
            <w:noWrap/>
            <w:vAlign w:val="center"/>
            <w:hideMark/>
          </w:tcPr>
          <w:p w14:paraId="146AD3C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308</w:t>
            </w:r>
          </w:p>
        </w:tc>
        <w:tc>
          <w:tcPr>
            <w:tcW w:w="246" w:type="pct"/>
            <w:tcBorders>
              <w:top w:val="nil"/>
              <w:left w:val="nil"/>
              <w:bottom w:val="dotted" w:sz="4" w:space="0" w:color="auto"/>
              <w:right w:val="dotted" w:sz="4" w:space="0" w:color="auto"/>
            </w:tcBorders>
            <w:shd w:val="clear" w:color="auto" w:fill="auto"/>
            <w:noWrap/>
            <w:vAlign w:val="center"/>
            <w:hideMark/>
          </w:tcPr>
          <w:p w14:paraId="614A66B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252</w:t>
            </w:r>
          </w:p>
        </w:tc>
        <w:tc>
          <w:tcPr>
            <w:tcW w:w="245" w:type="pct"/>
            <w:tcBorders>
              <w:top w:val="nil"/>
              <w:left w:val="nil"/>
              <w:bottom w:val="dotted" w:sz="4" w:space="0" w:color="auto"/>
              <w:right w:val="dotted" w:sz="4" w:space="0" w:color="auto"/>
            </w:tcBorders>
            <w:shd w:val="clear" w:color="auto" w:fill="auto"/>
            <w:noWrap/>
            <w:vAlign w:val="center"/>
            <w:hideMark/>
          </w:tcPr>
          <w:p w14:paraId="7E54090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343</w:t>
            </w:r>
          </w:p>
        </w:tc>
        <w:tc>
          <w:tcPr>
            <w:tcW w:w="246" w:type="pct"/>
            <w:tcBorders>
              <w:top w:val="nil"/>
              <w:left w:val="nil"/>
              <w:bottom w:val="dotted" w:sz="4" w:space="0" w:color="auto"/>
              <w:right w:val="dotted" w:sz="4" w:space="0" w:color="auto"/>
            </w:tcBorders>
            <w:shd w:val="clear" w:color="auto" w:fill="auto"/>
            <w:noWrap/>
            <w:vAlign w:val="center"/>
            <w:hideMark/>
          </w:tcPr>
          <w:p w14:paraId="78EBE78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293</w:t>
            </w:r>
          </w:p>
        </w:tc>
        <w:tc>
          <w:tcPr>
            <w:tcW w:w="246" w:type="pct"/>
            <w:tcBorders>
              <w:top w:val="nil"/>
              <w:left w:val="nil"/>
              <w:bottom w:val="dotted" w:sz="4" w:space="0" w:color="auto"/>
              <w:right w:val="dotted" w:sz="4" w:space="0" w:color="auto"/>
            </w:tcBorders>
            <w:shd w:val="clear" w:color="auto" w:fill="auto"/>
            <w:noWrap/>
            <w:vAlign w:val="center"/>
            <w:hideMark/>
          </w:tcPr>
          <w:p w14:paraId="0D1DFBB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276</w:t>
            </w:r>
          </w:p>
        </w:tc>
        <w:tc>
          <w:tcPr>
            <w:tcW w:w="245" w:type="pct"/>
            <w:tcBorders>
              <w:top w:val="nil"/>
              <w:left w:val="nil"/>
              <w:bottom w:val="dotted" w:sz="4" w:space="0" w:color="auto"/>
              <w:right w:val="dotted" w:sz="4" w:space="0" w:color="auto"/>
            </w:tcBorders>
            <w:shd w:val="clear" w:color="auto" w:fill="auto"/>
            <w:noWrap/>
            <w:vAlign w:val="center"/>
            <w:hideMark/>
          </w:tcPr>
          <w:p w14:paraId="524D5A1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281</w:t>
            </w:r>
          </w:p>
        </w:tc>
        <w:tc>
          <w:tcPr>
            <w:tcW w:w="246" w:type="pct"/>
            <w:tcBorders>
              <w:top w:val="nil"/>
              <w:left w:val="nil"/>
              <w:bottom w:val="dotted" w:sz="4" w:space="0" w:color="auto"/>
              <w:right w:val="dotted" w:sz="4" w:space="0" w:color="auto"/>
            </w:tcBorders>
            <w:shd w:val="clear" w:color="auto" w:fill="auto"/>
            <w:noWrap/>
            <w:vAlign w:val="center"/>
            <w:hideMark/>
          </w:tcPr>
          <w:p w14:paraId="7C86054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283</w:t>
            </w:r>
          </w:p>
        </w:tc>
        <w:tc>
          <w:tcPr>
            <w:tcW w:w="245" w:type="pct"/>
            <w:tcBorders>
              <w:top w:val="nil"/>
              <w:left w:val="nil"/>
              <w:bottom w:val="dotted" w:sz="4" w:space="0" w:color="auto"/>
              <w:right w:val="dotted" w:sz="4" w:space="0" w:color="auto"/>
            </w:tcBorders>
            <w:shd w:val="clear" w:color="auto" w:fill="auto"/>
            <w:noWrap/>
            <w:vAlign w:val="center"/>
            <w:hideMark/>
          </w:tcPr>
          <w:p w14:paraId="3C86A98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217</w:t>
            </w:r>
          </w:p>
        </w:tc>
        <w:tc>
          <w:tcPr>
            <w:tcW w:w="246" w:type="pct"/>
            <w:tcBorders>
              <w:top w:val="nil"/>
              <w:left w:val="nil"/>
              <w:bottom w:val="dotted" w:sz="4" w:space="0" w:color="auto"/>
              <w:right w:val="dotted" w:sz="4" w:space="0" w:color="auto"/>
            </w:tcBorders>
            <w:shd w:val="clear" w:color="auto" w:fill="auto"/>
            <w:noWrap/>
            <w:vAlign w:val="center"/>
            <w:hideMark/>
          </w:tcPr>
          <w:p w14:paraId="152357D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281</w:t>
            </w:r>
          </w:p>
        </w:tc>
        <w:tc>
          <w:tcPr>
            <w:tcW w:w="416" w:type="pct"/>
            <w:vMerge/>
            <w:tcBorders>
              <w:top w:val="nil"/>
              <w:left w:val="dotted" w:sz="4" w:space="0" w:color="auto"/>
              <w:bottom w:val="dotted" w:sz="4" w:space="0" w:color="auto"/>
              <w:right w:val="dotted" w:sz="4" w:space="0" w:color="auto"/>
            </w:tcBorders>
            <w:vAlign w:val="center"/>
            <w:hideMark/>
          </w:tcPr>
          <w:p w14:paraId="07ECE5B7"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dotted" w:sz="4" w:space="0" w:color="auto"/>
              <w:right w:val="single" w:sz="8" w:space="0" w:color="auto"/>
            </w:tcBorders>
            <w:vAlign w:val="center"/>
            <w:hideMark/>
          </w:tcPr>
          <w:p w14:paraId="26354977" w14:textId="77777777" w:rsidR="00CF7396" w:rsidRPr="00CF7396" w:rsidRDefault="00CF7396" w:rsidP="00CF7396">
            <w:pPr>
              <w:rPr>
                <w:b/>
                <w:bCs/>
                <w:color w:val="000000" w:themeColor="text1"/>
                <w:lang w:val="es-CR" w:eastAsia="es-CR"/>
              </w:rPr>
            </w:pPr>
          </w:p>
        </w:tc>
      </w:tr>
      <w:tr w:rsidR="00CF7396" w:rsidRPr="00CF7396" w14:paraId="74DEA73D" w14:textId="77777777" w:rsidTr="00AF369B">
        <w:trPr>
          <w:trHeight w:val="300"/>
        </w:trPr>
        <w:tc>
          <w:tcPr>
            <w:tcW w:w="590" w:type="pct"/>
            <w:vMerge/>
            <w:tcBorders>
              <w:top w:val="nil"/>
              <w:left w:val="single" w:sz="8" w:space="0" w:color="auto"/>
              <w:bottom w:val="dotted" w:sz="4" w:space="0" w:color="auto"/>
              <w:right w:val="dotted" w:sz="4" w:space="0" w:color="auto"/>
            </w:tcBorders>
            <w:vAlign w:val="center"/>
            <w:hideMark/>
          </w:tcPr>
          <w:p w14:paraId="4EBFA12C"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auto" w:fill="auto"/>
            <w:noWrap/>
            <w:vAlign w:val="center"/>
            <w:hideMark/>
          </w:tcPr>
          <w:p w14:paraId="2896E41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Circulante final</w:t>
            </w:r>
          </w:p>
        </w:tc>
        <w:tc>
          <w:tcPr>
            <w:tcW w:w="246" w:type="pct"/>
            <w:tcBorders>
              <w:top w:val="nil"/>
              <w:left w:val="nil"/>
              <w:bottom w:val="dotted" w:sz="4" w:space="0" w:color="auto"/>
              <w:right w:val="dotted" w:sz="4" w:space="0" w:color="auto"/>
            </w:tcBorders>
            <w:shd w:val="clear" w:color="auto" w:fill="auto"/>
            <w:noWrap/>
            <w:vAlign w:val="center"/>
            <w:hideMark/>
          </w:tcPr>
          <w:p w14:paraId="3FB9D8D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19291</w:t>
            </w:r>
          </w:p>
        </w:tc>
        <w:tc>
          <w:tcPr>
            <w:tcW w:w="245" w:type="pct"/>
            <w:tcBorders>
              <w:top w:val="nil"/>
              <w:left w:val="nil"/>
              <w:bottom w:val="dotted" w:sz="4" w:space="0" w:color="auto"/>
              <w:right w:val="dotted" w:sz="4" w:space="0" w:color="auto"/>
            </w:tcBorders>
            <w:shd w:val="clear" w:color="auto" w:fill="auto"/>
            <w:noWrap/>
            <w:vAlign w:val="center"/>
            <w:hideMark/>
          </w:tcPr>
          <w:p w14:paraId="57BFB12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18806</w:t>
            </w:r>
          </w:p>
        </w:tc>
        <w:tc>
          <w:tcPr>
            <w:tcW w:w="245" w:type="pct"/>
            <w:tcBorders>
              <w:top w:val="nil"/>
              <w:left w:val="nil"/>
              <w:bottom w:val="dotted" w:sz="4" w:space="0" w:color="auto"/>
              <w:right w:val="dotted" w:sz="4" w:space="0" w:color="auto"/>
            </w:tcBorders>
            <w:shd w:val="clear" w:color="auto" w:fill="auto"/>
            <w:noWrap/>
            <w:vAlign w:val="center"/>
            <w:hideMark/>
          </w:tcPr>
          <w:p w14:paraId="6FFCF0B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17028</w:t>
            </w:r>
          </w:p>
        </w:tc>
        <w:tc>
          <w:tcPr>
            <w:tcW w:w="246" w:type="pct"/>
            <w:tcBorders>
              <w:top w:val="nil"/>
              <w:left w:val="nil"/>
              <w:bottom w:val="dotted" w:sz="4" w:space="0" w:color="auto"/>
              <w:right w:val="dotted" w:sz="4" w:space="0" w:color="auto"/>
            </w:tcBorders>
            <w:shd w:val="clear" w:color="auto" w:fill="auto"/>
            <w:noWrap/>
            <w:vAlign w:val="center"/>
            <w:hideMark/>
          </w:tcPr>
          <w:p w14:paraId="55ABE03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15485</w:t>
            </w:r>
          </w:p>
        </w:tc>
        <w:tc>
          <w:tcPr>
            <w:tcW w:w="246" w:type="pct"/>
            <w:tcBorders>
              <w:top w:val="nil"/>
              <w:left w:val="nil"/>
              <w:bottom w:val="dotted" w:sz="4" w:space="0" w:color="auto"/>
              <w:right w:val="dotted" w:sz="4" w:space="0" w:color="auto"/>
            </w:tcBorders>
            <w:shd w:val="clear" w:color="auto" w:fill="auto"/>
            <w:noWrap/>
            <w:vAlign w:val="center"/>
            <w:hideMark/>
          </w:tcPr>
          <w:p w14:paraId="3DC4A2B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16010</w:t>
            </w:r>
          </w:p>
        </w:tc>
        <w:tc>
          <w:tcPr>
            <w:tcW w:w="245" w:type="pct"/>
            <w:tcBorders>
              <w:top w:val="nil"/>
              <w:left w:val="nil"/>
              <w:bottom w:val="dotted" w:sz="4" w:space="0" w:color="auto"/>
              <w:right w:val="dotted" w:sz="4" w:space="0" w:color="auto"/>
            </w:tcBorders>
            <w:shd w:val="clear" w:color="auto" w:fill="auto"/>
            <w:noWrap/>
            <w:vAlign w:val="center"/>
            <w:hideMark/>
          </w:tcPr>
          <w:p w14:paraId="3BA374C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15873</w:t>
            </w:r>
          </w:p>
        </w:tc>
        <w:tc>
          <w:tcPr>
            <w:tcW w:w="246" w:type="pct"/>
            <w:tcBorders>
              <w:top w:val="nil"/>
              <w:left w:val="nil"/>
              <w:bottom w:val="dotted" w:sz="4" w:space="0" w:color="auto"/>
              <w:right w:val="dotted" w:sz="4" w:space="0" w:color="auto"/>
            </w:tcBorders>
            <w:shd w:val="clear" w:color="auto" w:fill="auto"/>
            <w:noWrap/>
            <w:vAlign w:val="center"/>
            <w:hideMark/>
          </w:tcPr>
          <w:p w14:paraId="08C349B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16287</w:t>
            </w:r>
          </w:p>
        </w:tc>
        <w:tc>
          <w:tcPr>
            <w:tcW w:w="246" w:type="pct"/>
            <w:tcBorders>
              <w:top w:val="nil"/>
              <w:left w:val="nil"/>
              <w:bottom w:val="dotted" w:sz="4" w:space="0" w:color="auto"/>
              <w:right w:val="dotted" w:sz="4" w:space="0" w:color="auto"/>
            </w:tcBorders>
            <w:shd w:val="clear" w:color="auto" w:fill="auto"/>
            <w:noWrap/>
            <w:vAlign w:val="center"/>
            <w:hideMark/>
          </w:tcPr>
          <w:p w14:paraId="46EFA20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17558</w:t>
            </w:r>
          </w:p>
        </w:tc>
        <w:tc>
          <w:tcPr>
            <w:tcW w:w="245" w:type="pct"/>
            <w:tcBorders>
              <w:top w:val="nil"/>
              <w:left w:val="nil"/>
              <w:bottom w:val="dotted" w:sz="4" w:space="0" w:color="auto"/>
              <w:right w:val="dotted" w:sz="4" w:space="0" w:color="auto"/>
            </w:tcBorders>
            <w:shd w:val="clear" w:color="auto" w:fill="auto"/>
            <w:noWrap/>
            <w:vAlign w:val="center"/>
            <w:hideMark/>
          </w:tcPr>
          <w:p w14:paraId="722801B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17916</w:t>
            </w:r>
          </w:p>
        </w:tc>
        <w:tc>
          <w:tcPr>
            <w:tcW w:w="246" w:type="pct"/>
            <w:tcBorders>
              <w:top w:val="nil"/>
              <w:left w:val="nil"/>
              <w:bottom w:val="dotted" w:sz="4" w:space="0" w:color="auto"/>
              <w:right w:val="dotted" w:sz="4" w:space="0" w:color="auto"/>
            </w:tcBorders>
            <w:shd w:val="clear" w:color="auto" w:fill="auto"/>
            <w:noWrap/>
            <w:vAlign w:val="center"/>
            <w:hideMark/>
          </w:tcPr>
          <w:p w14:paraId="03D6D08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17609</w:t>
            </w:r>
          </w:p>
        </w:tc>
        <w:tc>
          <w:tcPr>
            <w:tcW w:w="245" w:type="pct"/>
            <w:tcBorders>
              <w:top w:val="nil"/>
              <w:left w:val="nil"/>
              <w:bottom w:val="dotted" w:sz="4" w:space="0" w:color="auto"/>
              <w:right w:val="dotted" w:sz="4" w:space="0" w:color="auto"/>
            </w:tcBorders>
            <w:shd w:val="clear" w:color="auto" w:fill="auto"/>
            <w:noWrap/>
            <w:vAlign w:val="center"/>
            <w:hideMark/>
          </w:tcPr>
          <w:p w14:paraId="6309A4A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18257</w:t>
            </w:r>
          </w:p>
        </w:tc>
        <w:tc>
          <w:tcPr>
            <w:tcW w:w="246" w:type="pct"/>
            <w:tcBorders>
              <w:top w:val="nil"/>
              <w:left w:val="nil"/>
              <w:bottom w:val="dotted" w:sz="4" w:space="0" w:color="auto"/>
              <w:right w:val="dotted" w:sz="4" w:space="0" w:color="auto"/>
            </w:tcBorders>
            <w:shd w:val="clear" w:color="auto" w:fill="auto"/>
            <w:noWrap/>
            <w:vAlign w:val="center"/>
            <w:hideMark/>
          </w:tcPr>
          <w:p w14:paraId="03FD7E1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18009</w:t>
            </w:r>
          </w:p>
        </w:tc>
        <w:tc>
          <w:tcPr>
            <w:tcW w:w="416" w:type="pct"/>
            <w:vMerge/>
            <w:tcBorders>
              <w:top w:val="nil"/>
              <w:left w:val="dotted" w:sz="4" w:space="0" w:color="auto"/>
              <w:bottom w:val="dotted" w:sz="4" w:space="0" w:color="auto"/>
              <w:right w:val="dotted" w:sz="4" w:space="0" w:color="auto"/>
            </w:tcBorders>
            <w:vAlign w:val="center"/>
            <w:hideMark/>
          </w:tcPr>
          <w:p w14:paraId="2EDA3A41"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dotted" w:sz="4" w:space="0" w:color="auto"/>
              <w:right w:val="single" w:sz="8" w:space="0" w:color="auto"/>
            </w:tcBorders>
            <w:vAlign w:val="center"/>
            <w:hideMark/>
          </w:tcPr>
          <w:p w14:paraId="04F98E8F" w14:textId="77777777" w:rsidR="00CF7396" w:rsidRPr="00CF7396" w:rsidRDefault="00CF7396" w:rsidP="00CF7396">
            <w:pPr>
              <w:rPr>
                <w:b/>
                <w:bCs/>
                <w:color w:val="000000" w:themeColor="text1"/>
                <w:lang w:val="es-CR" w:eastAsia="es-CR"/>
              </w:rPr>
            </w:pPr>
          </w:p>
        </w:tc>
      </w:tr>
      <w:tr w:rsidR="00CF7396" w:rsidRPr="00CF7396" w14:paraId="4FE4F5BD" w14:textId="77777777" w:rsidTr="00AF369B">
        <w:trPr>
          <w:trHeight w:val="300"/>
        </w:trPr>
        <w:tc>
          <w:tcPr>
            <w:tcW w:w="590" w:type="pct"/>
            <w:vMerge w:val="restart"/>
            <w:tcBorders>
              <w:top w:val="nil"/>
              <w:left w:val="single" w:sz="8" w:space="0" w:color="auto"/>
              <w:bottom w:val="dotted" w:sz="4" w:space="0" w:color="auto"/>
              <w:right w:val="dotted" w:sz="4" w:space="0" w:color="auto"/>
            </w:tcBorders>
            <w:shd w:val="clear" w:color="000000" w:fill="D9E1F2"/>
            <w:vAlign w:val="center"/>
            <w:hideMark/>
          </w:tcPr>
          <w:p w14:paraId="1CC2BE3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Juzgado de Familia del ICJ Zona Atlántica</w:t>
            </w:r>
          </w:p>
        </w:tc>
        <w:tc>
          <w:tcPr>
            <w:tcW w:w="540" w:type="pct"/>
            <w:tcBorders>
              <w:top w:val="nil"/>
              <w:left w:val="nil"/>
              <w:bottom w:val="dotted" w:sz="4" w:space="0" w:color="auto"/>
              <w:right w:val="dotted" w:sz="4" w:space="0" w:color="auto"/>
            </w:tcBorders>
            <w:shd w:val="clear" w:color="000000" w:fill="D9E1F2"/>
            <w:noWrap/>
            <w:vAlign w:val="center"/>
            <w:hideMark/>
          </w:tcPr>
          <w:p w14:paraId="7607B23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Entrada</w:t>
            </w:r>
          </w:p>
        </w:tc>
        <w:tc>
          <w:tcPr>
            <w:tcW w:w="246" w:type="pct"/>
            <w:tcBorders>
              <w:top w:val="nil"/>
              <w:left w:val="nil"/>
              <w:bottom w:val="dotted" w:sz="4" w:space="0" w:color="auto"/>
              <w:right w:val="dotted" w:sz="4" w:space="0" w:color="auto"/>
            </w:tcBorders>
            <w:shd w:val="clear" w:color="000000" w:fill="D9E1F2"/>
            <w:noWrap/>
            <w:vAlign w:val="center"/>
            <w:hideMark/>
          </w:tcPr>
          <w:p w14:paraId="204D0CA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78</w:t>
            </w:r>
          </w:p>
        </w:tc>
        <w:tc>
          <w:tcPr>
            <w:tcW w:w="245" w:type="pct"/>
            <w:tcBorders>
              <w:top w:val="nil"/>
              <w:left w:val="nil"/>
              <w:bottom w:val="dotted" w:sz="4" w:space="0" w:color="auto"/>
              <w:right w:val="dotted" w:sz="4" w:space="0" w:color="auto"/>
            </w:tcBorders>
            <w:shd w:val="clear" w:color="000000" w:fill="D9E1F2"/>
            <w:noWrap/>
            <w:vAlign w:val="center"/>
            <w:hideMark/>
          </w:tcPr>
          <w:p w14:paraId="46EC05E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83</w:t>
            </w:r>
          </w:p>
        </w:tc>
        <w:tc>
          <w:tcPr>
            <w:tcW w:w="245" w:type="pct"/>
            <w:tcBorders>
              <w:top w:val="nil"/>
              <w:left w:val="nil"/>
              <w:bottom w:val="dotted" w:sz="4" w:space="0" w:color="auto"/>
              <w:right w:val="dotted" w:sz="4" w:space="0" w:color="auto"/>
            </w:tcBorders>
            <w:shd w:val="clear" w:color="000000" w:fill="D9E1F2"/>
            <w:noWrap/>
            <w:vAlign w:val="center"/>
            <w:hideMark/>
          </w:tcPr>
          <w:p w14:paraId="67ABBD4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80</w:t>
            </w:r>
          </w:p>
        </w:tc>
        <w:tc>
          <w:tcPr>
            <w:tcW w:w="246" w:type="pct"/>
            <w:tcBorders>
              <w:top w:val="nil"/>
              <w:left w:val="nil"/>
              <w:bottom w:val="dotted" w:sz="4" w:space="0" w:color="auto"/>
              <w:right w:val="dotted" w:sz="4" w:space="0" w:color="auto"/>
            </w:tcBorders>
            <w:shd w:val="clear" w:color="000000" w:fill="D9E1F2"/>
            <w:noWrap/>
            <w:vAlign w:val="center"/>
            <w:hideMark/>
          </w:tcPr>
          <w:p w14:paraId="4288E30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81</w:t>
            </w:r>
          </w:p>
        </w:tc>
        <w:tc>
          <w:tcPr>
            <w:tcW w:w="246" w:type="pct"/>
            <w:tcBorders>
              <w:top w:val="nil"/>
              <w:left w:val="nil"/>
              <w:bottom w:val="dotted" w:sz="4" w:space="0" w:color="auto"/>
              <w:right w:val="dotted" w:sz="4" w:space="0" w:color="auto"/>
            </w:tcBorders>
            <w:shd w:val="clear" w:color="000000" w:fill="D9E1F2"/>
            <w:noWrap/>
            <w:vAlign w:val="center"/>
            <w:hideMark/>
          </w:tcPr>
          <w:p w14:paraId="187B1B2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69</w:t>
            </w:r>
          </w:p>
        </w:tc>
        <w:tc>
          <w:tcPr>
            <w:tcW w:w="245" w:type="pct"/>
            <w:tcBorders>
              <w:top w:val="nil"/>
              <w:left w:val="nil"/>
              <w:bottom w:val="dotted" w:sz="4" w:space="0" w:color="auto"/>
              <w:right w:val="dotted" w:sz="4" w:space="0" w:color="auto"/>
            </w:tcBorders>
            <w:shd w:val="clear" w:color="000000" w:fill="D9E1F2"/>
            <w:noWrap/>
            <w:vAlign w:val="center"/>
            <w:hideMark/>
          </w:tcPr>
          <w:p w14:paraId="45CE62B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96</w:t>
            </w:r>
          </w:p>
        </w:tc>
        <w:tc>
          <w:tcPr>
            <w:tcW w:w="246" w:type="pct"/>
            <w:tcBorders>
              <w:top w:val="nil"/>
              <w:left w:val="nil"/>
              <w:bottom w:val="dotted" w:sz="4" w:space="0" w:color="auto"/>
              <w:right w:val="dotted" w:sz="4" w:space="0" w:color="auto"/>
            </w:tcBorders>
            <w:shd w:val="clear" w:color="000000" w:fill="D9E1F2"/>
            <w:noWrap/>
            <w:vAlign w:val="center"/>
            <w:hideMark/>
          </w:tcPr>
          <w:p w14:paraId="19ACF5D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81</w:t>
            </w:r>
          </w:p>
        </w:tc>
        <w:tc>
          <w:tcPr>
            <w:tcW w:w="246" w:type="pct"/>
            <w:tcBorders>
              <w:top w:val="nil"/>
              <w:left w:val="nil"/>
              <w:bottom w:val="dotted" w:sz="4" w:space="0" w:color="auto"/>
              <w:right w:val="dotted" w:sz="4" w:space="0" w:color="auto"/>
            </w:tcBorders>
            <w:shd w:val="clear" w:color="000000" w:fill="D9E1F2"/>
            <w:noWrap/>
            <w:vAlign w:val="center"/>
            <w:hideMark/>
          </w:tcPr>
          <w:p w14:paraId="1B61302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73</w:t>
            </w:r>
          </w:p>
        </w:tc>
        <w:tc>
          <w:tcPr>
            <w:tcW w:w="245" w:type="pct"/>
            <w:tcBorders>
              <w:top w:val="nil"/>
              <w:left w:val="nil"/>
              <w:bottom w:val="dotted" w:sz="4" w:space="0" w:color="auto"/>
              <w:right w:val="dotted" w:sz="4" w:space="0" w:color="auto"/>
            </w:tcBorders>
            <w:shd w:val="clear" w:color="000000" w:fill="D9E1F2"/>
            <w:noWrap/>
            <w:vAlign w:val="center"/>
            <w:hideMark/>
          </w:tcPr>
          <w:p w14:paraId="7A7FF35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93</w:t>
            </w:r>
          </w:p>
        </w:tc>
        <w:tc>
          <w:tcPr>
            <w:tcW w:w="246" w:type="pct"/>
            <w:tcBorders>
              <w:top w:val="nil"/>
              <w:left w:val="nil"/>
              <w:bottom w:val="dotted" w:sz="4" w:space="0" w:color="auto"/>
              <w:right w:val="dotted" w:sz="4" w:space="0" w:color="auto"/>
            </w:tcBorders>
            <w:shd w:val="clear" w:color="000000" w:fill="D9E1F2"/>
            <w:noWrap/>
            <w:vAlign w:val="center"/>
            <w:hideMark/>
          </w:tcPr>
          <w:p w14:paraId="19A862C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86</w:t>
            </w:r>
          </w:p>
        </w:tc>
        <w:tc>
          <w:tcPr>
            <w:tcW w:w="245" w:type="pct"/>
            <w:tcBorders>
              <w:top w:val="nil"/>
              <w:left w:val="nil"/>
              <w:bottom w:val="dotted" w:sz="4" w:space="0" w:color="auto"/>
              <w:right w:val="dotted" w:sz="4" w:space="0" w:color="auto"/>
            </w:tcBorders>
            <w:shd w:val="clear" w:color="000000" w:fill="D9E1F2"/>
            <w:noWrap/>
            <w:vAlign w:val="center"/>
            <w:hideMark/>
          </w:tcPr>
          <w:p w14:paraId="6BE10E2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74</w:t>
            </w:r>
          </w:p>
        </w:tc>
        <w:tc>
          <w:tcPr>
            <w:tcW w:w="246" w:type="pct"/>
            <w:tcBorders>
              <w:top w:val="nil"/>
              <w:left w:val="nil"/>
              <w:bottom w:val="dotted" w:sz="4" w:space="0" w:color="auto"/>
              <w:right w:val="dotted" w:sz="4" w:space="0" w:color="auto"/>
            </w:tcBorders>
            <w:shd w:val="clear" w:color="000000" w:fill="D9E1F2"/>
            <w:noWrap/>
            <w:vAlign w:val="center"/>
            <w:hideMark/>
          </w:tcPr>
          <w:p w14:paraId="33E7F28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60</w:t>
            </w:r>
          </w:p>
        </w:tc>
        <w:tc>
          <w:tcPr>
            <w:tcW w:w="416" w:type="pct"/>
            <w:vMerge w:val="restart"/>
            <w:tcBorders>
              <w:top w:val="nil"/>
              <w:left w:val="dotted" w:sz="4" w:space="0" w:color="auto"/>
              <w:bottom w:val="dotted" w:sz="4" w:space="0" w:color="auto"/>
              <w:right w:val="dotted" w:sz="4" w:space="0" w:color="auto"/>
            </w:tcBorders>
            <w:shd w:val="clear" w:color="000000" w:fill="D9E1F2"/>
            <w:noWrap/>
            <w:vAlign w:val="center"/>
            <w:hideMark/>
          </w:tcPr>
          <w:p w14:paraId="645056F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83</w:t>
            </w:r>
          </w:p>
        </w:tc>
        <w:tc>
          <w:tcPr>
            <w:tcW w:w="506" w:type="pct"/>
            <w:vMerge w:val="restart"/>
            <w:tcBorders>
              <w:top w:val="nil"/>
              <w:left w:val="dotted" w:sz="4" w:space="0" w:color="auto"/>
              <w:bottom w:val="dotted" w:sz="4" w:space="0" w:color="auto"/>
              <w:right w:val="single" w:sz="8" w:space="0" w:color="auto"/>
            </w:tcBorders>
            <w:shd w:val="clear" w:color="000000" w:fill="D9E1F2"/>
            <w:noWrap/>
            <w:vAlign w:val="center"/>
            <w:hideMark/>
          </w:tcPr>
          <w:p w14:paraId="79265DA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77</w:t>
            </w:r>
          </w:p>
        </w:tc>
      </w:tr>
      <w:tr w:rsidR="00CF7396" w:rsidRPr="00CF7396" w14:paraId="328D0839" w14:textId="77777777" w:rsidTr="00AF369B">
        <w:trPr>
          <w:trHeight w:val="300"/>
        </w:trPr>
        <w:tc>
          <w:tcPr>
            <w:tcW w:w="590" w:type="pct"/>
            <w:vMerge/>
            <w:tcBorders>
              <w:top w:val="nil"/>
              <w:left w:val="single" w:sz="8" w:space="0" w:color="auto"/>
              <w:bottom w:val="dotted" w:sz="4" w:space="0" w:color="auto"/>
              <w:right w:val="dotted" w:sz="4" w:space="0" w:color="auto"/>
            </w:tcBorders>
            <w:vAlign w:val="center"/>
            <w:hideMark/>
          </w:tcPr>
          <w:p w14:paraId="1DB4348B"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000000" w:fill="D9E1F2"/>
            <w:noWrap/>
            <w:vAlign w:val="center"/>
            <w:hideMark/>
          </w:tcPr>
          <w:p w14:paraId="25508D0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Terminados</w:t>
            </w:r>
          </w:p>
        </w:tc>
        <w:tc>
          <w:tcPr>
            <w:tcW w:w="246" w:type="pct"/>
            <w:tcBorders>
              <w:top w:val="nil"/>
              <w:left w:val="nil"/>
              <w:bottom w:val="dotted" w:sz="4" w:space="0" w:color="auto"/>
              <w:right w:val="dotted" w:sz="4" w:space="0" w:color="auto"/>
            </w:tcBorders>
            <w:shd w:val="clear" w:color="000000" w:fill="D9E1F2"/>
            <w:noWrap/>
            <w:vAlign w:val="center"/>
            <w:hideMark/>
          </w:tcPr>
          <w:p w14:paraId="1E3EA81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64</w:t>
            </w:r>
          </w:p>
        </w:tc>
        <w:tc>
          <w:tcPr>
            <w:tcW w:w="245" w:type="pct"/>
            <w:tcBorders>
              <w:top w:val="nil"/>
              <w:left w:val="nil"/>
              <w:bottom w:val="dotted" w:sz="4" w:space="0" w:color="auto"/>
              <w:right w:val="dotted" w:sz="4" w:space="0" w:color="auto"/>
            </w:tcBorders>
            <w:shd w:val="clear" w:color="000000" w:fill="D9E1F2"/>
            <w:noWrap/>
            <w:vAlign w:val="center"/>
            <w:hideMark/>
          </w:tcPr>
          <w:p w14:paraId="64C3922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74</w:t>
            </w:r>
          </w:p>
        </w:tc>
        <w:tc>
          <w:tcPr>
            <w:tcW w:w="245" w:type="pct"/>
            <w:tcBorders>
              <w:top w:val="nil"/>
              <w:left w:val="nil"/>
              <w:bottom w:val="dotted" w:sz="4" w:space="0" w:color="auto"/>
              <w:right w:val="dotted" w:sz="4" w:space="0" w:color="auto"/>
            </w:tcBorders>
            <w:shd w:val="clear" w:color="000000" w:fill="D9E1F2"/>
            <w:noWrap/>
            <w:vAlign w:val="center"/>
            <w:hideMark/>
          </w:tcPr>
          <w:p w14:paraId="3DCB08E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68</w:t>
            </w:r>
          </w:p>
        </w:tc>
        <w:tc>
          <w:tcPr>
            <w:tcW w:w="246" w:type="pct"/>
            <w:tcBorders>
              <w:top w:val="nil"/>
              <w:left w:val="nil"/>
              <w:bottom w:val="dotted" w:sz="4" w:space="0" w:color="auto"/>
              <w:right w:val="dotted" w:sz="4" w:space="0" w:color="auto"/>
            </w:tcBorders>
            <w:shd w:val="clear" w:color="000000" w:fill="D9E1F2"/>
            <w:noWrap/>
            <w:vAlign w:val="center"/>
            <w:hideMark/>
          </w:tcPr>
          <w:p w14:paraId="3120A5B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80</w:t>
            </w:r>
          </w:p>
        </w:tc>
        <w:tc>
          <w:tcPr>
            <w:tcW w:w="246" w:type="pct"/>
            <w:tcBorders>
              <w:top w:val="nil"/>
              <w:left w:val="nil"/>
              <w:bottom w:val="dotted" w:sz="4" w:space="0" w:color="auto"/>
              <w:right w:val="dotted" w:sz="4" w:space="0" w:color="auto"/>
            </w:tcBorders>
            <w:shd w:val="clear" w:color="000000" w:fill="D9E1F2"/>
            <w:noWrap/>
            <w:vAlign w:val="center"/>
            <w:hideMark/>
          </w:tcPr>
          <w:p w14:paraId="4C82084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48</w:t>
            </w:r>
          </w:p>
        </w:tc>
        <w:tc>
          <w:tcPr>
            <w:tcW w:w="245" w:type="pct"/>
            <w:tcBorders>
              <w:top w:val="nil"/>
              <w:left w:val="nil"/>
              <w:bottom w:val="dotted" w:sz="4" w:space="0" w:color="auto"/>
              <w:right w:val="dotted" w:sz="4" w:space="0" w:color="auto"/>
            </w:tcBorders>
            <w:shd w:val="clear" w:color="000000" w:fill="D9E1F2"/>
            <w:noWrap/>
            <w:vAlign w:val="center"/>
            <w:hideMark/>
          </w:tcPr>
          <w:p w14:paraId="3383E7A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85</w:t>
            </w:r>
          </w:p>
        </w:tc>
        <w:tc>
          <w:tcPr>
            <w:tcW w:w="246" w:type="pct"/>
            <w:tcBorders>
              <w:top w:val="nil"/>
              <w:left w:val="nil"/>
              <w:bottom w:val="dotted" w:sz="4" w:space="0" w:color="auto"/>
              <w:right w:val="dotted" w:sz="4" w:space="0" w:color="auto"/>
            </w:tcBorders>
            <w:shd w:val="clear" w:color="000000" w:fill="D9E1F2"/>
            <w:noWrap/>
            <w:vAlign w:val="center"/>
            <w:hideMark/>
          </w:tcPr>
          <w:p w14:paraId="665BC2E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77</w:t>
            </w:r>
          </w:p>
        </w:tc>
        <w:tc>
          <w:tcPr>
            <w:tcW w:w="246" w:type="pct"/>
            <w:tcBorders>
              <w:top w:val="nil"/>
              <w:left w:val="nil"/>
              <w:bottom w:val="dotted" w:sz="4" w:space="0" w:color="auto"/>
              <w:right w:val="dotted" w:sz="4" w:space="0" w:color="auto"/>
            </w:tcBorders>
            <w:shd w:val="clear" w:color="000000" w:fill="D9E1F2"/>
            <w:noWrap/>
            <w:vAlign w:val="center"/>
            <w:hideMark/>
          </w:tcPr>
          <w:p w14:paraId="6951A0D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89</w:t>
            </w:r>
          </w:p>
        </w:tc>
        <w:tc>
          <w:tcPr>
            <w:tcW w:w="245" w:type="pct"/>
            <w:tcBorders>
              <w:top w:val="nil"/>
              <w:left w:val="nil"/>
              <w:bottom w:val="dotted" w:sz="4" w:space="0" w:color="auto"/>
              <w:right w:val="dotted" w:sz="4" w:space="0" w:color="auto"/>
            </w:tcBorders>
            <w:shd w:val="clear" w:color="000000" w:fill="D9E1F2"/>
            <w:noWrap/>
            <w:vAlign w:val="center"/>
            <w:hideMark/>
          </w:tcPr>
          <w:p w14:paraId="7B9522E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82</w:t>
            </w:r>
          </w:p>
        </w:tc>
        <w:tc>
          <w:tcPr>
            <w:tcW w:w="246" w:type="pct"/>
            <w:tcBorders>
              <w:top w:val="nil"/>
              <w:left w:val="nil"/>
              <w:bottom w:val="dotted" w:sz="4" w:space="0" w:color="auto"/>
              <w:right w:val="dotted" w:sz="4" w:space="0" w:color="auto"/>
            </w:tcBorders>
            <w:shd w:val="clear" w:color="000000" w:fill="D9E1F2"/>
            <w:noWrap/>
            <w:vAlign w:val="center"/>
            <w:hideMark/>
          </w:tcPr>
          <w:p w14:paraId="236942A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71</w:t>
            </w:r>
          </w:p>
        </w:tc>
        <w:tc>
          <w:tcPr>
            <w:tcW w:w="245" w:type="pct"/>
            <w:tcBorders>
              <w:top w:val="nil"/>
              <w:left w:val="nil"/>
              <w:bottom w:val="dotted" w:sz="4" w:space="0" w:color="auto"/>
              <w:right w:val="dotted" w:sz="4" w:space="0" w:color="auto"/>
            </w:tcBorders>
            <w:shd w:val="clear" w:color="000000" w:fill="D9E1F2"/>
            <w:noWrap/>
            <w:vAlign w:val="center"/>
            <w:hideMark/>
          </w:tcPr>
          <w:p w14:paraId="182FAE6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94</w:t>
            </w:r>
          </w:p>
        </w:tc>
        <w:tc>
          <w:tcPr>
            <w:tcW w:w="246" w:type="pct"/>
            <w:tcBorders>
              <w:top w:val="nil"/>
              <w:left w:val="nil"/>
              <w:bottom w:val="dotted" w:sz="4" w:space="0" w:color="auto"/>
              <w:right w:val="dotted" w:sz="4" w:space="0" w:color="auto"/>
            </w:tcBorders>
            <w:shd w:val="clear" w:color="000000" w:fill="D9E1F2"/>
            <w:noWrap/>
            <w:vAlign w:val="center"/>
            <w:hideMark/>
          </w:tcPr>
          <w:p w14:paraId="7842912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53</w:t>
            </w:r>
          </w:p>
        </w:tc>
        <w:tc>
          <w:tcPr>
            <w:tcW w:w="416" w:type="pct"/>
            <w:vMerge/>
            <w:tcBorders>
              <w:top w:val="nil"/>
              <w:left w:val="dotted" w:sz="4" w:space="0" w:color="auto"/>
              <w:bottom w:val="dotted" w:sz="4" w:space="0" w:color="auto"/>
              <w:right w:val="dotted" w:sz="4" w:space="0" w:color="auto"/>
            </w:tcBorders>
            <w:vAlign w:val="center"/>
            <w:hideMark/>
          </w:tcPr>
          <w:p w14:paraId="2CC7D9BE"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dotted" w:sz="4" w:space="0" w:color="auto"/>
              <w:right w:val="single" w:sz="8" w:space="0" w:color="auto"/>
            </w:tcBorders>
            <w:vAlign w:val="center"/>
            <w:hideMark/>
          </w:tcPr>
          <w:p w14:paraId="09F90DA4" w14:textId="77777777" w:rsidR="00CF7396" w:rsidRPr="00CF7396" w:rsidRDefault="00CF7396" w:rsidP="00CF7396">
            <w:pPr>
              <w:rPr>
                <w:b/>
                <w:bCs/>
                <w:color w:val="000000" w:themeColor="text1"/>
                <w:lang w:val="es-CR" w:eastAsia="es-CR"/>
              </w:rPr>
            </w:pPr>
          </w:p>
        </w:tc>
      </w:tr>
      <w:tr w:rsidR="00CF7396" w:rsidRPr="00CF7396" w14:paraId="3102DA64" w14:textId="77777777" w:rsidTr="00AF369B">
        <w:trPr>
          <w:trHeight w:val="300"/>
        </w:trPr>
        <w:tc>
          <w:tcPr>
            <w:tcW w:w="590" w:type="pct"/>
            <w:vMerge/>
            <w:tcBorders>
              <w:top w:val="nil"/>
              <w:left w:val="single" w:sz="8" w:space="0" w:color="auto"/>
              <w:bottom w:val="dotted" w:sz="4" w:space="0" w:color="auto"/>
              <w:right w:val="dotted" w:sz="4" w:space="0" w:color="auto"/>
            </w:tcBorders>
            <w:vAlign w:val="center"/>
            <w:hideMark/>
          </w:tcPr>
          <w:p w14:paraId="67813CA9"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000000" w:fill="D9E1F2"/>
            <w:noWrap/>
            <w:vAlign w:val="center"/>
            <w:hideMark/>
          </w:tcPr>
          <w:p w14:paraId="640103F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Circulante final</w:t>
            </w:r>
          </w:p>
        </w:tc>
        <w:tc>
          <w:tcPr>
            <w:tcW w:w="246" w:type="pct"/>
            <w:tcBorders>
              <w:top w:val="nil"/>
              <w:left w:val="nil"/>
              <w:bottom w:val="dotted" w:sz="4" w:space="0" w:color="auto"/>
              <w:right w:val="dotted" w:sz="4" w:space="0" w:color="auto"/>
            </w:tcBorders>
            <w:shd w:val="clear" w:color="000000" w:fill="D9E1F2"/>
            <w:noWrap/>
            <w:vAlign w:val="center"/>
            <w:hideMark/>
          </w:tcPr>
          <w:p w14:paraId="160151F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474</w:t>
            </w:r>
          </w:p>
        </w:tc>
        <w:tc>
          <w:tcPr>
            <w:tcW w:w="245" w:type="pct"/>
            <w:tcBorders>
              <w:top w:val="nil"/>
              <w:left w:val="nil"/>
              <w:bottom w:val="dotted" w:sz="4" w:space="0" w:color="auto"/>
              <w:right w:val="dotted" w:sz="4" w:space="0" w:color="auto"/>
            </w:tcBorders>
            <w:shd w:val="clear" w:color="000000" w:fill="D9E1F2"/>
            <w:noWrap/>
            <w:vAlign w:val="center"/>
            <w:hideMark/>
          </w:tcPr>
          <w:p w14:paraId="4BB2AF5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484</w:t>
            </w:r>
          </w:p>
        </w:tc>
        <w:tc>
          <w:tcPr>
            <w:tcW w:w="245" w:type="pct"/>
            <w:tcBorders>
              <w:top w:val="nil"/>
              <w:left w:val="nil"/>
              <w:bottom w:val="dotted" w:sz="4" w:space="0" w:color="auto"/>
              <w:right w:val="dotted" w:sz="4" w:space="0" w:color="auto"/>
            </w:tcBorders>
            <w:shd w:val="clear" w:color="000000" w:fill="D9E1F2"/>
            <w:noWrap/>
            <w:vAlign w:val="center"/>
            <w:hideMark/>
          </w:tcPr>
          <w:p w14:paraId="20FDC6C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496</w:t>
            </w:r>
          </w:p>
        </w:tc>
        <w:tc>
          <w:tcPr>
            <w:tcW w:w="246" w:type="pct"/>
            <w:tcBorders>
              <w:top w:val="nil"/>
              <w:left w:val="nil"/>
              <w:bottom w:val="dotted" w:sz="4" w:space="0" w:color="auto"/>
              <w:right w:val="dotted" w:sz="4" w:space="0" w:color="auto"/>
            </w:tcBorders>
            <w:shd w:val="clear" w:color="000000" w:fill="D9E1F2"/>
            <w:noWrap/>
            <w:vAlign w:val="center"/>
            <w:hideMark/>
          </w:tcPr>
          <w:p w14:paraId="42BF3A7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494</w:t>
            </w:r>
          </w:p>
        </w:tc>
        <w:tc>
          <w:tcPr>
            <w:tcW w:w="246" w:type="pct"/>
            <w:tcBorders>
              <w:top w:val="nil"/>
              <w:left w:val="nil"/>
              <w:bottom w:val="dotted" w:sz="4" w:space="0" w:color="auto"/>
              <w:right w:val="dotted" w:sz="4" w:space="0" w:color="auto"/>
            </w:tcBorders>
            <w:shd w:val="clear" w:color="000000" w:fill="D9E1F2"/>
            <w:noWrap/>
            <w:vAlign w:val="center"/>
            <w:hideMark/>
          </w:tcPr>
          <w:p w14:paraId="3D32212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520</w:t>
            </w:r>
          </w:p>
        </w:tc>
        <w:tc>
          <w:tcPr>
            <w:tcW w:w="245" w:type="pct"/>
            <w:tcBorders>
              <w:top w:val="nil"/>
              <w:left w:val="nil"/>
              <w:bottom w:val="dotted" w:sz="4" w:space="0" w:color="auto"/>
              <w:right w:val="dotted" w:sz="4" w:space="0" w:color="auto"/>
            </w:tcBorders>
            <w:shd w:val="clear" w:color="000000" w:fill="D9E1F2"/>
            <w:noWrap/>
            <w:vAlign w:val="center"/>
            <w:hideMark/>
          </w:tcPr>
          <w:p w14:paraId="472F753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536</w:t>
            </w:r>
          </w:p>
        </w:tc>
        <w:tc>
          <w:tcPr>
            <w:tcW w:w="246" w:type="pct"/>
            <w:tcBorders>
              <w:top w:val="nil"/>
              <w:left w:val="nil"/>
              <w:bottom w:val="dotted" w:sz="4" w:space="0" w:color="auto"/>
              <w:right w:val="dotted" w:sz="4" w:space="0" w:color="auto"/>
            </w:tcBorders>
            <w:shd w:val="clear" w:color="000000" w:fill="D9E1F2"/>
            <w:noWrap/>
            <w:vAlign w:val="center"/>
            <w:hideMark/>
          </w:tcPr>
          <w:p w14:paraId="02AFBB5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510</w:t>
            </w:r>
          </w:p>
        </w:tc>
        <w:tc>
          <w:tcPr>
            <w:tcW w:w="246" w:type="pct"/>
            <w:tcBorders>
              <w:top w:val="nil"/>
              <w:left w:val="nil"/>
              <w:bottom w:val="dotted" w:sz="4" w:space="0" w:color="auto"/>
              <w:right w:val="dotted" w:sz="4" w:space="0" w:color="auto"/>
            </w:tcBorders>
            <w:shd w:val="clear" w:color="000000" w:fill="D9E1F2"/>
            <w:noWrap/>
            <w:vAlign w:val="center"/>
            <w:hideMark/>
          </w:tcPr>
          <w:p w14:paraId="2AB2804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501</w:t>
            </w:r>
          </w:p>
        </w:tc>
        <w:tc>
          <w:tcPr>
            <w:tcW w:w="245" w:type="pct"/>
            <w:tcBorders>
              <w:top w:val="nil"/>
              <w:left w:val="nil"/>
              <w:bottom w:val="dotted" w:sz="4" w:space="0" w:color="auto"/>
              <w:right w:val="dotted" w:sz="4" w:space="0" w:color="auto"/>
            </w:tcBorders>
            <w:shd w:val="clear" w:color="000000" w:fill="D9E1F2"/>
            <w:noWrap/>
            <w:vAlign w:val="center"/>
            <w:hideMark/>
          </w:tcPr>
          <w:p w14:paraId="1CEEDEF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500</w:t>
            </w:r>
          </w:p>
        </w:tc>
        <w:tc>
          <w:tcPr>
            <w:tcW w:w="246" w:type="pct"/>
            <w:tcBorders>
              <w:top w:val="nil"/>
              <w:left w:val="nil"/>
              <w:bottom w:val="dotted" w:sz="4" w:space="0" w:color="auto"/>
              <w:right w:val="dotted" w:sz="4" w:space="0" w:color="auto"/>
            </w:tcBorders>
            <w:shd w:val="clear" w:color="000000" w:fill="D9E1F2"/>
            <w:noWrap/>
            <w:vAlign w:val="center"/>
            <w:hideMark/>
          </w:tcPr>
          <w:p w14:paraId="12EC475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515</w:t>
            </w:r>
          </w:p>
        </w:tc>
        <w:tc>
          <w:tcPr>
            <w:tcW w:w="245" w:type="pct"/>
            <w:tcBorders>
              <w:top w:val="nil"/>
              <w:left w:val="nil"/>
              <w:bottom w:val="dotted" w:sz="4" w:space="0" w:color="auto"/>
              <w:right w:val="dotted" w:sz="4" w:space="0" w:color="auto"/>
            </w:tcBorders>
            <w:shd w:val="clear" w:color="000000" w:fill="D9E1F2"/>
            <w:noWrap/>
            <w:vAlign w:val="center"/>
            <w:hideMark/>
          </w:tcPr>
          <w:p w14:paraId="0D7931B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485</w:t>
            </w:r>
          </w:p>
        </w:tc>
        <w:tc>
          <w:tcPr>
            <w:tcW w:w="246" w:type="pct"/>
            <w:tcBorders>
              <w:top w:val="nil"/>
              <w:left w:val="nil"/>
              <w:bottom w:val="dotted" w:sz="4" w:space="0" w:color="auto"/>
              <w:right w:val="dotted" w:sz="4" w:space="0" w:color="auto"/>
            </w:tcBorders>
            <w:shd w:val="clear" w:color="000000" w:fill="D9E1F2"/>
            <w:noWrap/>
            <w:vAlign w:val="center"/>
            <w:hideMark/>
          </w:tcPr>
          <w:p w14:paraId="7D74146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491</w:t>
            </w:r>
          </w:p>
        </w:tc>
        <w:tc>
          <w:tcPr>
            <w:tcW w:w="416" w:type="pct"/>
            <w:vMerge/>
            <w:tcBorders>
              <w:top w:val="nil"/>
              <w:left w:val="dotted" w:sz="4" w:space="0" w:color="auto"/>
              <w:bottom w:val="dotted" w:sz="4" w:space="0" w:color="auto"/>
              <w:right w:val="dotted" w:sz="4" w:space="0" w:color="auto"/>
            </w:tcBorders>
            <w:vAlign w:val="center"/>
            <w:hideMark/>
          </w:tcPr>
          <w:p w14:paraId="693FFA6D"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dotted" w:sz="4" w:space="0" w:color="auto"/>
              <w:right w:val="single" w:sz="8" w:space="0" w:color="auto"/>
            </w:tcBorders>
            <w:vAlign w:val="center"/>
            <w:hideMark/>
          </w:tcPr>
          <w:p w14:paraId="56771238" w14:textId="77777777" w:rsidR="00CF7396" w:rsidRPr="00CF7396" w:rsidRDefault="00CF7396" w:rsidP="00CF7396">
            <w:pPr>
              <w:rPr>
                <w:b/>
                <w:bCs/>
                <w:color w:val="000000" w:themeColor="text1"/>
                <w:lang w:val="es-CR" w:eastAsia="es-CR"/>
              </w:rPr>
            </w:pPr>
          </w:p>
        </w:tc>
      </w:tr>
      <w:tr w:rsidR="00CF7396" w:rsidRPr="00CF7396" w14:paraId="1CFE6839" w14:textId="77777777" w:rsidTr="00AF369B">
        <w:trPr>
          <w:trHeight w:val="300"/>
        </w:trPr>
        <w:tc>
          <w:tcPr>
            <w:tcW w:w="590" w:type="pct"/>
            <w:vMerge w:val="restart"/>
            <w:tcBorders>
              <w:top w:val="nil"/>
              <w:left w:val="single" w:sz="8" w:space="0" w:color="auto"/>
              <w:bottom w:val="dotted" w:sz="4" w:space="0" w:color="auto"/>
              <w:right w:val="dotted" w:sz="4" w:space="0" w:color="auto"/>
            </w:tcBorders>
            <w:shd w:val="clear" w:color="auto" w:fill="auto"/>
            <w:vAlign w:val="center"/>
            <w:hideMark/>
          </w:tcPr>
          <w:p w14:paraId="5581055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Juzgado de Pensiones Alimentarias del ICJ Zona Atlántica</w:t>
            </w:r>
          </w:p>
        </w:tc>
        <w:tc>
          <w:tcPr>
            <w:tcW w:w="540" w:type="pct"/>
            <w:tcBorders>
              <w:top w:val="nil"/>
              <w:left w:val="nil"/>
              <w:bottom w:val="dotted" w:sz="4" w:space="0" w:color="auto"/>
              <w:right w:val="dotted" w:sz="4" w:space="0" w:color="auto"/>
            </w:tcBorders>
            <w:shd w:val="clear" w:color="auto" w:fill="auto"/>
            <w:noWrap/>
            <w:vAlign w:val="center"/>
            <w:hideMark/>
          </w:tcPr>
          <w:p w14:paraId="51B5F03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Entrada</w:t>
            </w:r>
          </w:p>
        </w:tc>
        <w:tc>
          <w:tcPr>
            <w:tcW w:w="246" w:type="pct"/>
            <w:tcBorders>
              <w:top w:val="nil"/>
              <w:left w:val="nil"/>
              <w:bottom w:val="dotted" w:sz="4" w:space="0" w:color="auto"/>
              <w:right w:val="dotted" w:sz="4" w:space="0" w:color="auto"/>
            </w:tcBorders>
            <w:shd w:val="clear" w:color="auto" w:fill="auto"/>
            <w:noWrap/>
            <w:vAlign w:val="center"/>
            <w:hideMark/>
          </w:tcPr>
          <w:p w14:paraId="4BCCFDC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73</w:t>
            </w:r>
          </w:p>
        </w:tc>
        <w:tc>
          <w:tcPr>
            <w:tcW w:w="245" w:type="pct"/>
            <w:tcBorders>
              <w:top w:val="nil"/>
              <w:left w:val="nil"/>
              <w:bottom w:val="dotted" w:sz="4" w:space="0" w:color="auto"/>
              <w:right w:val="dotted" w:sz="4" w:space="0" w:color="auto"/>
            </w:tcBorders>
            <w:shd w:val="clear" w:color="auto" w:fill="auto"/>
            <w:noWrap/>
            <w:vAlign w:val="center"/>
            <w:hideMark/>
          </w:tcPr>
          <w:p w14:paraId="123114B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60</w:t>
            </w:r>
          </w:p>
        </w:tc>
        <w:tc>
          <w:tcPr>
            <w:tcW w:w="245" w:type="pct"/>
            <w:tcBorders>
              <w:top w:val="nil"/>
              <w:left w:val="nil"/>
              <w:bottom w:val="dotted" w:sz="4" w:space="0" w:color="auto"/>
              <w:right w:val="dotted" w:sz="4" w:space="0" w:color="auto"/>
            </w:tcBorders>
            <w:shd w:val="clear" w:color="auto" w:fill="auto"/>
            <w:noWrap/>
            <w:vAlign w:val="center"/>
            <w:hideMark/>
          </w:tcPr>
          <w:p w14:paraId="7FF54EC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94</w:t>
            </w:r>
          </w:p>
        </w:tc>
        <w:tc>
          <w:tcPr>
            <w:tcW w:w="246" w:type="pct"/>
            <w:tcBorders>
              <w:top w:val="nil"/>
              <w:left w:val="nil"/>
              <w:bottom w:val="dotted" w:sz="4" w:space="0" w:color="auto"/>
              <w:right w:val="dotted" w:sz="4" w:space="0" w:color="auto"/>
            </w:tcBorders>
            <w:shd w:val="clear" w:color="auto" w:fill="auto"/>
            <w:noWrap/>
            <w:vAlign w:val="center"/>
            <w:hideMark/>
          </w:tcPr>
          <w:p w14:paraId="00DC2A5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79</w:t>
            </w:r>
          </w:p>
        </w:tc>
        <w:tc>
          <w:tcPr>
            <w:tcW w:w="246" w:type="pct"/>
            <w:tcBorders>
              <w:top w:val="nil"/>
              <w:left w:val="nil"/>
              <w:bottom w:val="dotted" w:sz="4" w:space="0" w:color="auto"/>
              <w:right w:val="dotted" w:sz="4" w:space="0" w:color="auto"/>
            </w:tcBorders>
            <w:shd w:val="clear" w:color="auto" w:fill="auto"/>
            <w:noWrap/>
            <w:vAlign w:val="center"/>
            <w:hideMark/>
          </w:tcPr>
          <w:p w14:paraId="19523E9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66</w:t>
            </w:r>
          </w:p>
        </w:tc>
        <w:tc>
          <w:tcPr>
            <w:tcW w:w="245" w:type="pct"/>
            <w:tcBorders>
              <w:top w:val="nil"/>
              <w:left w:val="nil"/>
              <w:bottom w:val="dotted" w:sz="4" w:space="0" w:color="auto"/>
              <w:right w:val="dotted" w:sz="4" w:space="0" w:color="auto"/>
            </w:tcBorders>
            <w:shd w:val="clear" w:color="auto" w:fill="auto"/>
            <w:noWrap/>
            <w:vAlign w:val="center"/>
            <w:hideMark/>
          </w:tcPr>
          <w:p w14:paraId="033772D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83</w:t>
            </w:r>
          </w:p>
        </w:tc>
        <w:tc>
          <w:tcPr>
            <w:tcW w:w="246" w:type="pct"/>
            <w:tcBorders>
              <w:top w:val="nil"/>
              <w:left w:val="nil"/>
              <w:bottom w:val="dotted" w:sz="4" w:space="0" w:color="auto"/>
              <w:right w:val="dotted" w:sz="4" w:space="0" w:color="auto"/>
            </w:tcBorders>
            <w:shd w:val="clear" w:color="auto" w:fill="auto"/>
            <w:noWrap/>
            <w:vAlign w:val="center"/>
            <w:hideMark/>
          </w:tcPr>
          <w:p w14:paraId="013E1EA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78</w:t>
            </w:r>
          </w:p>
        </w:tc>
        <w:tc>
          <w:tcPr>
            <w:tcW w:w="246" w:type="pct"/>
            <w:tcBorders>
              <w:top w:val="nil"/>
              <w:left w:val="nil"/>
              <w:bottom w:val="dotted" w:sz="4" w:space="0" w:color="auto"/>
              <w:right w:val="dotted" w:sz="4" w:space="0" w:color="auto"/>
            </w:tcBorders>
            <w:shd w:val="clear" w:color="auto" w:fill="auto"/>
            <w:noWrap/>
            <w:vAlign w:val="center"/>
            <w:hideMark/>
          </w:tcPr>
          <w:p w14:paraId="472ABBC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90</w:t>
            </w:r>
          </w:p>
        </w:tc>
        <w:tc>
          <w:tcPr>
            <w:tcW w:w="245" w:type="pct"/>
            <w:tcBorders>
              <w:top w:val="nil"/>
              <w:left w:val="nil"/>
              <w:bottom w:val="dotted" w:sz="4" w:space="0" w:color="auto"/>
              <w:right w:val="dotted" w:sz="4" w:space="0" w:color="auto"/>
            </w:tcBorders>
            <w:shd w:val="clear" w:color="auto" w:fill="auto"/>
            <w:noWrap/>
            <w:vAlign w:val="center"/>
            <w:hideMark/>
          </w:tcPr>
          <w:p w14:paraId="4D71D47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76</w:t>
            </w:r>
          </w:p>
        </w:tc>
        <w:tc>
          <w:tcPr>
            <w:tcW w:w="246" w:type="pct"/>
            <w:tcBorders>
              <w:top w:val="nil"/>
              <w:left w:val="nil"/>
              <w:bottom w:val="dotted" w:sz="4" w:space="0" w:color="auto"/>
              <w:right w:val="dotted" w:sz="4" w:space="0" w:color="auto"/>
            </w:tcBorders>
            <w:shd w:val="clear" w:color="auto" w:fill="auto"/>
            <w:noWrap/>
            <w:vAlign w:val="center"/>
            <w:hideMark/>
          </w:tcPr>
          <w:p w14:paraId="22F0466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69</w:t>
            </w:r>
          </w:p>
        </w:tc>
        <w:tc>
          <w:tcPr>
            <w:tcW w:w="245" w:type="pct"/>
            <w:tcBorders>
              <w:top w:val="nil"/>
              <w:left w:val="nil"/>
              <w:bottom w:val="dotted" w:sz="4" w:space="0" w:color="auto"/>
              <w:right w:val="dotted" w:sz="4" w:space="0" w:color="auto"/>
            </w:tcBorders>
            <w:shd w:val="clear" w:color="auto" w:fill="auto"/>
            <w:noWrap/>
            <w:vAlign w:val="center"/>
            <w:hideMark/>
          </w:tcPr>
          <w:p w14:paraId="76CA86B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68</w:t>
            </w:r>
          </w:p>
        </w:tc>
        <w:tc>
          <w:tcPr>
            <w:tcW w:w="246" w:type="pct"/>
            <w:tcBorders>
              <w:top w:val="nil"/>
              <w:left w:val="nil"/>
              <w:bottom w:val="dotted" w:sz="4" w:space="0" w:color="auto"/>
              <w:right w:val="dotted" w:sz="4" w:space="0" w:color="auto"/>
            </w:tcBorders>
            <w:shd w:val="clear" w:color="auto" w:fill="auto"/>
            <w:noWrap/>
            <w:vAlign w:val="center"/>
            <w:hideMark/>
          </w:tcPr>
          <w:p w14:paraId="529FAA8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41</w:t>
            </w:r>
          </w:p>
        </w:tc>
        <w:tc>
          <w:tcPr>
            <w:tcW w:w="416" w:type="pct"/>
            <w:vMerge w:val="restart"/>
            <w:tcBorders>
              <w:top w:val="nil"/>
              <w:left w:val="dotted" w:sz="4" w:space="0" w:color="auto"/>
              <w:bottom w:val="dotted" w:sz="4" w:space="0" w:color="auto"/>
              <w:right w:val="dotted" w:sz="4" w:space="0" w:color="auto"/>
            </w:tcBorders>
            <w:shd w:val="clear" w:color="auto" w:fill="auto"/>
            <w:noWrap/>
            <w:vAlign w:val="center"/>
            <w:hideMark/>
          </w:tcPr>
          <w:p w14:paraId="525E850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76</w:t>
            </w:r>
          </w:p>
        </w:tc>
        <w:tc>
          <w:tcPr>
            <w:tcW w:w="506" w:type="pct"/>
            <w:vMerge w:val="restart"/>
            <w:tcBorders>
              <w:top w:val="nil"/>
              <w:left w:val="dotted" w:sz="4" w:space="0" w:color="auto"/>
              <w:bottom w:val="dotted" w:sz="4" w:space="0" w:color="auto"/>
              <w:right w:val="single" w:sz="8" w:space="0" w:color="auto"/>
            </w:tcBorders>
            <w:shd w:val="clear" w:color="auto" w:fill="auto"/>
            <w:noWrap/>
            <w:vAlign w:val="center"/>
            <w:hideMark/>
          </w:tcPr>
          <w:p w14:paraId="0F21C13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53</w:t>
            </w:r>
          </w:p>
        </w:tc>
      </w:tr>
      <w:tr w:rsidR="00CF7396" w:rsidRPr="00CF7396" w14:paraId="13DC7209" w14:textId="77777777" w:rsidTr="00AF369B">
        <w:trPr>
          <w:trHeight w:val="300"/>
        </w:trPr>
        <w:tc>
          <w:tcPr>
            <w:tcW w:w="590" w:type="pct"/>
            <w:vMerge/>
            <w:tcBorders>
              <w:top w:val="nil"/>
              <w:left w:val="single" w:sz="8" w:space="0" w:color="auto"/>
              <w:bottom w:val="dotted" w:sz="4" w:space="0" w:color="auto"/>
              <w:right w:val="dotted" w:sz="4" w:space="0" w:color="auto"/>
            </w:tcBorders>
            <w:vAlign w:val="center"/>
            <w:hideMark/>
          </w:tcPr>
          <w:p w14:paraId="66F1153E"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auto" w:fill="auto"/>
            <w:noWrap/>
            <w:vAlign w:val="center"/>
            <w:hideMark/>
          </w:tcPr>
          <w:p w14:paraId="49C8D0C0"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Terminados</w:t>
            </w:r>
          </w:p>
        </w:tc>
        <w:tc>
          <w:tcPr>
            <w:tcW w:w="246" w:type="pct"/>
            <w:tcBorders>
              <w:top w:val="nil"/>
              <w:left w:val="nil"/>
              <w:bottom w:val="dotted" w:sz="4" w:space="0" w:color="auto"/>
              <w:right w:val="dotted" w:sz="4" w:space="0" w:color="auto"/>
            </w:tcBorders>
            <w:shd w:val="clear" w:color="auto" w:fill="auto"/>
            <w:noWrap/>
            <w:vAlign w:val="center"/>
            <w:hideMark/>
          </w:tcPr>
          <w:p w14:paraId="37FD3EC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36</w:t>
            </w:r>
          </w:p>
        </w:tc>
        <w:tc>
          <w:tcPr>
            <w:tcW w:w="245" w:type="pct"/>
            <w:tcBorders>
              <w:top w:val="nil"/>
              <w:left w:val="nil"/>
              <w:bottom w:val="dotted" w:sz="4" w:space="0" w:color="auto"/>
              <w:right w:val="dotted" w:sz="4" w:space="0" w:color="auto"/>
            </w:tcBorders>
            <w:shd w:val="clear" w:color="auto" w:fill="auto"/>
            <w:noWrap/>
            <w:vAlign w:val="center"/>
            <w:hideMark/>
          </w:tcPr>
          <w:p w14:paraId="095F0B4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50</w:t>
            </w:r>
          </w:p>
        </w:tc>
        <w:tc>
          <w:tcPr>
            <w:tcW w:w="245" w:type="pct"/>
            <w:tcBorders>
              <w:top w:val="nil"/>
              <w:left w:val="nil"/>
              <w:bottom w:val="dotted" w:sz="4" w:space="0" w:color="auto"/>
              <w:right w:val="dotted" w:sz="4" w:space="0" w:color="auto"/>
            </w:tcBorders>
            <w:shd w:val="clear" w:color="auto" w:fill="auto"/>
            <w:noWrap/>
            <w:vAlign w:val="center"/>
            <w:hideMark/>
          </w:tcPr>
          <w:p w14:paraId="1E405D3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48</w:t>
            </w:r>
          </w:p>
        </w:tc>
        <w:tc>
          <w:tcPr>
            <w:tcW w:w="246" w:type="pct"/>
            <w:tcBorders>
              <w:top w:val="nil"/>
              <w:left w:val="nil"/>
              <w:bottom w:val="dotted" w:sz="4" w:space="0" w:color="auto"/>
              <w:right w:val="dotted" w:sz="4" w:space="0" w:color="auto"/>
            </w:tcBorders>
            <w:shd w:val="clear" w:color="auto" w:fill="auto"/>
            <w:noWrap/>
            <w:vAlign w:val="center"/>
            <w:hideMark/>
          </w:tcPr>
          <w:p w14:paraId="2645BAB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74</w:t>
            </w:r>
          </w:p>
        </w:tc>
        <w:tc>
          <w:tcPr>
            <w:tcW w:w="246" w:type="pct"/>
            <w:tcBorders>
              <w:top w:val="nil"/>
              <w:left w:val="nil"/>
              <w:bottom w:val="dotted" w:sz="4" w:space="0" w:color="auto"/>
              <w:right w:val="dotted" w:sz="4" w:space="0" w:color="auto"/>
            </w:tcBorders>
            <w:shd w:val="clear" w:color="auto" w:fill="auto"/>
            <w:noWrap/>
            <w:vAlign w:val="center"/>
            <w:hideMark/>
          </w:tcPr>
          <w:p w14:paraId="5C18B1E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73</w:t>
            </w:r>
          </w:p>
        </w:tc>
        <w:tc>
          <w:tcPr>
            <w:tcW w:w="245" w:type="pct"/>
            <w:tcBorders>
              <w:top w:val="nil"/>
              <w:left w:val="nil"/>
              <w:bottom w:val="dotted" w:sz="4" w:space="0" w:color="auto"/>
              <w:right w:val="dotted" w:sz="4" w:space="0" w:color="auto"/>
            </w:tcBorders>
            <w:shd w:val="clear" w:color="auto" w:fill="auto"/>
            <w:noWrap/>
            <w:vAlign w:val="center"/>
            <w:hideMark/>
          </w:tcPr>
          <w:p w14:paraId="3A6CF5C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46</w:t>
            </w:r>
          </w:p>
        </w:tc>
        <w:tc>
          <w:tcPr>
            <w:tcW w:w="246" w:type="pct"/>
            <w:tcBorders>
              <w:top w:val="nil"/>
              <w:left w:val="nil"/>
              <w:bottom w:val="dotted" w:sz="4" w:space="0" w:color="auto"/>
              <w:right w:val="dotted" w:sz="4" w:space="0" w:color="auto"/>
            </w:tcBorders>
            <w:shd w:val="clear" w:color="auto" w:fill="auto"/>
            <w:noWrap/>
            <w:vAlign w:val="center"/>
            <w:hideMark/>
          </w:tcPr>
          <w:p w14:paraId="011EBD5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50</w:t>
            </w:r>
          </w:p>
        </w:tc>
        <w:tc>
          <w:tcPr>
            <w:tcW w:w="246" w:type="pct"/>
            <w:tcBorders>
              <w:top w:val="nil"/>
              <w:left w:val="nil"/>
              <w:bottom w:val="dotted" w:sz="4" w:space="0" w:color="auto"/>
              <w:right w:val="dotted" w:sz="4" w:space="0" w:color="auto"/>
            </w:tcBorders>
            <w:shd w:val="clear" w:color="auto" w:fill="auto"/>
            <w:noWrap/>
            <w:vAlign w:val="center"/>
            <w:hideMark/>
          </w:tcPr>
          <w:p w14:paraId="1352CD3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50</w:t>
            </w:r>
          </w:p>
        </w:tc>
        <w:tc>
          <w:tcPr>
            <w:tcW w:w="245" w:type="pct"/>
            <w:tcBorders>
              <w:top w:val="nil"/>
              <w:left w:val="nil"/>
              <w:bottom w:val="dotted" w:sz="4" w:space="0" w:color="auto"/>
              <w:right w:val="dotted" w:sz="4" w:space="0" w:color="auto"/>
            </w:tcBorders>
            <w:shd w:val="clear" w:color="auto" w:fill="auto"/>
            <w:noWrap/>
            <w:vAlign w:val="center"/>
            <w:hideMark/>
          </w:tcPr>
          <w:p w14:paraId="6A96535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56</w:t>
            </w:r>
          </w:p>
        </w:tc>
        <w:tc>
          <w:tcPr>
            <w:tcW w:w="246" w:type="pct"/>
            <w:tcBorders>
              <w:top w:val="nil"/>
              <w:left w:val="nil"/>
              <w:bottom w:val="dotted" w:sz="4" w:space="0" w:color="auto"/>
              <w:right w:val="dotted" w:sz="4" w:space="0" w:color="auto"/>
            </w:tcBorders>
            <w:shd w:val="clear" w:color="auto" w:fill="auto"/>
            <w:noWrap/>
            <w:vAlign w:val="center"/>
            <w:hideMark/>
          </w:tcPr>
          <w:p w14:paraId="2408696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41</w:t>
            </w:r>
          </w:p>
        </w:tc>
        <w:tc>
          <w:tcPr>
            <w:tcW w:w="245" w:type="pct"/>
            <w:tcBorders>
              <w:top w:val="nil"/>
              <w:left w:val="nil"/>
              <w:bottom w:val="dotted" w:sz="4" w:space="0" w:color="auto"/>
              <w:right w:val="dotted" w:sz="4" w:space="0" w:color="auto"/>
            </w:tcBorders>
            <w:shd w:val="clear" w:color="auto" w:fill="auto"/>
            <w:noWrap/>
            <w:vAlign w:val="center"/>
            <w:hideMark/>
          </w:tcPr>
          <w:p w14:paraId="71C0F53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56</w:t>
            </w:r>
          </w:p>
        </w:tc>
        <w:tc>
          <w:tcPr>
            <w:tcW w:w="246" w:type="pct"/>
            <w:tcBorders>
              <w:top w:val="nil"/>
              <w:left w:val="nil"/>
              <w:bottom w:val="dotted" w:sz="4" w:space="0" w:color="auto"/>
              <w:right w:val="dotted" w:sz="4" w:space="0" w:color="auto"/>
            </w:tcBorders>
            <w:shd w:val="clear" w:color="auto" w:fill="auto"/>
            <w:noWrap/>
            <w:vAlign w:val="center"/>
            <w:hideMark/>
          </w:tcPr>
          <w:p w14:paraId="128BA2B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29</w:t>
            </w:r>
          </w:p>
        </w:tc>
        <w:tc>
          <w:tcPr>
            <w:tcW w:w="416" w:type="pct"/>
            <w:vMerge/>
            <w:tcBorders>
              <w:top w:val="nil"/>
              <w:left w:val="dotted" w:sz="4" w:space="0" w:color="auto"/>
              <w:bottom w:val="dotted" w:sz="4" w:space="0" w:color="auto"/>
              <w:right w:val="dotted" w:sz="4" w:space="0" w:color="auto"/>
            </w:tcBorders>
            <w:vAlign w:val="center"/>
            <w:hideMark/>
          </w:tcPr>
          <w:p w14:paraId="11EECDDB"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dotted" w:sz="4" w:space="0" w:color="auto"/>
              <w:right w:val="single" w:sz="8" w:space="0" w:color="auto"/>
            </w:tcBorders>
            <w:vAlign w:val="center"/>
            <w:hideMark/>
          </w:tcPr>
          <w:p w14:paraId="115C0FF2" w14:textId="77777777" w:rsidR="00CF7396" w:rsidRPr="00CF7396" w:rsidRDefault="00CF7396" w:rsidP="00CF7396">
            <w:pPr>
              <w:rPr>
                <w:b/>
                <w:bCs/>
                <w:color w:val="000000" w:themeColor="text1"/>
                <w:lang w:val="es-CR" w:eastAsia="es-CR"/>
              </w:rPr>
            </w:pPr>
          </w:p>
        </w:tc>
      </w:tr>
      <w:tr w:rsidR="00CF7396" w:rsidRPr="00CF7396" w14:paraId="454F1575" w14:textId="77777777" w:rsidTr="00AF369B">
        <w:trPr>
          <w:trHeight w:val="300"/>
        </w:trPr>
        <w:tc>
          <w:tcPr>
            <w:tcW w:w="590" w:type="pct"/>
            <w:vMerge/>
            <w:tcBorders>
              <w:top w:val="nil"/>
              <w:left w:val="single" w:sz="8" w:space="0" w:color="auto"/>
              <w:bottom w:val="dotted" w:sz="4" w:space="0" w:color="auto"/>
              <w:right w:val="dotted" w:sz="4" w:space="0" w:color="auto"/>
            </w:tcBorders>
            <w:vAlign w:val="center"/>
            <w:hideMark/>
          </w:tcPr>
          <w:p w14:paraId="0B0F82D0"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auto" w:fill="auto"/>
            <w:noWrap/>
            <w:vAlign w:val="center"/>
            <w:hideMark/>
          </w:tcPr>
          <w:p w14:paraId="6D1A1A3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Circulante final</w:t>
            </w:r>
          </w:p>
        </w:tc>
        <w:tc>
          <w:tcPr>
            <w:tcW w:w="246" w:type="pct"/>
            <w:tcBorders>
              <w:top w:val="nil"/>
              <w:left w:val="nil"/>
              <w:bottom w:val="dotted" w:sz="4" w:space="0" w:color="auto"/>
              <w:right w:val="dotted" w:sz="4" w:space="0" w:color="auto"/>
            </w:tcBorders>
            <w:shd w:val="clear" w:color="auto" w:fill="auto"/>
            <w:noWrap/>
            <w:vAlign w:val="center"/>
            <w:hideMark/>
          </w:tcPr>
          <w:p w14:paraId="1D6D643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4658</w:t>
            </w:r>
          </w:p>
        </w:tc>
        <w:tc>
          <w:tcPr>
            <w:tcW w:w="245" w:type="pct"/>
            <w:tcBorders>
              <w:top w:val="nil"/>
              <w:left w:val="nil"/>
              <w:bottom w:val="dotted" w:sz="4" w:space="0" w:color="auto"/>
              <w:right w:val="dotted" w:sz="4" w:space="0" w:color="auto"/>
            </w:tcBorders>
            <w:shd w:val="clear" w:color="auto" w:fill="auto"/>
            <w:noWrap/>
            <w:vAlign w:val="center"/>
            <w:hideMark/>
          </w:tcPr>
          <w:p w14:paraId="08AB362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4751</w:t>
            </w:r>
          </w:p>
        </w:tc>
        <w:tc>
          <w:tcPr>
            <w:tcW w:w="245" w:type="pct"/>
            <w:tcBorders>
              <w:top w:val="nil"/>
              <w:left w:val="nil"/>
              <w:bottom w:val="dotted" w:sz="4" w:space="0" w:color="auto"/>
              <w:right w:val="dotted" w:sz="4" w:space="0" w:color="auto"/>
            </w:tcBorders>
            <w:shd w:val="clear" w:color="auto" w:fill="auto"/>
            <w:noWrap/>
            <w:vAlign w:val="center"/>
            <w:hideMark/>
          </w:tcPr>
          <w:p w14:paraId="2B484BC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4861</w:t>
            </w:r>
          </w:p>
        </w:tc>
        <w:tc>
          <w:tcPr>
            <w:tcW w:w="246" w:type="pct"/>
            <w:tcBorders>
              <w:top w:val="nil"/>
              <w:left w:val="nil"/>
              <w:bottom w:val="dotted" w:sz="4" w:space="0" w:color="auto"/>
              <w:right w:val="dotted" w:sz="4" w:space="0" w:color="auto"/>
            </w:tcBorders>
            <w:shd w:val="clear" w:color="auto" w:fill="auto"/>
            <w:noWrap/>
            <w:vAlign w:val="center"/>
            <w:hideMark/>
          </w:tcPr>
          <w:p w14:paraId="0F900F8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4952</w:t>
            </w:r>
          </w:p>
        </w:tc>
        <w:tc>
          <w:tcPr>
            <w:tcW w:w="246" w:type="pct"/>
            <w:tcBorders>
              <w:top w:val="nil"/>
              <w:left w:val="nil"/>
              <w:bottom w:val="dotted" w:sz="4" w:space="0" w:color="auto"/>
              <w:right w:val="dotted" w:sz="4" w:space="0" w:color="auto"/>
            </w:tcBorders>
            <w:shd w:val="clear" w:color="auto" w:fill="auto"/>
            <w:noWrap/>
            <w:vAlign w:val="center"/>
            <w:hideMark/>
          </w:tcPr>
          <w:p w14:paraId="24B14A2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4998</w:t>
            </w:r>
          </w:p>
        </w:tc>
        <w:tc>
          <w:tcPr>
            <w:tcW w:w="245" w:type="pct"/>
            <w:tcBorders>
              <w:top w:val="nil"/>
              <w:left w:val="nil"/>
              <w:bottom w:val="dotted" w:sz="4" w:space="0" w:color="auto"/>
              <w:right w:val="dotted" w:sz="4" w:space="0" w:color="auto"/>
            </w:tcBorders>
            <w:shd w:val="clear" w:color="auto" w:fill="auto"/>
            <w:noWrap/>
            <w:vAlign w:val="center"/>
            <w:hideMark/>
          </w:tcPr>
          <w:p w14:paraId="40774B6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5090</w:t>
            </w:r>
          </w:p>
        </w:tc>
        <w:tc>
          <w:tcPr>
            <w:tcW w:w="246" w:type="pct"/>
            <w:tcBorders>
              <w:top w:val="nil"/>
              <w:left w:val="nil"/>
              <w:bottom w:val="dotted" w:sz="4" w:space="0" w:color="auto"/>
              <w:right w:val="dotted" w:sz="4" w:space="0" w:color="auto"/>
            </w:tcBorders>
            <w:shd w:val="clear" w:color="auto" w:fill="auto"/>
            <w:noWrap/>
            <w:vAlign w:val="center"/>
            <w:hideMark/>
          </w:tcPr>
          <w:p w14:paraId="3B95A5C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5165</w:t>
            </w:r>
          </w:p>
        </w:tc>
        <w:tc>
          <w:tcPr>
            <w:tcW w:w="246" w:type="pct"/>
            <w:tcBorders>
              <w:top w:val="nil"/>
              <w:left w:val="nil"/>
              <w:bottom w:val="dotted" w:sz="4" w:space="0" w:color="auto"/>
              <w:right w:val="dotted" w:sz="4" w:space="0" w:color="auto"/>
            </w:tcBorders>
            <w:shd w:val="clear" w:color="auto" w:fill="auto"/>
            <w:noWrap/>
            <w:vAlign w:val="center"/>
            <w:hideMark/>
          </w:tcPr>
          <w:p w14:paraId="7706D0C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5256</w:t>
            </w:r>
          </w:p>
        </w:tc>
        <w:tc>
          <w:tcPr>
            <w:tcW w:w="245" w:type="pct"/>
            <w:tcBorders>
              <w:top w:val="nil"/>
              <w:left w:val="nil"/>
              <w:bottom w:val="dotted" w:sz="4" w:space="0" w:color="auto"/>
              <w:right w:val="dotted" w:sz="4" w:space="0" w:color="auto"/>
            </w:tcBorders>
            <w:shd w:val="clear" w:color="auto" w:fill="auto"/>
            <w:noWrap/>
            <w:vAlign w:val="center"/>
            <w:hideMark/>
          </w:tcPr>
          <w:p w14:paraId="5B84A00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5340</w:t>
            </w:r>
          </w:p>
        </w:tc>
        <w:tc>
          <w:tcPr>
            <w:tcW w:w="246" w:type="pct"/>
            <w:tcBorders>
              <w:top w:val="nil"/>
              <w:left w:val="nil"/>
              <w:bottom w:val="dotted" w:sz="4" w:space="0" w:color="auto"/>
              <w:right w:val="dotted" w:sz="4" w:space="0" w:color="auto"/>
            </w:tcBorders>
            <w:shd w:val="clear" w:color="auto" w:fill="auto"/>
            <w:noWrap/>
            <w:vAlign w:val="center"/>
            <w:hideMark/>
          </w:tcPr>
          <w:p w14:paraId="09FB69A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5414</w:t>
            </w:r>
          </w:p>
        </w:tc>
        <w:tc>
          <w:tcPr>
            <w:tcW w:w="245" w:type="pct"/>
            <w:tcBorders>
              <w:top w:val="nil"/>
              <w:left w:val="nil"/>
              <w:bottom w:val="dotted" w:sz="4" w:space="0" w:color="auto"/>
              <w:right w:val="dotted" w:sz="4" w:space="0" w:color="auto"/>
            </w:tcBorders>
            <w:shd w:val="clear" w:color="auto" w:fill="auto"/>
            <w:noWrap/>
            <w:vAlign w:val="center"/>
            <w:hideMark/>
          </w:tcPr>
          <w:p w14:paraId="0D103DD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5479</w:t>
            </w:r>
          </w:p>
        </w:tc>
        <w:tc>
          <w:tcPr>
            <w:tcW w:w="246" w:type="pct"/>
            <w:tcBorders>
              <w:top w:val="nil"/>
              <w:left w:val="nil"/>
              <w:bottom w:val="dotted" w:sz="4" w:space="0" w:color="auto"/>
              <w:right w:val="dotted" w:sz="4" w:space="0" w:color="auto"/>
            </w:tcBorders>
            <w:shd w:val="clear" w:color="auto" w:fill="auto"/>
            <w:noWrap/>
            <w:vAlign w:val="center"/>
            <w:hideMark/>
          </w:tcPr>
          <w:p w14:paraId="4320968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5534</w:t>
            </w:r>
          </w:p>
        </w:tc>
        <w:tc>
          <w:tcPr>
            <w:tcW w:w="416" w:type="pct"/>
            <w:vMerge/>
            <w:tcBorders>
              <w:top w:val="nil"/>
              <w:left w:val="dotted" w:sz="4" w:space="0" w:color="auto"/>
              <w:bottom w:val="dotted" w:sz="4" w:space="0" w:color="auto"/>
              <w:right w:val="dotted" w:sz="4" w:space="0" w:color="auto"/>
            </w:tcBorders>
            <w:vAlign w:val="center"/>
            <w:hideMark/>
          </w:tcPr>
          <w:p w14:paraId="543C8353"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dotted" w:sz="4" w:space="0" w:color="auto"/>
              <w:right w:val="single" w:sz="8" w:space="0" w:color="auto"/>
            </w:tcBorders>
            <w:vAlign w:val="center"/>
            <w:hideMark/>
          </w:tcPr>
          <w:p w14:paraId="3086FAC5" w14:textId="77777777" w:rsidR="00CF7396" w:rsidRPr="00CF7396" w:rsidRDefault="00CF7396" w:rsidP="00CF7396">
            <w:pPr>
              <w:rPr>
                <w:b/>
                <w:bCs/>
                <w:color w:val="000000" w:themeColor="text1"/>
                <w:lang w:val="es-CR" w:eastAsia="es-CR"/>
              </w:rPr>
            </w:pPr>
          </w:p>
        </w:tc>
      </w:tr>
      <w:tr w:rsidR="00CF7396" w:rsidRPr="00CF7396" w14:paraId="2B2D4170" w14:textId="77777777" w:rsidTr="00AF369B">
        <w:trPr>
          <w:trHeight w:val="300"/>
        </w:trPr>
        <w:tc>
          <w:tcPr>
            <w:tcW w:w="590" w:type="pct"/>
            <w:vMerge w:val="restart"/>
            <w:tcBorders>
              <w:top w:val="nil"/>
              <w:left w:val="single" w:sz="8" w:space="0" w:color="auto"/>
              <w:bottom w:val="dotted" w:sz="4" w:space="0" w:color="auto"/>
              <w:right w:val="dotted" w:sz="4" w:space="0" w:color="auto"/>
            </w:tcBorders>
            <w:shd w:val="clear" w:color="000000" w:fill="D9E1F2"/>
            <w:vAlign w:val="center"/>
            <w:hideMark/>
          </w:tcPr>
          <w:p w14:paraId="05F704B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Juzgado de Trabajo del ICJ Zona Atlántica</w:t>
            </w:r>
          </w:p>
        </w:tc>
        <w:tc>
          <w:tcPr>
            <w:tcW w:w="540" w:type="pct"/>
            <w:tcBorders>
              <w:top w:val="nil"/>
              <w:left w:val="nil"/>
              <w:bottom w:val="dotted" w:sz="4" w:space="0" w:color="auto"/>
              <w:right w:val="dotted" w:sz="4" w:space="0" w:color="auto"/>
            </w:tcBorders>
            <w:shd w:val="clear" w:color="000000" w:fill="D9E1F2"/>
            <w:noWrap/>
            <w:vAlign w:val="center"/>
            <w:hideMark/>
          </w:tcPr>
          <w:p w14:paraId="707BD64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Entrada</w:t>
            </w:r>
          </w:p>
        </w:tc>
        <w:tc>
          <w:tcPr>
            <w:tcW w:w="246" w:type="pct"/>
            <w:tcBorders>
              <w:top w:val="nil"/>
              <w:left w:val="nil"/>
              <w:bottom w:val="dotted" w:sz="4" w:space="0" w:color="auto"/>
              <w:right w:val="dotted" w:sz="4" w:space="0" w:color="auto"/>
            </w:tcBorders>
            <w:shd w:val="clear" w:color="000000" w:fill="D9E1F2"/>
            <w:noWrap/>
            <w:vAlign w:val="center"/>
            <w:hideMark/>
          </w:tcPr>
          <w:p w14:paraId="59D9970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71</w:t>
            </w:r>
          </w:p>
        </w:tc>
        <w:tc>
          <w:tcPr>
            <w:tcW w:w="245" w:type="pct"/>
            <w:tcBorders>
              <w:top w:val="nil"/>
              <w:left w:val="nil"/>
              <w:bottom w:val="dotted" w:sz="4" w:space="0" w:color="auto"/>
              <w:right w:val="dotted" w:sz="4" w:space="0" w:color="auto"/>
            </w:tcBorders>
            <w:shd w:val="clear" w:color="000000" w:fill="D9E1F2"/>
            <w:noWrap/>
            <w:vAlign w:val="center"/>
            <w:hideMark/>
          </w:tcPr>
          <w:p w14:paraId="0B82B00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55</w:t>
            </w:r>
          </w:p>
        </w:tc>
        <w:tc>
          <w:tcPr>
            <w:tcW w:w="245" w:type="pct"/>
            <w:tcBorders>
              <w:top w:val="nil"/>
              <w:left w:val="nil"/>
              <w:bottom w:val="dotted" w:sz="4" w:space="0" w:color="auto"/>
              <w:right w:val="dotted" w:sz="4" w:space="0" w:color="auto"/>
            </w:tcBorders>
            <w:shd w:val="clear" w:color="000000" w:fill="D9E1F2"/>
            <w:noWrap/>
            <w:vAlign w:val="center"/>
            <w:hideMark/>
          </w:tcPr>
          <w:p w14:paraId="2FA8760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57</w:t>
            </w:r>
          </w:p>
        </w:tc>
        <w:tc>
          <w:tcPr>
            <w:tcW w:w="246" w:type="pct"/>
            <w:tcBorders>
              <w:top w:val="nil"/>
              <w:left w:val="nil"/>
              <w:bottom w:val="dotted" w:sz="4" w:space="0" w:color="auto"/>
              <w:right w:val="dotted" w:sz="4" w:space="0" w:color="auto"/>
            </w:tcBorders>
            <w:shd w:val="clear" w:color="000000" w:fill="D9E1F2"/>
            <w:noWrap/>
            <w:vAlign w:val="center"/>
            <w:hideMark/>
          </w:tcPr>
          <w:p w14:paraId="6CC5CBA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50</w:t>
            </w:r>
          </w:p>
        </w:tc>
        <w:tc>
          <w:tcPr>
            <w:tcW w:w="246" w:type="pct"/>
            <w:tcBorders>
              <w:top w:val="nil"/>
              <w:left w:val="nil"/>
              <w:bottom w:val="dotted" w:sz="4" w:space="0" w:color="auto"/>
              <w:right w:val="dotted" w:sz="4" w:space="0" w:color="auto"/>
            </w:tcBorders>
            <w:shd w:val="clear" w:color="000000" w:fill="D9E1F2"/>
            <w:noWrap/>
            <w:vAlign w:val="center"/>
            <w:hideMark/>
          </w:tcPr>
          <w:p w14:paraId="7B23AED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156</w:t>
            </w:r>
          </w:p>
        </w:tc>
        <w:tc>
          <w:tcPr>
            <w:tcW w:w="245" w:type="pct"/>
            <w:tcBorders>
              <w:top w:val="nil"/>
              <w:left w:val="nil"/>
              <w:bottom w:val="dotted" w:sz="4" w:space="0" w:color="auto"/>
              <w:right w:val="dotted" w:sz="4" w:space="0" w:color="auto"/>
            </w:tcBorders>
            <w:shd w:val="clear" w:color="000000" w:fill="D9E1F2"/>
            <w:noWrap/>
            <w:vAlign w:val="center"/>
            <w:hideMark/>
          </w:tcPr>
          <w:p w14:paraId="22F69B9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72</w:t>
            </w:r>
          </w:p>
        </w:tc>
        <w:tc>
          <w:tcPr>
            <w:tcW w:w="246" w:type="pct"/>
            <w:tcBorders>
              <w:top w:val="nil"/>
              <w:left w:val="nil"/>
              <w:bottom w:val="dotted" w:sz="4" w:space="0" w:color="auto"/>
              <w:right w:val="dotted" w:sz="4" w:space="0" w:color="auto"/>
            </w:tcBorders>
            <w:shd w:val="clear" w:color="000000" w:fill="D9E1F2"/>
            <w:noWrap/>
            <w:vAlign w:val="center"/>
            <w:hideMark/>
          </w:tcPr>
          <w:p w14:paraId="69BC8A1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55</w:t>
            </w:r>
          </w:p>
        </w:tc>
        <w:tc>
          <w:tcPr>
            <w:tcW w:w="246" w:type="pct"/>
            <w:tcBorders>
              <w:top w:val="nil"/>
              <w:left w:val="nil"/>
              <w:bottom w:val="dotted" w:sz="4" w:space="0" w:color="auto"/>
              <w:right w:val="dotted" w:sz="4" w:space="0" w:color="auto"/>
            </w:tcBorders>
            <w:shd w:val="clear" w:color="000000" w:fill="D9E1F2"/>
            <w:noWrap/>
            <w:vAlign w:val="center"/>
            <w:hideMark/>
          </w:tcPr>
          <w:p w14:paraId="010B373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84</w:t>
            </w:r>
          </w:p>
        </w:tc>
        <w:tc>
          <w:tcPr>
            <w:tcW w:w="245" w:type="pct"/>
            <w:tcBorders>
              <w:top w:val="nil"/>
              <w:left w:val="nil"/>
              <w:bottom w:val="dotted" w:sz="4" w:space="0" w:color="auto"/>
              <w:right w:val="dotted" w:sz="4" w:space="0" w:color="auto"/>
            </w:tcBorders>
            <w:shd w:val="clear" w:color="000000" w:fill="D9E1F2"/>
            <w:noWrap/>
            <w:vAlign w:val="center"/>
            <w:hideMark/>
          </w:tcPr>
          <w:p w14:paraId="26528AD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77</w:t>
            </w:r>
          </w:p>
        </w:tc>
        <w:tc>
          <w:tcPr>
            <w:tcW w:w="246" w:type="pct"/>
            <w:tcBorders>
              <w:top w:val="nil"/>
              <w:left w:val="nil"/>
              <w:bottom w:val="dotted" w:sz="4" w:space="0" w:color="auto"/>
              <w:right w:val="dotted" w:sz="4" w:space="0" w:color="auto"/>
            </w:tcBorders>
            <w:shd w:val="clear" w:color="000000" w:fill="D9E1F2"/>
            <w:noWrap/>
            <w:vAlign w:val="center"/>
            <w:hideMark/>
          </w:tcPr>
          <w:p w14:paraId="47A5C4C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122</w:t>
            </w:r>
          </w:p>
        </w:tc>
        <w:tc>
          <w:tcPr>
            <w:tcW w:w="245" w:type="pct"/>
            <w:tcBorders>
              <w:top w:val="nil"/>
              <w:left w:val="nil"/>
              <w:bottom w:val="dotted" w:sz="4" w:space="0" w:color="auto"/>
              <w:right w:val="dotted" w:sz="4" w:space="0" w:color="auto"/>
            </w:tcBorders>
            <w:shd w:val="clear" w:color="000000" w:fill="D9E1F2"/>
            <w:noWrap/>
            <w:vAlign w:val="center"/>
            <w:hideMark/>
          </w:tcPr>
          <w:p w14:paraId="3D7B0E1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90</w:t>
            </w:r>
          </w:p>
        </w:tc>
        <w:tc>
          <w:tcPr>
            <w:tcW w:w="246" w:type="pct"/>
            <w:tcBorders>
              <w:top w:val="nil"/>
              <w:left w:val="nil"/>
              <w:bottom w:val="dotted" w:sz="4" w:space="0" w:color="auto"/>
              <w:right w:val="dotted" w:sz="4" w:space="0" w:color="auto"/>
            </w:tcBorders>
            <w:shd w:val="clear" w:color="000000" w:fill="D9E1F2"/>
            <w:noWrap/>
            <w:vAlign w:val="center"/>
            <w:hideMark/>
          </w:tcPr>
          <w:p w14:paraId="34D8CAB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50</w:t>
            </w:r>
          </w:p>
        </w:tc>
        <w:tc>
          <w:tcPr>
            <w:tcW w:w="416" w:type="pct"/>
            <w:vMerge w:val="restart"/>
            <w:tcBorders>
              <w:top w:val="nil"/>
              <w:left w:val="dotted" w:sz="4" w:space="0" w:color="auto"/>
              <w:bottom w:val="dotted" w:sz="4" w:space="0" w:color="auto"/>
              <w:right w:val="dotted" w:sz="4" w:space="0" w:color="auto"/>
            </w:tcBorders>
            <w:shd w:val="clear" w:color="000000" w:fill="D9E1F2"/>
            <w:noWrap/>
            <w:vAlign w:val="center"/>
            <w:hideMark/>
          </w:tcPr>
          <w:p w14:paraId="7BE5D56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82</w:t>
            </w:r>
          </w:p>
        </w:tc>
        <w:tc>
          <w:tcPr>
            <w:tcW w:w="506" w:type="pct"/>
            <w:vMerge w:val="restart"/>
            <w:tcBorders>
              <w:top w:val="nil"/>
              <w:left w:val="dotted" w:sz="4" w:space="0" w:color="auto"/>
              <w:bottom w:val="dotted" w:sz="4" w:space="0" w:color="auto"/>
              <w:right w:val="single" w:sz="8" w:space="0" w:color="auto"/>
            </w:tcBorders>
            <w:shd w:val="clear" w:color="000000" w:fill="D9E1F2"/>
            <w:noWrap/>
            <w:vAlign w:val="center"/>
            <w:hideMark/>
          </w:tcPr>
          <w:p w14:paraId="3B39959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94</w:t>
            </w:r>
          </w:p>
        </w:tc>
      </w:tr>
      <w:tr w:rsidR="00CF7396" w:rsidRPr="00CF7396" w14:paraId="582F7207" w14:textId="77777777" w:rsidTr="00AF369B">
        <w:trPr>
          <w:trHeight w:val="300"/>
        </w:trPr>
        <w:tc>
          <w:tcPr>
            <w:tcW w:w="590" w:type="pct"/>
            <w:vMerge/>
            <w:tcBorders>
              <w:top w:val="nil"/>
              <w:left w:val="single" w:sz="8" w:space="0" w:color="auto"/>
              <w:bottom w:val="dotted" w:sz="4" w:space="0" w:color="auto"/>
              <w:right w:val="dotted" w:sz="4" w:space="0" w:color="auto"/>
            </w:tcBorders>
            <w:vAlign w:val="center"/>
            <w:hideMark/>
          </w:tcPr>
          <w:p w14:paraId="02342F45"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000000" w:fill="D9E1F2"/>
            <w:noWrap/>
            <w:vAlign w:val="center"/>
            <w:hideMark/>
          </w:tcPr>
          <w:p w14:paraId="27062BC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Terminados</w:t>
            </w:r>
          </w:p>
        </w:tc>
        <w:tc>
          <w:tcPr>
            <w:tcW w:w="246" w:type="pct"/>
            <w:tcBorders>
              <w:top w:val="nil"/>
              <w:left w:val="nil"/>
              <w:bottom w:val="dotted" w:sz="4" w:space="0" w:color="auto"/>
              <w:right w:val="dotted" w:sz="4" w:space="0" w:color="auto"/>
            </w:tcBorders>
            <w:shd w:val="clear" w:color="000000" w:fill="D9E1F2"/>
            <w:noWrap/>
            <w:vAlign w:val="center"/>
            <w:hideMark/>
          </w:tcPr>
          <w:p w14:paraId="32CA569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58</w:t>
            </w:r>
          </w:p>
        </w:tc>
        <w:tc>
          <w:tcPr>
            <w:tcW w:w="245" w:type="pct"/>
            <w:tcBorders>
              <w:top w:val="nil"/>
              <w:left w:val="nil"/>
              <w:bottom w:val="dotted" w:sz="4" w:space="0" w:color="auto"/>
              <w:right w:val="dotted" w:sz="4" w:space="0" w:color="auto"/>
            </w:tcBorders>
            <w:shd w:val="clear" w:color="000000" w:fill="D9E1F2"/>
            <w:noWrap/>
            <w:vAlign w:val="center"/>
            <w:hideMark/>
          </w:tcPr>
          <w:p w14:paraId="17690C3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66</w:t>
            </w:r>
          </w:p>
        </w:tc>
        <w:tc>
          <w:tcPr>
            <w:tcW w:w="245" w:type="pct"/>
            <w:tcBorders>
              <w:top w:val="nil"/>
              <w:left w:val="nil"/>
              <w:bottom w:val="dotted" w:sz="4" w:space="0" w:color="auto"/>
              <w:right w:val="dotted" w:sz="4" w:space="0" w:color="auto"/>
            </w:tcBorders>
            <w:shd w:val="clear" w:color="000000" w:fill="D9E1F2"/>
            <w:noWrap/>
            <w:vAlign w:val="center"/>
            <w:hideMark/>
          </w:tcPr>
          <w:p w14:paraId="3407662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64</w:t>
            </w:r>
          </w:p>
        </w:tc>
        <w:tc>
          <w:tcPr>
            <w:tcW w:w="246" w:type="pct"/>
            <w:tcBorders>
              <w:top w:val="nil"/>
              <w:left w:val="nil"/>
              <w:bottom w:val="dotted" w:sz="4" w:space="0" w:color="auto"/>
              <w:right w:val="dotted" w:sz="4" w:space="0" w:color="auto"/>
            </w:tcBorders>
            <w:shd w:val="clear" w:color="000000" w:fill="D9E1F2"/>
            <w:noWrap/>
            <w:vAlign w:val="center"/>
            <w:hideMark/>
          </w:tcPr>
          <w:p w14:paraId="1AE62EB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90</w:t>
            </w:r>
          </w:p>
        </w:tc>
        <w:tc>
          <w:tcPr>
            <w:tcW w:w="246" w:type="pct"/>
            <w:tcBorders>
              <w:top w:val="nil"/>
              <w:left w:val="nil"/>
              <w:bottom w:val="dotted" w:sz="4" w:space="0" w:color="auto"/>
              <w:right w:val="dotted" w:sz="4" w:space="0" w:color="auto"/>
            </w:tcBorders>
            <w:shd w:val="clear" w:color="000000" w:fill="D9E1F2"/>
            <w:noWrap/>
            <w:vAlign w:val="center"/>
            <w:hideMark/>
          </w:tcPr>
          <w:p w14:paraId="0B9B392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86</w:t>
            </w:r>
          </w:p>
        </w:tc>
        <w:tc>
          <w:tcPr>
            <w:tcW w:w="245" w:type="pct"/>
            <w:tcBorders>
              <w:top w:val="nil"/>
              <w:left w:val="nil"/>
              <w:bottom w:val="dotted" w:sz="4" w:space="0" w:color="auto"/>
              <w:right w:val="dotted" w:sz="4" w:space="0" w:color="auto"/>
            </w:tcBorders>
            <w:shd w:val="clear" w:color="000000" w:fill="D9E1F2"/>
            <w:noWrap/>
            <w:vAlign w:val="center"/>
            <w:hideMark/>
          </w:tcPr>
          <w:p w14:paraId="5CECBE7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95</w:t>
            </w:r>
          </w:p>
        </w:tc>
        <w:tc>
          <w:tcPr>
            <w:tcW w:w="246" w:type="pct"/>
            <w:tcBorders>
              <w:top w:val="nil"/>
              <w:left w:val="nil"/>
              <w:bottom w:val="dotted" w:sz="4" w:space="0" w:color="auto"/>
              <w:right w:val="dotted" w:sz="4" w:space="0" w:color="auto"/>
            </w:tcBorders>
            <w:shd w:val="clear" w:color="000000" w:fill="D9E1F2"/>
            <w:noWrap/>
            <w:vAlign w:val="center"/>
            <w:hideMark/>
          </w:tcPr>
          <w:p w14:paraId="0153127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192</w:t>
            </w:r>
          </w:p>
        </w:tc>
        <w:tc>
          <w:tcPr>
            <w:tcW w:w="246" w:type="pct"/>
            <w:tcBorders>
              <w:top w:val="nil"/>
              <w:left w:val="nil"/>
              <w:bottom w:val="dotted" w:sz="4" w:space="0" w:color="auto"/>
              <w:right w:val="dotted" w:sz="4" w:space="0" w:color="auto"/>
            </w:tcBorders>
            <w:shd w:val="clear" w:color="000000" w:fill="D9E1F2"/>
            <w:noWrap/>
            <w:vAlign w:val="center"/>
            <w:hideMark/>
          </w:tcPr>
          <w:p w14:paraId="6AF89DD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100</w:t>
            </w:r>
          </w:p>
        </w:tc>
        <w:tc>
          <w:tcPr>
            <w:tcW w:w="245" w:type="pct"/>
            <w:tcBorders>
              <w:top w:val="nil"/>
              <w:left w:val="nil"/>
              <w:bottom w:val="dotted" w:sz="4" w:space="0" w:color="auto"/>
              <w:right w:val="dotted" w:sz="4" w:space="0" w:color="auto"/>
            </w:tcBorders>
            <w:shd w:val="clear" w:color="000000" w:fill="D9E1F2"/>
            <w:noWrap/>
            <w:vAlign w:val="center"/>
            <w:hideMark/>
          </w:tcPr>
          <w:p w14:paraId="5ECC6B4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89</w:t>
            </w:r>
          </w:p>
        </w:tc>
        <w:tc>
          <w:tcPr>
            <w:tcW w:w="246" w:type="pct"/>
            <w:tcBorders>
              <w:top w:val="nil"/>
              <w:left w:val="nil"/>
              <w:bottom w:val="dotted" w:sz="4" w:space="0" w:color="auto"/>
              <w:right w:val="dotted" w:sz="4" w:space="0" w:color="auto"/>
            </w:tcBorders>
            <w:shd w:val="clear" w:color="000000" w:fill="D9E1F2"/>
            <w:noWrap/>
            <w:vAlign w:val="center"/>
            <w:hideMark/>
          </w:tcPr>
          <w:p w14:paraId="633C089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95</w:t>
            </w:r>
          </w:p>
        </w:tc>
        <w:tc>
          <w:tcPr>
            <w:tcW w:w="245" w:type="pct"/>
            <w:tcBorders>
              <w:top w:val="nil"/>
              <w:left w:val="nil"/>
              <w:bottom w:val="dotted" w:sz="4" w:space="0" w:color="auto"/>
              <w:right w:val="dotted" w:sz="4" w:space="0" w:color="auto"/>
            </w:tcBorders>
            <w:shd w:val="clear" w:color="000000" w:fill="D9E1F2"/>
            <w:noWrap/>
            <w:vAlign w:val="center"/>
            <w:hideMark/>
          </w:tcPr>
          <w:p w14:paraId="112155A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100</w:t>
            </w:r>
          </w:p>
        </w:tc>
        <w:tc>
          <w:tcPr>
            <w:tcW w:w="246" w:type="pct"/>
            <w:tcBorders>
              <w:top w:val="nil"/>
              <w:left w:val="nil"/>
              <w:bottom w:val="dotted" w:sz="4" w:space="0" w:color="auto"/>
              <w:right w:val="dotted" w:sz="4" w:space="0" w:color="auto"/>
            </w:tcBorders>
            <w:shd w:val="clear" w:color="000000" w:fill="D9E1F2"/>
            <w:noWrap/>
            <w:vAlign w:val="center"/>
            <w:hideMark/>
          </w:tcPr>
          <w:p w14:paraId="46DEC8B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43</w:t>
            </w:r>
          </w:p>
        </w:tc>
        <w:tc>
          <w:tcPr>
            <w:tcW w:w="416" w:type="pct"/>
            <w:vMerge/>
            <w:tcBorders>
              <w:top w:val="nil"/>
              <w:left w:val="dotted" w:sz="4" w:space="0" w:color="auto"/>
              <w:bottom w:val="dotted" w:sz="4" w:space="0" w:color="auto"/>
              <w:right w:val="dotted" w:sz="4" w:space="0" w:color="auto"/>
            </w:tcBorders>
            <w:vAlign w:val="center"/>
            <w:hideMark/>
          </w:tcPr>
          <w:p w14:paraId="6BC81742"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dotted" w:sz="4" w:space="0" w:color="auto"/>
              <w:right w:val="single" w:sz="8" w:space="0" w:color="auto"/>
            </w:tcBorders>
            <w:vAlign w:val="center"/>
            <w:hideMark/>
          </w:tcPr>
          <w:p w14:paraId="763130F1" w14:textId="77777777" w:rsidR="00CF7396" w:rsidRPr="00CF7396" w:rsidRDefault="00CF7396" w:rsidP="00CF7396">
            <w:pPr>
              <w:rPr>
                <w:b/>
                <w:bCs/>
                <w:color w:val="000000" w:themeColor="text1"/>
                <w:lang w:val="es-CR" w:eastAsia="es-CR"/>
              </w:rPr>
            </w:pPr>
          </w:p>
        </w:tc>
      </w:tr>
      <w:tr w:rsidR="00CF7396" w:rsidRPr="00CF7396" w14:paraId="4BC9F4A8" w14:textId="77777777" w:rsidTr="00AF369B">
        <w:trPr>
          <w:trHeight w:val="300"/>
        </w:trPr>
        <w:tc>
          <w:tcPr>
            <w:tcW w:w="590" w:type="pct"/>
            <w:vMerge/>
            <w:tcBorders>
              <w:top w:val="nil"/>
              <w:left w:val="single" w:sz="8" w:space="0" w:color="auto"/>
              <w:bottom w:val="dotted" w:sz="4" w:space="0" w:color="auto"/>
              <w:right w:val="dotted" w:sz="4" w:space="0" w:color="auto"/>
            </w:tcBorders>
            <w:vAlign w:val="center"/>
            <w:hideMark/>
          </w:tcPr>
          <w:p w14:paraId="2F3666B6"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000000" w:fill="D9E1F2"/>
            <w:noWrap/>
            <w:vAlign w:val="center"/>
            <w:hideMark/>
          </w:tcPr>
          <w:p w14:paraId="550F2AB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Circulante final</w:t>
            </w:r>
          </w:p>
        </w:tc>
        <w:tc>
          <w:tcPr>
            <w:tcW w:w="246" w:type="pct"/>
            <w:tcBorders>
              <w:top w:val="nil"/>
              <w:left w:val="nil"/>
              <w:bottom w:val="dotted" w:sz="4" w:space="0" w:color="auto"/>
              <w:right w:val="dotted" w:sz="4" w:space="0" w:color="auto"/>
            </w:tcBorders>
            <w:shd w:val="clear" w:color="000000" w:fill="D9E1F2"/>
            <w:noWrap/>
            <w:vAlign w:val="center"/>
            <w:hideMark/>
          </w:tcPr>
          <w:p w14:paraId="41E7473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2889</w:t>
            </w:r>
          </w:p>
        </w:tc>
        <w:tc>
          <w:tcPr>
            <w:tcW w:w="245" w:type="pct"/>
            <w:tcBorders>
              <w:top w:val="nil"/>
              <w:left w:val="nil"/>
              <w:bottom w:val="dotted" w:sz="4" w:space="0" w:color="auto"/>
              <w:right w:val="dotted" w:sz="4" w:space="0" w:color="auto"/>
            </w:tcBorders>
            <w:shd w:val="clear" w:color="000000" w:fill="D9E1F2"/>
            <w:noWrap/>
            <w:vAlign w:val="center"/>
            <w:hideMark/>
          </w:tcPr>
          <w:p w14:paraId="60A4B9F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2878</w:t>
            </w:r>
          </w:p>
        </w:tc>
        <w:tc>
          <w:tcPr>
            <w:tcW w:w="245" w:type="pct"/>
            <w:tcBorders>
              <w:top w:val="nil"/>
              <w:left w:val="nil"/>
              <w:bottom w:val="dotted" w:sz="4" w:space="0" w:color="auto"/>
              <w:right w:val="dotted" w:sz="4" w:space="0" w:color="auto"/>
            </w:tcBorders>
            <w:shd w:val="clear" w:color="000000" w:fill="D9E1F2"/>
            <w:noWrap/>
            <w:vAlign w:val="center"/>
            <w:hideMark/>
          </w:tcPr>
          <w:p w14:paraId="2A7E10A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2871</w:t>
            </w:r>
          </w:p>
        </w:tc>
        <w:tc>
          <w:tcPr>
            <w:tcW w:w="246" w:type="pct"/>
            <w:tcBorders>
              <w:top w:val="nil"/>
              <w:left w:val="nil"/>
              <w:bottom w:val="dotted" w:sz="4" w:space="0" w:color="auto"/>
              <w:right w:val="dotted" w:sz="4" w:space="0" w:color="auto"/>
            </w:tcBorders>
            <w:shd w:val="clear" w:color="000000" w:fill="D9E1F2"/>
            <w:noWrap/>
            <w:vAlign w:val="center"/>
            <w:hideMark/>
          </w:tcPr>
          <w:p w14:paraId="415239D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2834</w:t>
            </w:r>
          </w:p>
        </w:tc>
        <w:tc>
          <w:tcPr>
            <w:tcW w:w="246" w:type="pct"/>
            <w:tcBorders>
              <w:top w:val="nil"/>
              <w:left w:val="nil"/>
              <w:bottom w:val="dotted" w:sz="4" w:space="0" w:color="auto"/>
              <w:right w:val="dotted" w:sz="4" w:space="0" w:color="auto"/>
            </w:tcBorders>
            <w:shd w:val="clear" w:color="000000" w:fill="D9E1F2"/>
            <w:noWrap/>
            <w:vAlign w:val="center"/>
            <w:hideMark/>
          </w:tcPr>
          <w:p w14:paraId="0A822FD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2907</w:t>
            </w:r>
          </w:p>
        </w:tc>
        <w:tc>
          <w:tcPr>
            <w:tcW w:w="245" w:type="pct"/>
            <w:tcBorders>
              <w:top w:val="nil"/>
              <w:left w:val="nil"/>
              <w:bottom w:val="dotted" w:sz="4" w:space="0" w:color="auto"/>
              <w:right w:val="dotted" w:sz="4" w:space="0" w:color="auto"/>
            </w:tcBorders>
            <w:shd w:val="clear" w:color="000000" w:fill="D9E1F2"/>
            <w:noWrap/>
            <w:vAlign w:val="center"/>
            <w:hideMark/>
          </w:tcPr>
          <w:p w14:paraId="3F724E8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2885</w:t>
            </w:r>
          </w:p>
        </w:tc>
        <w:tc>
          <w:tcPr>
            <w:tcW w:w="246" w:type="pct"/>
            <w:tcBorders>
              <w:top w:val="nil"/>
              <w:left w:val="nil"/>
              <w:bottom w:val="dotted" w:sz="4" w:space="0" w:color="auto"/>
              <w:right w:val="dotted" w:sz="4" w:space="0" w:color="auto"/>
            </w:tcBorders>
            <w:shd w:val="clear" w:color="000000" w:fill="D9E1F2"/>
            <w:noWrap/>
            <w:vAlign w:val="center"/>
            <w:hideMark/>
          </w:tcPr>
          <w:p w14:paraId="1F3B81D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2754</w:t>
            </w:r>
          </w:p>
        </w:tc>
        <w:tc>
          <w:tcPr>
            <w:tcW w:w="246" w:type="pct"/>
            <w:tcBorders>
              <w:top w:val="nil"/>
              <w:left w:val="nil"/>
              <w:bottom w:val="dotted" w:sz="4" w:space="0" w:color="auto"/>
              <w:right w:val="dotted" w:sz="4" w:space="0" w:color="auto"/>
            </w:tcBorders>
            <w:shd w:val="clear" w:color="000000" w:fill="D9E1F2"/>
            <w:noWrap/>
            <w:vAlign w:val="center"/>
            <w:hideMark/>
          </w:tcPr>
          <w:p w14:paraId="48EFCA3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2740</w:t>
            </w:r>
          </w:p>
        </w:tc>
        <w:tc>
          <w:tcPr>
            <w:tcW w:w="245" w:type="pct"/>
            <w:tcBorders>
              <w:top w:val="nil"/>
              <w:left w:val="nil"/>
              <w:bottom w:val="dotted" w:sz="4" w:space="0" w:color="auto"/>
              <w:right w:val="dotted" w:sz="4" w:space="0" w:color="auto"/>
            </w:tcBorders>
            <w:shd w:val="clear" w:color="000000" w:fill="D9E1F2"/>
            <w:noWrap/>
            <w:vAlign w:val="center"/>
            <w:hideMark/>
          </w:tcPr>
          <w:p w14:paraId="322CE4D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2729</w:t>
            </w:r>
          </w:p>
        </w:tc>
        <w:tc>
          <w:tcPr>
            <w:tcW w:w="246" w:type="pct"/>
            <w:tcBorders>
              <w:top w:val="nil"/>
              <w:left w:val="nil"/>
              <w:bottom w:val="dotted" w:sz="4" w:space="0" w:color="auto"/>
              <w:right w:val="dotted" w:sz="4" w:space="0" w:color="auto"/>
            </w:tcBorders>
            <w:shd w:val="clear" w:color="000000" w:fill="D9E1F2"/>
            <w:noWrap/>
            <w:vAlign w:val="center"/>
            <w:hideMark/>
          </w:tcPr>
          <w:p w14:paraId="7F54C00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2760</w:t>
            </w:r>
          </w:p>
        </w:tc>
        <w:tc>
          <w:tcPr>
            <w:tcW w:w="245" w:type="pct"/>
            <w:tcBorders>
              <w:top w:val="nil"/>
              <w:left w:val="nil"/>
              <w:bottom w:val="dotted" w:sz="4" w:space="0" w:color="auto"/>
              <w:right w:val="dotted" w:sz="4" w:space="0" w:color="auto"/>
            </w:tcBorders>
            <w:shd w:val="clear" w:color="000000" w:fill="D9E1F2"/>
            <w:noWrap/>
            <w:vAlign w:val="center"/>
            <w:hideMark/>
          </w:tcPr>
          <w:p w14:paraId="7158EE1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2752</w:t>
            </w:r>
          </w:p>
        </w:tc>
        <w:tc>
          <w:tcPr>
            <w:tcW w:w="246" w:type="pct"/>
            <w:tcBorders>
              <w:top w:val="nil"/>
              <w:left w:val="nil"/>
              <w:bottom w:val="dotted" w:sz="4" w:space="0" w:color="auto"/>
              <w:right w:val="dotted" w:sz="4" w:space="0" w:color="auto"/>
            </w:tcBorders>
            <w:shd w:val="clear" w:color="000000" w:fill="D9E1F2"/>
            <w:noWrap/>
            <w:vAlign w:val="center"/>
            <w:hideMark/>
          </w:tcPr>
          <w:p w14:paraId="7BB3D9A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2759</w:t>
            </w:r>
          </w:p>
        </w:tc>
        <w:tc>
          <w:tcPr>
            <w:tcW w:w="416" w:type="pct"/>
            <w:vMerge/>
            <w:tcBorders>
              <w:top w:val="nil"/>
              <w:left w:val="dotted" w:sz="4" w:space="0" w:color="auto"/>
              <w:bottom w:val="dotted" w:sz="4" w:space="0" w:color="auto"/>
              <w:right w:val="dotted" w:sz="4" w:space="0" w:color="auto"/>
            </w:tcBorders>
            <w:vAlign w:val="center"/>
            <w:hideMark/>
          </w:tcPr>
          <w:p w14:paraId="3DB2A787"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dotted" w:sz="4" w:space="0" w:color="auto"/>
              <w:right w:val="single" w:sz="8" w:space="0" w:color="auto"/>
            </w:tcBorders>
            <w:vAlign w:val="center"/>
            <w:hideMark/>
          </w:tcPr>
          <w:p w14:paraId="09D1AC41" w14:textId="77777777" w:rsidR="00CF7396" w:rsidRPr="00CF7396" w:rsidRDefault="00CF7396" w:rsidP="00CF7396">
            <w:pPr>
              <w:rPr>
                <w:b/>
                <w:bCs/>
                <w:color w:val="000000" w:themeColor="text1"/>
                <w:lang w:val="es-CR" w:eastAsia="es-CR"/>
              </w:rPr>
            </w:pPr>
          </w:p>
        </w:tc>
      </w:tr>
      <w:tr w:rsidR="00CF7396" w:rsidRPr="00CF7396" w14:paraId="76CBFFED" w14:textId="77777777" w:rsidTr="00AF369B">
        <w:trPr>
          <w:trHeight w:val="300"/>
        </w:trPr>
        <w:tc>
          <w:tcPr>
            <w:tcW w:w="590" w:type="pct"/>
            <w:vMerge w:val="restart"/>
            <w:tcBorders>
              <w:top w:val="nil"/>
              <w:left w:val="single" w:sz="8" w:space="0" w:color="auto"/>
              <w:bottom w:val="dotted" w:sz="4" w:space="0" w:color="auto"/>
              <w:right w:val="dotted" w:sz="4" w:space="0" w:color="auto"/>
            </w:tcBorders>
            <w:shd w:val="clear" w:color="auto" w:fill="auto"/>
            <w:vAlign w:val="center"/>
            <w:hideMark/>
          </w:tcPr>
          <w:p w14:paraId="1DBBAFF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Tribunal Colegiado de Primer Instancia Civil del ICJ Zona Atlántica</w:t>
            </w:r>
          </w:p>
        </w:tc>
        <w:tc>
          <w:tcPr>
            <w:tcW w:w="540" w:type="pct"/>
            <w:tcBorders>
              <w:top w:val="nil"/>
              <w:left w:val="nil"/>
              <w:bottom w:val="dotted" w:sz="4" w:space="0" w:color="auto"/>
              <w:right w:val="dotted" w:sz="4" w:space="0" w:color="auto"/>
            </w:tcBorders>
            <w:shd w:val="clear" w:color="auto" w:fill="auto"/>
            <w:noWrap/>
            <w:vAlign w:val="center"/>
            <w:hideMark/>
          </w:tcPr>
          <w:p w14:paraId="445A75E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Entrada</w:t>
            </w:r>
          </w:p>
        </w:tc>
        <w:tc>
          <w:tcPr>
            <w:tcW w:w="246" w:type="pct"/>
            <w:tcBorders>
              <w:top w:val="nil"/>
              <w:left w:val="nil"/>
              <w:bottom w:val="dotted" w:sz="4" w:space="0" w:color="auto"/>
              <w:right w:val="dotted" w:sz="4" w:space="0" w:color="auto"/>
            </w:tcBorders>
            <w:shd w:val="clear" w:color="auto" w:fill="auto"/>
            <w:noWrap/>
            <w:vAlign w:val="center"/>
            <w:hideMark/>
          </w:tcPr>
          <w:p w14:paraId="5D69798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w:t>
            </w:r>
          </w:p>
        </w:tc>
        <w:tc>
          <w:tcPr>
            <w:tcW w:w="245" w:type="pct"/>
            <w:tcBorders>
              <w:top w:val="nil"/>
              <w:left w:val="nil"/>
              <w:bottom w:val="dotted" w:sz="4" w:space="0" w:color="auto"/>
              <w:right w:val="dotted" w:sz="4" w:space="0" w:color="auto"/>
            </w:tcBorders>
            <w:shd w:val="clear" w:color="auto" w:fill="auto"/>
            <w:noWrap/>
            <w:vAlign w:val="center"/>
            <w:hideMark/>
          </w:tcPr>
          <w:p w14:paraId="326817B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w:t>
            </w:r>
          </w:p>
        </w:tc>
        <w:tc>
          <w:tcPr>
            <w:tcW w:w="245" w:type="pct"/>
            <w:tcBorders>
              <w:top w:val="nil"/>
              <w:left w:val="nil"/>
              <w:bottom w:val="dotted" w:sz="4" w:space="0" w:color="auto"/>
              <w:right w:val="dotted" w:sz="4" w:space="0" w:color="auto"/>
            </w:tcBorders>
            <w:shd w:val="clear" w:color="auto" w:fill="auto"/>
            <w:noWrap/>
            <w:vAlign w:val="center"/>
            <w:hideMark/>
          </w:tcPr>
          <w:p w14:paraId="5E63BCD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w:t>
            </w:r>
          </w:p>
        </w:tc>
        <w:tc>
          <w:tcPr>
            <w:tcW w:w="246" w:type="pct"/>
            <w:tcBorders>
              <w:top w:val="nil"/>
              <w:left w:val="nil"/>
              <w:bottom w:val="dotted" w:sz="4" w:space="0" w:color="auto"/>
              <w:right w:val="dotted" w:sz="4" w:space="0" w:color="auto"/>
            </w:tcBorders>
            <w:shd w:val="clear" w:color="auto" w:fill="auto"/>
            <w:noWrap/>
            <w:vAlign w:val="center"/>
            <w:hideMark/>
          </w:tcPr>
          <w:p w14:paraId="3350AF1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w:t>
            </w:r>
          </w:p>
        </w:tc>
        <w:tc>
          <w:tcPr>
            <w:tcW w:w="246" w:type="pct"/>
            <w:tcBorders>
              <w:top w:val="nil"/>
              <w:left w:val="nil"/>
              <w:bottom w:val="dotted" w:sz="4" w:space="0" w:color="auto"/>
              <w:right w:val="dotted" w:sz="4" w:space="0" w:color="auto"/>
            </w:tcBorders>
            <w:shd w:val="clear" w:color="auto" w:fill="auto"/>
            <w:noWrap/>
            <w:vAlign w:val="center"/>
            <w:hideMark/>
          </w:tcPr>
          <w:p w14:paraId="3959F28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w:t>
            </w:r>
          </w:p>
        </w:tc>
        <w:tc>
          <w:tcPr>
            <w:tcW w:w="245" w:type="pct"/>
            <w:tcBorders>
              <w:top w:val="nil"/>
              <w:left w:val="nil"/>
              <w:bottom w:val="dotted" w:sz="4" w:space="0" w:color="auto"/>
              <w:right w:val="dotted" w:sz="4" w:space="0" w:color="auto"/>
            </w:tcBorders>
            <w:shd w:val="clear" w:color="auto" w:fill="auto"/>
            <w:noWrap/>
            <w:vAlign w:val="center"/>
            <w:hideMark/>
          </w:tcPr>
          <w:p w14:paraId="4AB9F17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w:t>
            </w:r>
          </w:p>
        </w:tc>
        <w:tc>
          <w:tcPr>
            <w:tcW w:w="246" w:type="pct"/>
            <w:tcBorders>
              <w:top w:val="nil"/>
              <w:left w:val="nil"/>
              <w:bottom w:val="dotted" w:sz="4" w:space="0" w:color="auto"/>
              <w:right w:val="dotted" w:sz="4" w:space="0" w:color="auto"/>
            </w:tcBorders>
            <w:shd w:val="clear" w:color="auto" w:fill="auto"/>
            <w:noWrap/>
            <w:vAlign w:val="center"/>
            <w:hideMark/>
          </w:tcPr>
          <w:p w14:paraId="5A716CE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w:t>
            </w:r>
          </w:p>
        </w:tc>
        <w:tc>
          <w:tcPr>
            <w:tcW w:w="246" w:type="pct"/>
            <w:tcBorders>
              <w:top w:val="nil"/>
              <w:left w:val="nil"/>
              <w:bottom w:val="dotted" w:sz="4" w:space="0" w:color="auto"/>
              <w:right w:val="dotted" w:sz="4" w:space="0" w:color="auto"/>
            </w:tcBorders>
            <w:shd w:val="clear" w:color="auto" w:fill="auto"/>
            <w:noWrap/>
            <w:vAlign w:val="center"/>
            <w:hideMark/>
          </w:tcPr>
          <w:p w14:paraId="4C6C7BE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w:t>
            </w:r>
          </w:p>
        </w:tc>
        <w:tc>
          <w:tcPr>
            <w:tcW w:w="245" w:type="pct"/>
            <w:tcBorders>
              <w:top w:val="nil"/>
              <w:left w:val="nil"/>
              <w:bottom w:val="dotted" w:sz="4" w:space="0" w:color="auto"/>
              <w:right w:val="dotted" w:sz="4" w:space="0" w:color="auto"/>
            </w:tcBorders>
            <w:shd w:val="clear" w:color="auto" w:fill="auto"/>
            <w:noWrap/>
            <w:vAlign w:val="center"/>
            <w:hideMark/>
          </w:tcPr>
          <w:p w14:paraId="78D9B1B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w:t>
            </w:r>
          </w:p>
        </w:tc>
        <w:tc>
          <w:tcPr>
            <w:tcW w:w="246" w:type="pct"/>
            <w:tcBorders>
              <w:top w:val="nil"/>
              <w:left w:val="nil"/>
              <w:bottom w:val="dotted" w:sz="4" w:space="0" w:color="auto"/>
              <w:right w:val="dotted" w:sz="4" w:space="0" w:color="auto"/>
            </w:tcBorders>
            <w:shd w:val="clear" w:color="auto" w:fill="auto"/>
            <w:noWrap/>
            <w:vAlign w:val="center"/>
            <w:hideMark/>
          </w:tcPr>
          <w:p w14:paraId="5283BC2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w:t>
            </w:r>
          </w:p>
        </w:tc>
        <w:tc>
          <w:tcPr>
            <w:tcW w:w="245" w:type="pct"/>
            <w:tcBorders>
              <w:top w:val="nil"/>
              <w:left w:val="nil"/>
              <w:bottom w:val="dotted" w:sz="4" w:space="0" w:color="auto"/>
              <w:right w:val="dotted" w:sz="4" w:space="0" w:color="auto"/>
            </w:tcBorders>
            <w:shd w:val="clear" w:color="auto" w:fill="auto"/>
            <w:noWrap/>
            <w:vAlign w:val="center"/>
            <w:hideMark/>
          </w:tcPr>
          <w:p w14:paraId="22D61BF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w:t>
            </w:r>
          </w:p>
        </w:tc>
        <w:tc>
          <w:tcPr>
            <w:tcW w:w="246" w:type="pct"/>
            <w:tcBorders>
              <w:top w:val="nil"/>
              <w:left w:val="nil"/>
              <w:bottom w:val="dotted" w:sz="4" w:space="0" w:color="auto"/>
              <w:right w:val="dotted" w:sz="4" w:space="0" w:color="auto"/>
            </w:tcBorders>
            <w:shd w:val="clear" w:color="auto" w:fill="auto"/>
            <w:noWrap/>
            <w:vAlign w:val="center"/>
            <w:hideMark/>
          </w:tcPr>
          <w:p w14:paraId="0AFC30A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w:t>
            </w:r>
          </w:p>
        </w:tc>
        <w:tc>
          <w:tcPr>
            <w:tcW w:w="416" w:type="pct"/>
            <w:vMerge w:val="restart"/>
            <w:tcBorders>
              <w:top w:val="nil"/>
              <w:left w:val="dotted" w:sz="4" w:space="0" w:color="auto"/>
              <w:bottom w:val="dotted" w:sz="4" w:space="0" w:color="auto"/>
              <w:right w:val="dotted" w:sz="4" w:space="0" w:color="auto"/>
            </w:tcBorders>
            <w:shd w:val="clear" w:color="auto" w:fill="auto"/>
            <w:noWrap/>
            <w:vAlign w:val="center"/>
            <w:hideMark/>
          </w:tcPr>
          <w:p w14:paraId="07E3EAB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12</w:t>
            </w:r>
          </w:p>
        </w:tc>
        <w:tc>
          <w:tcPr>
            <w:tcW w:w="506" w:type="pct"/>
            <w:vMerge w:val="restart"/>
            <w:tcBorders>
              <w:top w:val="nil"/>
              <w:left w:val="dotted" w:sz="4" w:space="0" w:color="auto"/>
              <w:bottom w:val="dotted" w:sz="4" w:space="0" w:color="auto"/>
              <w:right w:val="single" w:sz="8" w:space="0" w:color="auto"/>
            </w:tcBorders>
            <w:shd w:val="clear" w:color="auto" w:fill="auto"/>
            <w:noWrap/>
            <w:vAlign w:val="center"/>
            <w:hideMark/>
          </w:tcPr>
          <w:p w14:paraId="4DB012B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11</w:t>
            </w:r>
          </w:p>
        </w:tc>
      </w:tr>
      <w:tr w:rsidR="00CF7396" w:rsidRPr="00CF7396" w14:paraId="1C99E57A" w14:textId="77777777" w:rsidTr="00AF369B">
        <w:trPr>
          <w:trHeight w:val="300"/>
        </w:trPr>
        <w:tc>
          <w:tcPr>
            <w:tcW w:w="590" w:type="pct"/>
            <w:vMerge/>
            <w:tcBorders>
              <w:top w:val="nil"/>
              <w:left w:val="single" w:sz="8" w:space="0" w:color="auto"/>
              <w:bottom w:val="dotted" w:sz="4" w:space="0" w:color="auto"/>
              <w:right w:val="dotted" w:sz="4" w:space="0" w:color="auto"/>
            </w:tcBorders>
            <w:vAlign w:val="center"/>
            <w:hideMark/>
          </w:tcPr>
          <w:p w14:paraId="0B261F70"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auto" w:fill="auto"/>
            <w:noWrap/>
            <w:vAlign w:val="center"/>
            <w:hideMark/>
          </w:tcPr>
          <w:p w14:paraId="5090B45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Terminados</w:t>
            </w:r>
          </w:p>
        </w:tc>
        <w:tc>
          <w:tcPr>
            <w:tcW w:w="246" w:type="pct"/>
            <w:tcBorders>
              <w:top w:val="nil"/>
              <w:left w:val="nil"/>
              <w:bottom w:val="dotted" w:sz="4" w:space="0" w:color="auto"/>
              <w:right w:val="dotted" w:sz="4" w:space="0" w:color="auto"/>
            </w:tcBorders>
            <w:shd w:val="clear" w:color="auto" w:fill="auto"/>
            <w:noWrap/>
            <w:vAlign w:val="center"/>
            <w:hideMark/>
          </w:tcPr>
          <w:p w14:paraId="5A64928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w:t>
            </w:r>
          </w:p>
        </w:tc>
        <w:tc>
          <w:tcPr>
            <w:tcW w:w="245" w:type="pct"/>
            <w:tcBorders>
              <w:top w:val="nil"/>
              <w:left w:val="nil"/>
              <w:bottom w:val="dotted" w:sz="4" w:space="0" w:color="auto"/>
              <w:right w:val="dotted" w:sz="4" w:space="0" w:color="auto"/>
            </w:tcBorders>
            <w:shd w:val="clear" w:color="auto" w:fill="auto"/>
            <w:noWrap/>
            <w:vAlign w:val="center"/>
            <w:hideMark/>
          </w:tcPr>
          <w:p w14:paraId="5F57169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w:t>
            </w:r>
          </w:p>
        </w:tc>
        <w:tc>
          <w:tcPr>
            <w:tcW w:w="245" w:type="pct"/>
            <w:tcBorders>
              <w:top w:val="nil"/>
              <w:left w:val="nil"/>
              <w:bottom w:val="dotted" w:sz="4" w:space="0" w:color="auto"/>
              <w:right w:val="dotted" w:sz="4" w:space="0" w:color="auto"/>
            </w:tcBorders>
            <w:shd w:val="clear" w:color="auto" w:fill="auto"/>
            <w:noWrap/>
            <w:vAlign w:val="center"/>
            <w:hideMark/>
          </w:tcPr>
          <w:p w14:paraId="2B0AAA3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w:t>
            </w:r>
          </w:p>
        </w:tc>
        <w:tc>
          <w:tcPr>
            <w:tcW w:w="246" w:type="pct"/>
            <w:tcBorders>
              <w:top w:val="nil"/>
              <w:left w:val="nil"/>
              <w:bottom w:val="dotted" w:sz="4" w:space="0" w:color="auto"/>
              <w:right w:val="dotted" w:sz="4" w:space="0" w:color="auto"/>
            </w:tcBorders>
            <w:shd w:val="clear" w:color="auto" w:fill="auto"/>
            <w:noWrap/>
            <w:vAlign w:val="center"/>
            <w:hideMark/>
          </w:tcPr>
          <w:p w14:paraId="533120D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w:t>
            </w:r>
          </w:p>
        </w:tc>
        <w:tc>
          <w:tcPr>
            <w:tcW w:w="246" w:type="pct"/>
            <w:tcBorders>
              <w:top w:val="nil"/>
              <w:left w:val="nil"/>
              <w:bottom w:val="dotted" w:sz="4" w:space="0" w:color="auto"/>
              <w:right w:val="dotted" w:sz="4" w:space="0" w:color="auto"/>
            </w:tcBorders>
            <w:shd w:val="clear" w:color="auto" w:fill="auto"/>
            <w:noWrap/>
            <w:vAlign w:val="center"/>
            <w:hideMark/>
          </w:tcPr>
          <w:p w14:paraId="1EC6245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w:t>
            </w:r>
          </w:p>
        </w:tc>
        <w:tc>
          <w:tcPr>
            <w:tcW w:w="245" w:type="pct"/>
            <w:tcBorders>
              <w:top w:val="nil"/>
              <w:left w:val="nil"/>
              <w:bottom w:val="dotted" w:sz="4" w:space="0" w:color="auto"/>
              <w:right w:val="dotted" w:sz="4" w:space="0" w:color="auto"/>
            </w:tcBorders>
            <w:shd w:val="clear" w:color="auto" w:fill="auto"/>
            <w:noWrap/>
            <w:vAlign w:val="center"/>
            <w:hideMark/>
          </w:tcPr>
          <w:p w14:paraId="326DBD1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w:t>
            </w:r>
          </w:p>
        </w:tc>
        <w:tc>
          <w:tcPr>
            <w:tcW w:w="246" w:type="pct"/>
            <w:tcBorders>
              <w:top w:val="nil"/>
              <w:left w:val="nil"/>
              <w:bottom w:val="dotted" w:sz="4" w:space="0" w:color="auto"/>
              <w:right w:val="dotted" w:sz="4" w:space="0" w:color="auto"/>
            </w:tcBorders>
            <w:shd w:val="clear" w:color="auto" w:fill="auto"/>
            <w:noWrap/>
            <w:vAlign w:val="center"/>
            <w:hideMark/>
          </w:tcPr>
          <w:p w14:paraId="36FC8CE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w:t>
            </w:r>
          </w:p>
        </w:tc>
        <w:tc>
          <w:tcPr>
            <w:tcW w:w="246" w:type="pct"/>
            <w:tcBorders>
              <w:top w:val="nil"/>
              <w:left w:val="nil"/>
              <w:bottom w:val="dotted" w:sz="4" w:space="0" w:color="auto"/>
              <w:right w:val="dotted" w:sz="4" w:space="0" w:color="auto"/>
            </w:tcBorders>
            <w:shd w:val="clear" w:color="auto" w:fill="auto"/>
            <w:noWrap/>
            <w:vAlign w:val="center"/>
            <w:hideMark/>
          </w:tcPr>
          <w:p w14:paraId="11B72AF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w:t>
            </w:r>
          </w:p>
        </w:tc>
        <w:tc>
          <w:tcPr>
            <w:tcW w:w="245" w:type="pct"/>
            <w:tcBorders>
              <w:top w:val="nil"/>
              <w:left w:val="nil"/>
              <w:bottom w:val="dotted" w:sz="4" w:space="0" w:color="auto"/>
              <w:right w:val="dotted" w:sz="4" w:space="0" w:color="auto"/>
            </w:tcBorders>
            <w:shd w:val="clear" w:color="auto" w:fill="auto"/>
            <w:noWrap/>
            <w:vAlign w:val="center"/>
            <w:hideMark/>
          </w:tcPr>
          <w:p w14:paraId="3AF797B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w:t>
            </w:r>
          </w:p>
        </w:tc>
        <w:tc>
          <w:tcPr>
            <w:tcW w:w="246" w:type="pct"/>
            <w:tcBorders>
              <w:top w:val="nil"/>
              <w:left w:val="nil"/>
              <w:bottom w:val="dotted" w:sz="4" w:space="0" w:color="auto"/>
              <w:right w:val="dotted" w:sz="4" w:space="0" w:color="auto"/>
            </w:tcBorders>
            <w:shd w:val="clear" w:color="auto" w:fill="auto"/>
            <w:noWrap/>
            <w:vAlign w:val="center"/>
            <w:hideMark/>
          </w:tcPr>
          <w:p w14:paraId="4784802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w:t>
            </w:r>
          </w:p>
        </w:tc>
        <w:tc>
          <w:tcPr>
            <w:tcW w:w="245" w:type="pct"/>
            <w:tcBorders>
              <w:top w:val="nil"/>
              <w:left w:val="nil"/>
              <w:bottom w:val="dotted" w:sz="4" w:space="0" w:color="auto"/>
              <w:right w:val="dotted" w:sz="4" w:space="0" w:color="auto"/>
            </w:tcBorders>
            <w:shd w:val="clear" w:color="auto" w:fill="auto"/>
            <w:noWrap/>
            <w:vAlign w:val="center"/>
            <w:hideMark/>
          </w:tcPr>
          <w:p w14:paraId="413634B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w:t>
            </w:r>
          </w:p>
        </w:tc>
        <w:tc>
          <w:tcPr>
            <w:tcW w:w="246" w:type="pct"/>
            <w:tcBorders>
              <w:top w:val="nil"/>
              <w:left w:val="nil"/>
              <w:bottom w:val="dotted" w:sz="4" w:space="0" w:color="auto"/>
              <w:right w:val="dotted" w:sz="4" w:space="0" w:color="auto"/>
            </w:tcBorders>
            <w:shd w:val="clear" w:color="auto" w:fill="auto"/>
            <w:noWrap/>
            <w:vAlign w:val="center"/>
            <w:hideMark/>
          </w:tcPr>
          <w:p w14:paraId="5791E9D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w:t>
            </w:r>
          </w:p>
        </w:tc>
        <w:tc>
          <w:tcPr>
            <w:tcW w:w="416" w:type="pct"/>
            <w:vMerge/>
            <w:tcBorders>
              <w:top w:val="nil"/>
              <w:left w:val="dotted" w:sz="4" w:space="0" w:color="auto"/>
              <w:bottom w:val="dotted" w:sz="4" w:space="0" w:color="auto"/>
              <w:right w:val="dotted" w:sz="4" w:space="0" w:color="auto"/>
            </w:tcBorders>
            <w:vAlign w:val="center"/>
            <w:hideMark/>
          </w:tcPr>
          <w:p w14:paraId="13C492E8"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dotted" w:sz="4" w:space="0" w:color="auto"/>
              <w:right w:val="single" w:sz="8" w:space="0" w:color="auto"/>
            </w:tcBorders>
            <w:vAlign w:val="center"/>
            <w:hideMark/>
          </w:tcPr>
          <w:p w14:paraId="774491CA" w14:textId="77777777" w:rsidR="00CF7396" w:rsidRPr="00CF7396" w:rsidRDefault="00CF7396" w:rsidP="00CF7396">
            <w:pPr>
              <w:rPr>
                <w:b/>
                <w:bCs/>
                <w:color w:val="000000" w:themeColor="text1"/>
                <w:lang w:val="es-CR" w:eastAsia="es-CR"/>
              </w:rPr>
            </w:pPr>
          </w:p>
        </w:tc>
      </w:tr>
      <w:tr w:rsidR="00CF7396" w:rsidRPr="00CF7396" w14:paraId="23DD106A" w14:textId="77777777" w:rsidTr="00AF369B">
        <w:trPr>
          <w:trHeight w:val="300"/>
        </w:trPr>
        <w:tc>
          <w:tcPr>
            <w:tcW w:w="590" w:type="pct"/>
            <w:vMerge/>
            <w:tcBorders>
              <w:top w:val="nil"/>
              <w:left w:val="single" w:sz="8" w:space="0" w:color="auto"/>
              <w:bottom w:val="dotted" w:sz="4" w:space="0" w:color="auto"/>
              <w:right w:val="dotted" w:sz="4" w:space="0" w:color="auto"/>
            </w:tcBorders>
            <w:vAlign w:val="center"/>
            <w:hideMark/>
          </w:tcPr>
          <w:p w14:paraId="57052CCC"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auto" w:fill="auto"/>
            <w:noWrap/>
            <w:vAlign w:val="center"/>
            <w:hideMark/>
          </w:tcPr>
          <w:p w14:paraId="7C945FC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Circulante final</w:t>
            </w:r>
          </w:p>
        </w:tc>
        <w:tc>
          <w:tcPr>
            <w:tcW w:w="246" w:type="pct"/>
            <w:tcBorders>
              <w:top w:val="nil"/>
              <w:left w:val="nil"/>
              <w:bottom w:val="dotted" w:sz="4" w:space="0" w:color="auto"/>
              <w:right w:val="dotted" w:sz="4" w:space="0" w:color="auto"/>
            </w:tcBorders>
            <w:shd w:val="clear" w:color="auto" w:fill="auto"/>
            <w:noWrap/>
            <w:vAlign w:val="center"/>
            <w:hideMark/>
          </w:tcPr>
          <w:p w14:paraId="632B550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180</w:t>
            </w:r>
          </w:p>
        </w:tc>
        <w:tc>
          <w:tcPr>
            <w:tcW w:w="245" w:type="pct"/>
            <w:tcBorders>
              <w:top w:val="nil"/>
              <w:left w:val="nil"/>
              <w:bottom w:val="dotted" w:sz="4" w:space="0" w:color="auto"/>
              <w:right w:val="dotted" w:sz="4" w:space="0" w:color="auto"/>
            </w:tcBorders>
            <w:shd w:val="clear" w:color="auto" w:fill="auto"/>
            <w:noWrap/>
            <w:vAlign w:val="center"/>
            <w:hideMark/>
          </w:tcPr>
          <w:p w14:paraId="106A7BA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172</w:t>
            </w:r>
          </w:p>
        </w:tc>
        <w:tc>
          <w:tcPr>
            <w:tcW w:w="245" w:type="pct"/>
            <w:tcBorders>
              <w:top w:val="nil"/>
              <w:left w:val="nil"/>
              <w:bottom w:val="dotted" w:sz="4" w:space="0" w:color="auto"/>
              <w:right w:val="dotted" w:sz="4" w:space="0" w:color="auto"/>
            </w:tcBorders>
            <w:shd w:val="clear" w:color="auto" w:fill="auto"/>
            <w:noWrap/>
            <w:vAlign w:val="center"/>
            <w:hideMark/>
          </w:tcPr>
          <w:p w14:paraId="6016D51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175</w:t>
            </w:r>
          </w:p>
        </w:tc>
        <w:tc>
          <w:tcPr>
            <w:tcW w:w="246" w:type="pct"/>
            <w:tcBorders>
              <w:top w:val="nil"/>
              <w:left w:val="nil"/>
              <w:bottom w:val="dotted" w:sz="4" w:space="0" w:color="auto"/>
              <w:right w:val="dotted" w:sz="4" w:space="0" w:color="auto"/>
            </w:tcBorders>
            <w:shd w:val="clear" w:color="auto" w:fill="auto"/>
            <w:noWrap/>
            <w:vAlign w:val="center"/>
            <w:hideMark/>
          </w:tcPr>
          <w:p w14:paraId="66FAA7C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175</w:t>
            </w:r>
          </w:p>
        </w:tc>
        <w:tc>
          <w:tcPr>
            <w:tcW w:w="246" w:type="pct"/>
            <w:tcBorders>
              <w:top w:val="nil"/>
              <w:left w:val="nil"/>
              <w:bottom w:val="dotted" w:sz="4" w:space="0" w:color="auto"/>
              <w:right w:val="dotted" w:sz="4" w:space="0" w:color="auto"/>
            </w:tcBorders>
            <w:shd w:val="clear" w:color="auto" w:fill="auto"/>
            <w:noWrap/>
            <w:vAlign w:val="center"/>
            <w:hideMark/>
          </w:tcPr>
          <w:p w14:paraId="3902785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169</w:t>
            </w:r>
          </w:p>
        </w:tc>
        <w:tc>
          <w:tcPr>
            <w:tcW w:w="245" w:type="pct"/>
            <w:tcBorders>
              <w:top w:val="nil"/>
              <w:left w:val="nil"/>
              <w:bottom w:val="dotted" w:sz="4" w:space="0" w:color="auto"/>
              <w:right w:val="dotted" w:sz="4" w:space="0" w:color="auto"/>
            </w:tcBorders>
            <w:shd w:val="clear" w:color="auto" w:fill="auto"/>
            <w:noWrap/>
            <w:vAlign w:val="center"/>
            <w:hideMark/>
          </w:tcPr>
          <w:p w14:paraId="2ED0A58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170</w:t>
            </w:r>
          </w:p>
        </w:tc>
        <w:tc>
          <w:tcPr>
            <w:tcW w:w="246" w:type="pct"/>
            <w:tcBorders>
              <w:top w:val="nil"/>
              <w:left w:val="nil"/>
              <w:bottom w:val="dotted" w:sz="4" w:space="0" w:color="auto"/>
              <w:right w:val="dotted" w:sz="4" w:space="0" w:color="auto"/>
            </w:tcBorders>
            <w:shd w:val="clear" w:color="auto" w:fill="auto"/>
            <w:noWrap/>
            <w:vAlign w:val="center"/>
            <w:hideMark/>
          </w:tcPr>
          <w:p w14:paraId="156A53A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170</w:t>
            </w:r>
          </w:p>
        </w:tc>
        <w:tc>
          <w:tcPr>
            <w:tcW w:w="246" w:type="pct"/>
            <w:tcBorders>
              <w:top w:val="nil"/>
              <w:left w:val="nil"/>
              <w:bottom w:val="dotted" w:sz="4" w:space="0" w:color="auto"/>
              <w:right w:val="dotted" w:sz="4" w:space="0" w:color="auto"/>
            </w:tcBorders>
            <w:shd w:val="clear" w:color="auto" w:fill="auto"/>
            <w:noWrap/>
            <w:vAlign w:val="center"/>
            <w:hideMark/>
          </w:tcPr>
          <w:p w14:paraId="2B17147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168</w:t>
            </w:r>
          </w:p>
        </w:tc>
        <w:tc>
          <w:tcPr>
            <w:tcW w:w="245" w:type="pct"/>
            <w:tcBorders>
              <w:top w:val="nil"/>
              <w:left w:val="nil"/>
              <w:bottom w:val="dotted" w:sz="4" w:space="0" w:color="auto"/>
              <w:right w:val="dotted" w:sz="4" w:space="0" w:color="auto"/>
            </w:tcBorders>
            <w:shd w:val="clear" w:color="auto" w:fill="auto"/>
            <w:noWrap/>
            <w:vAlign w:val="center"/>
            <w:hideMark/>
          </w:tcPr>
          <w:p w14:paraId="2F77FB6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179</w:t>
            </w:r>
          </w:p>
        </w:tc>
        <w:tc>
          <w:tcPr>
            <w:tcW w:w="246" w:type="pct"/>
            <w:tcBorders>
              <w:top w:val="nil"/>
              <w:left w:val="nil"/>
              <w:bottom w:val="dotted" w:sz="4" w:space="0" w:color="auto"/>
              <w:right w:val="dotted" w:sz="4" w:space="0" w:color="auto"/>
            </w:tcBorders>
            <w:shd w:val="clear" w:color="auto" w:fill="auto"/>
            <w:noWrap/>
            <w:vAlign w:val="center"/>
            <w:hideMark/>
          </w:tcPr>
          <w:p w14:paraId="28F596A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183</w:t>
            </w:r>
          </w:p>
        </w:tc>
        <w:tc>
          <w:tcPr>
            <w:tcW w:w="245" w:type="pct"/>
            <w:tcBorders>
              <w:top w:val="nil"/>
              <w:left w:val="nil"/>
              <w:bottom w:val="dotted" w:sz="4" w:space="0" w:color="auto"/>
              <w:right w:val="dotted" w:sz="4" w:space="0" w:color="auto"/>
            </w:tcBorders>
            <w:shd w:val="clear" w:color="auto" w:fill="auto"/>
            <w:noWrap/>
            <w:vAlign w:val="center"/>
            <w:hideMark/>
          </w:tcPr>
          <w:p w14:paraId="70A09F5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178</w:t>
            </w:r>
          </w:p>
        </w:tc>
        <w:tc>
          <w:tcPr>
            <w:tcW w:w="246" w:type="pct"/>
            <w:tcBorders>
              <w:top w:val="nil"/>
              <w:left w:val="nil"/>
              <w:bottom w:val="dotted" w:sz="4" w:space="0" w:color="auto"/>
              <w:right w:val="dotted" w:sz="4" w:space="0" w:color="auto"/>
            </w:tcBorders>
            <w:shd w:val="clear" w:color="auto" w:fill="auto"/>
            <w:noWrap/>
            <w:vAlign w:val="center"/>
            <w:hideMark/>
          </w:tcPr>
          <w:p w14:paraId="5D0E9CC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173</w:t>
            </w:r>
          </w:p>
        </w:tc>
        <w:tc>
          <w:tcPr>
            <w:tcW w:w="416" w:type="pct"/>
            <w:vMerge/>
            <w:tcBorders>
              <w:top w:val="nil"/>
              <w:left w:val="dotted" w:sz="4" w:space="0" w:color="auto"/>
              <w:bottom w:val="dotted" w:sz="4" w:space="0" w:color="auto"/>
              <w:right w:val="dotted" w:sz="4" w:space="0" w:color="auto"/>
            </w:tcBorders>
            <w:vAlign w:val="center"/>
            <w:hideMark/>
          </w:tcPr>
          <w:p w14:paraId="14A28BF1"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dotted" w:sz="4" w:space="0" w:color="auto"/>
              <w:right w:val="single" w:sz="8" w:space="0" w:color="auto"/>
            </w:tcBorders>
            <w:vAlign w:val="center"/>
            <w:hideMark/>
          </w:tcPr>
          <w:p w14:paraId="3ADF4EC1" w14:textId="77777777" w:rsidR="00CF7396" w:rsidRPr="00CF7396" w:rsidRDefault="00CF7396" w:rsidP="00CF7396">
            <w:pPr>
              <w:rPr>
                <w:b/>
                <w:bCs/>
                <w:color w:val="000000" w:themeColor="text1"/>
                <w:lang w:val="es-CR" w:eastAsia="es-CR"/>
              </w:rPr>
            </w:pPr>
          </w:p>
        </w:tc>
      </w:tr>
      <w:tr w:rsidR="00CF7396" w:rsidRPr="00CF7396" w14:paraId="7E102AC5" w14:textId="77777777" w:rsidTr="00AF369B">
        <w:trPr>
          <w:trHeight w:val="300"/>
        </w:trPr>
        <w:tc>
          <w:tcPr>
            <w:tcW w:w="590" w:type="pct"/>
            <w:vMerge w:val="restart"/>
            <w:tcBorders>
              <w:top w:val="nil"/>
              <w:left w:val="single" w:sz="8" w:space="0" w:color="auto"/>
              <w:bottom w:val="dotted" w:sz="4" w:space="0" w:color="auto"/>
              <w:right w:val="dotted" w:sz="4" w:space="0" w:color="auto"/>
            </w:tcBorders>
            <w:shd w:val="clear" w:color="000000" w:fill="D9E1F2"/>
            <w:vAlign w:val="center"/>
            <w:hideMark/>
          </w:tcPr>
          <w:p w14:paraId="72CB853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Tribunal Penal del ICJ Zona Atlántica</w:t>
            </w:r>
          </w:p>
        </w:tc>
        <w:tc>
          <w:tcPr>
            <w:tcW w:w="540" w:type="pct"/>
            <w:tcBorders>
              <w:top w:val="nil"/>
              <w:left w:val="nil"/>
              <w:bottom w:val="dotted" w:sz="4" w:space="0" w:color="auto"/>
              <w:right w:val="dotted" w:sz="4" w:space="0" w:color="auto"/>
            </w:tcBorders>
            <w:shd w:val="clear" w:color="000000" w:fill="D9E1F2"/>
            <w:noWrap/>
            <w:vAlign w:val="center"/>
            <w:hideMark/>
          </w:tcPr>
          <w:p w14:paraId="04C2F04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Entrada</w:t>
            </w:r>
          </w:p>
        </w:tc>
        <w:tc>
          <w:tcPr>
            <w:tcW w:w="246" w:type="pct"/>
            <w:tcBorders>
              <w:top w:val="nil"/>
              <w:left w:val="nil"/>
              <w:bottom w:val="dotted" w:sz="4" w:space="0" w:color="auto"/>
              <w:right w:val="dotted" w:sz="4" w:space="0" w:color="auto"/>
            </w:tcBorders>
            <w:shd w:val="clear" w:color="000000" w:fill="D9E1F2"/>
            <w:noWrap/>
            <w:vAlign w:val="center"/>
            <w:hideMark/>
          </w:tcPr>
          <w:p w14:paraId="4589283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52</w:t>
            </w:r>
          </w:p>
        </w:tc>
        <w:tc>
          <w:tcPr>
            <w:tcW w:w="245" w:type="pct"/>
            <w:tcBorders>
              <w:top w:val="nil"/>
              <w:left w:val="nil"/>
              <w:bottom w:val="dotted" w:sz="4" w:space="0" w:color="auto"/>
              <w:right w:val="dotted" w:sz="4" w:space="0" w:color="auto"/>
            </w:tcBorders>
            <w:shd w:val="clear" w:color="000000" w:fill="D9E1F2"/>
            <w:noWrap/>
            <w:vAlign w:val="center"/>
            <w:hideMark/>
          </w:tcPr>
          <w:p w14:paraId="39D89DF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81</w:t>
            </w:r>
          </w:p>
        </w:tc>
        <w:tc>
          <w:tcPr>
            <w:tcW w:w="245" w:type="pct"/>
            <w:tcBorders>
              <w:top w:val="nil"/>
              <w:left w:val="nil"/>
              <w:bottom w:val="dotted" w:sz="4" w:space="0" w:color="auto"/>
              <w:right w:val="dotted" w:sz="4" w:space="0" w:color="auto"/>
            </w:tcBorders>
            <w:shd w:val="clear" w:color="000000" w:fill="D9E1F2"/>
            <w:noWrap/>
            <w:vAlign w:val="center"/>
            <w:hideMark/>
          </w:tcPr>
          <w:p w14:paraId="4630303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130</w:t>
            </w:r>
          </w:p>
        </w:tc>
        <w:tc>
          <w:tcPr>
            <w:tcW w:w="246" w:type="pct"/>
            <w:tcBorders>
              <w:top w:val="nil"/>
              <w:left w:val="nil"/>
              <w:bottom w:val="dotted" w:sz="4" w:space="0" w:color="auto"/>
              <w:right w:val="dotted" w:sz="4" w:space="0" w:color="auto"/>
            </w:tcBorders>
            <w:shd w:val="clear" w:color="000000" w:fill="D9E1F2"/>
            <w:noWrap/>
            <w:vAlign w:val="center"/>
            <w:hideMark/>
          </w:tcPr>
          <w:p w14:paraId="41B5BB7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116</w:t>
            </w:r>
          </w:p>
        </w:tc>
        <w:tc>
          <w:tcPr>
            <w:tcW w:w="246" w:type="pct"/>
            <w:tcBorders>
              <w:top w:val="nil"/>
              <w:left w:val="nil"/>
              <w:bottom w:val="dotted" w:sz="4" w:space="0" w:color="auto"/>
              <w:right w:val="dotted" w:sz="4" w:space="0" w:color="auto"/>
            </w:tcBorders>
            <w:shd w:val="clear" w:color="000000" w:fill="D9E1F2"/>
            <w:noWrap/>
            <w:vAlign w:val="center"/>
            <w:hideMark/>
          </w:tcPr>
          <w:p w14:paraId="73E695A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127</w:t>
            </w:r>
          </w:p>
        </w:tc>
        <w:tc>
          <w:tcPr>
            <w:tcW w:w="245" w:type="pct"/>
            <w:tcBorders>
              <w:top w:val="nil"/>
              <w:left w:val="nil"/>
              <w:bottom w:val="dotted" w:sz="4" w:space="0" w:color="auto"/>
              <w:right w:val="dotted" w:sz="4" w:space="0" w:color="auto"/>
            </w:tcBorders>
            <w:shd w:val="clear" w:color="000000" w:fill="D9E1F2"/>
            <w:noWrap/>
            <w:vAlign w:val="center"/>
            <w:hideMark/>
          </w:tcPr>
          <w:p w14:paraId="70073EE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136</w:t>
            </w:r>
          </w:p>
        </w:tc>
        <w:tc>
          <w:tcPr>
            <w:tcW w:w="246" w:type="pct"/>
            <w:tcBorders>
              <w:top w:val="nil"/>
              <w:left w:val="nil"/>
              <w:bottom w:val="dotted" w:sz="4" w:space="0" w:color="auto"/>
              <w:right w:val="dotted" w:sz="4" w:space="0" w:color="auto"/>
            </w:tcBorders>
            <w:shd w:val="clear" w:color="000000" w:fill="D9E1F2"/>
            <w:noWrap/>
            <w:vAlign w:val="center"/>
            <w:hideMark/>
          </w:tcPr>
          <w:p w14:paraId="610599E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110</w:t>
            </w:r>
          </w:p>
        </w:tc>
        <w:tc>
          <w:tcPr>
            <w:tcW w:w="246" w:type="pct"/>
            <w:tcBorders>
              <w:top w:val="nil"/>
              <w:left w:val="nil"/>
              <w:bottom w:val="dotted" w:sz="4" w:space="0" w:color="auto"/>
              <w:right w:val="dotted" w:sz="4" w:space="0" w:color="auto"/>
            </w:tcBorders>
            <w:shd w:val="clear" w:color="000000" w:fill="D9E1F2"/>
            <w:noWrap/>
            <w:vAlign w:val="center"/>
            <w:hideMark/>
          </w:tcPr>
          <w:p w14:paraId="2EEE3FB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132</w:t>
            </w:r>
          </w:p>
        </w:tc>
        <w:tc>
          <w:tcPr>
            <w:tcW w:w="245" w:type="pct"/>
            <w:tcBorders>
              <w:top w:val="nil"/>
              <w:left w:val="nil"/>
              <w:bottom w:val="dotted" w:sz="4" w:space="0" w:color="auto"/>
              <w:right w:val="dotted" w:sz="4" w:space="0" w:color="auto"/>
            </w:tcBorders>
            <w:shd w:val="clear" w:color="000000" w:fill="D9E1F2"/>
            <w:noWrap/>
            <w:vAlign w:val="center"/>
            <w:hideMark/>
          </w:tcPr>
          <w:p w14:paraId="050EE83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95</w:t>
            </w:r>
          </w:p>
        </w:tc>
        <w:tc>
          <w:tcPr>
            <w:tcW w:w="246" w:type="pct"/>
            <w:tcBorders>
              <w:top w:val="nil"/>
              <w:left w:val="nil"/>
              <w:bottom w:val="dotted" w:sz="4" w:space="0" w:color="auto"/>
              <w:right w:val="dotted" w:sz="4" w:space="0" w:color="auto"/>
            </w:tcBorders>
            <w:shd w:val="clear" w:color="000000" w:fill="D9E1F2"/>
            <w:noWrap/>
            <w:vAlign w:val="center"/>
            <w:hideMark/>
          </w:tcPr>
          <w:p w14:paraId="27EF10D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140</w:t>
            </w:r>
          </w:p>
        </w:tc>
        <w:tc>
          <w:tcPr>
            <w:tcW w:w="245" w:type="pct"/>
            <w:tcBorders>
              <w:top w:val="nil"/>
              <w:left w:val="nil"/>
              <w:bottom w:val="dotted" w:sz="4" w:space="0" w:color="auto"/>
              <w:right w:val="dotted" w:sz="4" w:space="0" w:color="auto"/>
            </w:tcBorders>
            <w:shd w:val="clear" w:color="000000" w:fill="D9E1F2"/>
            <w:noWrap/>
            <w:vAlign w:val="center"/>
            <w:hideMark/>
          </w:tcPr>
          <w:p w14:paraId="1966154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148</w:t>
            </w:r>
          </w:p>
        </w:tc>
        <w:tc>
          <w:tcPr>
            <w:tcW w:w="246" w:type="pct"/>
            <w:tcBorders>
              <w:top w:val="nil"/>
              <w:left w:val="nil"/>
              <w:bottom w:val="dotted" w:sz="4" w:space="0" w:color="auto"/>
              <w:right w:val="dotted" w:sz="4" w:space="0" w:color="auto"/>
            </w:tcBorders>
            <w:shd w:val="clear" w:color="000000" w:fill="D9E1F2"/>
            <w:noWrap/>
            <w:vAlign w:val="center"/>
            <w:hideMark/>
          </w:tcPr>
          <w:p w14:paraId="7C4AD9F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97</w:t>
            </w:r>
          </w:p>
        </w:tc>
        <w:tc>
          <w:tcPr>
            <w:tcW w:w="416" w:type="pct"/>
            <w:vMerge w:val="restart"/>
            <w:tcBorders>
              <w:top w:val="nil"/>
              <w:left w:val="dotted" w:sz="4" w:space="0" w:color="auto"/>
              <w:bottom w:val="dotted" w:sz="4" w:space="0" w:color="auto"/>
              <w:right w:val="dotted" w:sz="4" w:space="0" w:color="auto"/>
            </w:tcBorders>
            <w:shd w:val="clear" w:color="000000" w:fill="D9E1F2"/>
            <w:noWrap/>
            <w:vAlign w:val="center"/>
            <w:hideMark/>
          </w:tcPr>
          <w:p w14:paraId="5E99F4F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119</w:t>
            </w:r>
          </w:p>
        </w:tc>
        <w:tc>
          <w:tcPr>
            <w:tcW w:w="506" w:type="pct"/>
            <w:vMerge w:val="restart"/>
            <w:tcBorders>
              <w:top w:val="nil"/>
              <w:left w:val="dotted" w:sz="4" w:space="0" w:color="auto"/>
              <w:bottom w:val="dotted" w:sz="4" w:space="0" w:color="auto"/>
              <w:right w:val="single" w:sz="8" w:space="0" w:color="auto"/>
            </w:tcBorders>
            <w:shd w:val="clear" w:color="000000" w:fill="D9E1F2"/>
            <w:noWrap/>
            <w:vAlign w:val="center"/>
            <w:hideMark/>
          </w:tcPr>
          <w:p w14:paraId="5358505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86</w:t>
            </w:r>
          </w:p>
        </w:tc>
      </w:tr>
      <w:tr w:rsidR="00CF7396" w:rsidRPr="00CF7396" w14:paraId="050EBA5B" w14:textId="77777777" w:rsidTr="00AF369B">
        <w:trPr>
          <w:trHeight w:val="300"/>
        </w:trPr>
        <w:tc>
          <w:tcPr>
            <w:tcW w:w="590" w:type="pct"/>
            <w:vMerge/>
            <w:tcBorders>
              <w:top w:val="nil"/>
              <w:left w:val="single" w:sz="8" w:space="0" w:color="auto"/>
              <w:bottom w:val="dotted" w:sz="4" w:space="0" w:color="auto"/>
              <w:right w:val="dotted" w:sz="4" w:space="0" w:color="auto"/>
            </w:tcBorders>
            <w:vAlign w:val="center"/>
            <w:hideMark/>
          </w:tcPr>
          <w:p w14:paraId="4D45B4BD"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000000" w:fill="D9E1F2"/>
            <w:noWrap/>
            <w:vAlign w:val="center"/>
            <w:hideMark/>
          </w:tcPr>
          <w:p w14:paraId="0633832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Terminados</w:t>
            </w:r>
          </w:p>
        </w:tc>
        <w:tc>
          <w:tcPr>
            <w:tcW w:w="246" w:type="pct"/>
            <w:tcBorders>
              <w:top w:val="nil"/>
              <w:left w:val="nil"/>
              <w:bottom w:val="dotted" w:sz="4" w:space="0" w:color="auto"/>
              <w:right w:val="dotted" w:sz="4" w:space="0" w:color="auto"/>
            </w:tcBorders>
            <w:shd w:val="clear" w:color="000000" w:fill="D9E1F2"/>
            <w:noWrap/>
            <w:vAlign w:val="center"/>
            <w:hideMark/>
          </w:tcPr>
          <w:p w14:paraId="013BA73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49</w:t>
            </w:r>
          </w:p>
        </w:tc>
        <w:tc>
          <w:tcPr>
            <w:tcW w:w="245" w:type="pct"/>
            <w:tcBorders>
              <w:top w:val="nil"/>
              <w:left w:val="nil"/>
              <w:bottom w:val="dotted" w:sz="4" w:space="0" w:color="auto"/>
              <w:right w:val="dotted" w:sz="4" w:space="0" w:color="auto"/>
            </w:tcBorders>
            <w:shd w:val="clear" w:color="000000" w:fill="D9E1F2"/>
            <w:noWrap/>
            <w:vAlign w:val="center"/>
            <w:hideMark/>
          </w:tcPr>
          <w:p w14:paraId="6889E0D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75</w:t>
            </w:r>
          </w:p>
        </w:tc>
        <w:tc>
          <w:tcPr>
            <w:tcW w:w="245" w:type="pct"/>
            <w:tcBorders>
              <w:top w:val="nil"/>
              <w:left w:val="nil"/>
              <w:bottom w:val="dotted" w:sz="4" w:space="0" w:color="auto"/>
              <w:right w:val="dotted" w:sz="4" w:space="0" w:color="auto"/>
            </w:tcBorders>
            <w:shd w:val="clear" w:color="000000" w:fill="D9E1F2"/>
            <w:noWrap/>
            <w:vAlign w:val="center"/>
            <w:hideMark/>
          </w:tcPr>
          <w:p w14:paraId="0C834A0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82</w:t>
            </w:r>
          </w:p>
        </w:tc>
        <w:tc>
          <w:tcPr>
            <w:tcW w:w="246" w:type="pct"/>
            <w:tcBorders>
              <w:top w:val="nil"/>
              <w:left w:val="nil"/>
              <w:bottom w:val="dotted" w:sz="4" w:space="0" w:color="auto"/>
              <w:right w:val="dotted" w:sz="4" w:space="0" w:color="auto"/>
            </w:tcBorders>
            <w:shd w:val="clear" w:color="000000" w:fill="D9E1F2"/>
            <w:noWrap/>
            <w:vAlign w:val="center"/>
            <w:hideMark/>
          </w:tcPr>
          <w:p w14:paraId="23BB12F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83</w:t>
            </w:r>
          </w:p>
        </w:tc>
        <w:tc>
          <w:tcPr>
            <w:tcW w:w="246" w:type="pct"/>
            <w:tcBorders>
              <w:top w:val="nil"/>
              <w:left w:val="nil"/>
              <w:bottom w:val="dotted" w:sz="4" w:space="0" w:color="auto"/>
              <w:right w:val="dotted" w:sz="4" w:space="0" w:color="auto"/>
            </w:tcBorders>
            <w:shd w:val="clear" w:color="000000" w:fill="D9E1F2"/>
            <w:noWrap/>
            <w:vAlign w:val="center"/>
            <w:hideMark/>
          </w:tcPr>
          <w:p w14:paraId="5AD4025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73</w:t>
            </w:r>
          </w:p>
        </w:tc>
        <w:tc>
          <w:tcPr>
            <w:tcW w:w="245" w:type="pct"/>
            <w:tcBorders>
              <w:top w:val="nil"/>
              <w:left w:val="nil"/>
              <w:bottom w:val="dotted" w:sz="4" w:space="0" w:color="auto"/>
              <w:right w:val="dotted" w:sz="4" w:space="0" w:color="auto"/>
            </w:tcBorders>
            <w:shd w:val="clear" w:color="000000" w:fill="D9E1F2"/>
            <w:noWrap/>
            <w:vAlign w:val="center"/>
            <w:hideMark/>
          </w:tcPr>
          <w:p w14:paraId="126BD28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105</w:t>
            </w:r>
          </w:p>
        </w:tc>
        <w:tc>
          <w:tcPr>
            <w:tcW w:w="246" w:type="pct"/>
            <w:tcBorders>
              <w:top w:val="nil"/>
              <w:left w:val="nil"/>
              <w:bottom w:val="dotted" w:sz="4" w:space="0" w:color="auto"/>
              <w:right w:val="dotted" w:sz="4" w:space="0" w:color="auto"/>
            </w:tcBorders>
            <w:shd w:val="clear" w:color="000000" w:fill="D9E1F2"/>
            <w:noWrap/>
            <w:vAlign w:val="center"/>
            <w:hideMark/>
          </w:tcPr>
          <w:p w14:paraId="4D783A9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89</w:t>
            </w:r>
          </w:p>
        </w:tc>
        <w:tc>
          <w:tcPr>
            <w:tcW w:w="246" w:type="pct"/>
            <w:tcBorders>
              <w:top w:val="nil"/>
              <w:left w:val="nil"/>
              <w:bottom w:val="dotted" w:sz="4" w:space="0" w:color="auto"/>
              <w:right w:val="dotted" w:sz="4" w:space="0" w:color="auto"/>
            </w:tcBorders>
            <w:shd w:val="clear" w:color="000000" w:fill="D9E1F2"/>
            <w:noWrap/>
            <w:vAlign w:val="center"/>
            <w:hideMark/>
          </w:tcPr>
          <w:p w14:paraId="186D945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107</w:t>
            </w:r>
          </w:p>
        </w:tc>
        <w:tc>
          <w:tcPr>
            <w:tcW w:w="245" w:type="pct"/>
            <w:tcBorders>
              <w:top w:val="nil"/>
              <w:left w:val="nil"/>
              <w:bottom w:val="dotted" w:sz="4" w:space="0" w:color="auto"/>
              <w:right w:val="dotted" w:sz="4" w:space="0" w:color="auto"/>
            </w:tcBorders>
            <w:shd w:val="clear" w:color="000000" w:fill="D9E1F2"/>
            <w:noWrap/>
            <w:vAlign w:val="center"/>
            <w:hideMark/>
          </w:tcPr>
          <w:p w14:paraId="3EE1B33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89</w:t>
            </w:r>
          </w:p>
        </w:tc>
        <w:tc>
          <w:tcPr>
            <w:tcW w:w="246" w:type="pct"/>
            <w:tcBorders>
              <w:top w:val="nil"/>
              <w:left w:val="nil"/>
              <w:bottom w:val="dotted" w:sz="4" w:space="0" w:color="auto"/>
              <w:right w:val="dotted" w:sz="4" w:space="0" w:color="auto"/>
            </w:tcBorders>
            <w:shd w:val="clear" w:color="000000" w:fill="D9E1F2"/>
            <w:noWrap/>
            <w:vAlign w:val="center"/>
            <w:hideMark/>
          </w:tcPr>
          <w:p w14:paraId="73A603D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86</w:t>
            </w:r>
          </w:p>
        </w:tc>
        <w:tc>
          <w:tcPr>
            <w:tcW w:w="245" w:type="pct"/>
            <w:tcBorders>
              <w:top w:val="nil"/>
              <w:left w:val="nil"/>
              <w:bottom w:val="dotted" w:sz="4" w:space="0" w:color="auto"/>
              <w:right w:val="dotted" w:sz="4" w:space="0" w:color="auto"/>
            </w:tcBorders>
            <w:shd w:val="clear" w:color="000000" w:fill="D9E1F2"/>
            <w:noWrap/>
            <w:vAlign w:val="center"/>
            <w:hideMark/>
          </w:tcPr>
          <w:p w14:paraId="42EF849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91</w:t>
            </w:r>
          </w:p>
        </w:tc>
        <w:tc>
          <w:tcPr>
            <w:tcW w:w="246" w:type="pct"/>
            <w:tcBorders>
              <w:top w:val="nil"/>
              <w:left w:val="nil"/>
              <w:bottom w:val="dotted" w:sz="4" w:space="0" w:color="auto"/>
              <w:right w:val="dotted" w:sz="4" w:space="0" w:color="auto"/>
            </w:tcBorders>
            <w:shd w:val="clear" w:color="000000" w:fill="D9E1F2"/>
            <w:noWrap/>
            <w:vAlign w:val="center"/>
            <w:hideMark/>
          </w:tcPr>
          <w:p w14:paraId="79BF459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60</w:t>
            </w:r>
          </w:p>
        </w:tc>
        <w:tc>
          <w:tcPr>
            <w:tcW w:w="416" w:type="pct"/>
            <w:vMerge/>
            <w:tcBorders>
              <w:top w:val="nil"/>
              <w:left w:val="dotted" w:sz="4" w:space="0" w:color="auto"/>
              <w:bottom w:val="dotted" w:sz="4" w:space="0" w:color="auto"/>
              <w:right w:val="dotted" w:sz="4" w:space="0" w:color="auto"/>
            </w:tcBorders>
            <w:vAlign w:val="center"/>
            <w:hideMark/>
          </w:tcPr>
          <w:p w14:paraId="39DD816E"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dotted" w:sz="4" w:space="0" w:color="auto"/>
              <w:right w:val="single" w:sz="8" w:space="0" w:color="auto"/>
            </w:tcBorders>
            <w:vAlign w:val="center"/>
            <w:hideMark/>
          </w:tcPr>
          <w:p w14:paraId="01BB2F35" w14:textId="77777777" w:rsidR="00CF7396" w:rsidRPr="00CF7396" w:rsidRDefault="00CF7396" w:rsidP="00CF7396">
            <w:pPr>
              <w:rPr>
                <w:b/>
                <w:bCs/>
                <w:color w:val="000000" w:themeColor="text1"/>
                <w:lang w:val="es-CR" w:eastAsia="es-CR"/>
              </w:rPr>
            </w:pPr>
          </w:p>
        </w:tc>
      </w:tr>
      <w:tr w:rsidR="00CF7396" w:rsidRPr="00CF7396" w14:paraId="0D56D2AA" w14:textId="77777777" w:rsidTr="00AF369B">
        <w:trPr>
          <w:trHeight w:val="300"/>
        </w:trPr>
        <w:tc>
          <w:tcPr>
            <w:tcW w:w="590" w:type="pct"/>
            <w:vMerge/>
            <w:tcBorders>
              <w:top w:val="nil"/>
              <w:left w:val="single" w:sz="8" w:space="0" w:color="auto"/>
              <w:bottom w:val="dotted" w:sz="4" w:space="0" w:color="auto"/>
              <w:right w:val="dotted" w:sz="4" w:space="0" w:color="auto"/>
            </w:tcBorders>
            <w:vAlign w:val="center"/>
            <w:hideMark/>
          </w:tcPr>
          <w:p w14:paraId="210FEE15"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000000" w:fill="D9E1F2"/>
            <w:noWrap/>
            <w:vAlign w:val="center"/>
            <w:hideMark/>
          </w:tcPr>
          <w:p w14:paraId="7B2D6ED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Circulante final</w:t>
            </w:r>
          </w:p>
        </w:tc>
        <w:tc>
          <w:tcPr>
            <w:tcW w:w="246" w:type="pct"/>
            <w:tcBorders>
              <w:top w:val="nil"/>
              <w:left w:val="nil"/>
              <w:bottom w:val="dotted" w:sz="4" w:space="0" w:color="auto"/>
              <w:right w:val="dotted" w:sz="4" w:space="0" w:color="auto"/>
            </w:tcBorders>
            <w:shd w:val="clear" w:color="000000" w:fill="D9E1F2"/>
            <w:noWrap/>
            <w:vAlign w:val="center"/>
            <w:hideMark/>
          </w:tcPr>
          <w:p w14:paraId="1902FDA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3057</w:t>
            </w:r>
          </w:p>
        </w:tc>
        <w:tc>
          <w:tcPr>
            <w:tcW w:w="245" w:type="pct"/>
            <w:tcBorders>
              <w:top w:val="nil"/>
              <w:left w:val="nil"/>
              <w:bottom w:val="dotted" w:sz="4" w:space="0" w:color="auto"/>
              <w:right w:val="dotted" w:sz="4" w:space="0" w:color="auto"/>
            </w:tcBorders>
            <w:shd w:val="clear" w:color="000000" w:fill="D9E1F2"/>
            <w:noWrap/>
            <w:vAlign w:val="center"/>
            <w:hideMark/>
          </w:tcPr>
          <w:p w14:paraId="22CA889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3069</w:t>
            </w:r>
          </w:p>
        </w:tc>
        <w:tc>
          <w:tcPr>
            <w:tcW w:w="245" w:type="pct"/>
            <w:tcBorders>
              <w:top w:val="nil"/>
              <w:left w:val="nil"/>
              <w:bottom w:val="dotted" w:sz="4" w:space="0" w:color="auto"/>
              <w:right w:val="dotted" w:sz="4" w:space="0" w:color="auto"/>
            </w:tcBorders>
            <w:shd w:val="clear" w:color="000000" w:fill="D9E1F2"/>
            <w:noWrap/>
            <w:vAlign w:val="center"/>
            <w:hideMark/>
          </w:tcPr>
          <w:p w14:paraId="4EE6481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3122</w:t>
            </w:r>
          </w:p>
        </w:tc>
        <w:tc>
          <w:tcPr>
            <w:tcW w:w="246" w:type="pct"/>
            <w:tcBorders>
              <w:top w:val="nil"/>
              <w:left w:val="nil"/>
              <w:bottom w:val="dotted" w:sz="4" w:space="0" w:color="auto"/>
              <w:right w:val="dotted" w:sz="4" w:space="0" w:color="auto"/>
            </w:tcBorders>
            <w:shd w:val="clear" w:color="000000" w:fill="D9E1F2"/>
            <w:noWrap/>
            <w:vAlign w:val="center"/>
            <w:hideMark/>
          </w:tcPr>
          <w:p w14:paraId="7369832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3158</w:t>
            </w:r>
          </w:p>
        </w:tc>
        <w:tc>
          <w:tcPr>
            <w:tcW w:w="246" w:type="pct"/>
            <w:tcBorders>
              <w:top w:val="nil"/>
              <w:left w:val="nil"/>
              <w:bottom w:val="dotted" w:sz="4" w:space="0" w:color="auto"/>
              <w:right w:val="dotted" w:sz="4" w:space="0" w:color="auto"/>
            </w:tcBorders>
            <w:shd w:val="clear" w:color="000000" w:fill="D9E1F2"/>
            <w:noWrap/>
            <w:vAlign w:val="center"/>
            <w:hideMark/>
          </w:tcPr>
          <w:p w14:paraId="31D8A03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3214</w:t>
            </w:r>
          </w:p>
        </w:tc>
        <w:tc>
          <w:tcPr>
            <w:tcW w:w="245" w:type="pct"/>
            <w:tcBorders>
              <w:top w:val="nil"/>
              <w:left w:val="nil"/>
              <w:bottom w:val="dotted" w:sz="4" w:space="0" w:color="auto"/>
              <w:right w:val="dotted" w:sz="4" w:space="0" w:color="auto"/>
            </w:tcBorders>
            <w:shd w:val="clear" w:color="000000" w:fill="D9E1F2"/>
            <w:noWrap/>
            <w:vAlign w:val="center"/>
            <w:hideMark/>
          </w:tcPr>
          <w:p w14:paraId="5E8666E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3253</w:t>
            </w:r>
          </w:p>
        </w:tc>
        <w:tc>
          <w:tcPr>
            <w:tcW w:w="246" w:type="pct"/>
            <w:tcBorders>
              <w:top w:val="nil"/>
              <w:left w:val="nil"/>
              <w:bottom w:val="dotted" w:sz="4" w:space="0" w:color="auto"/>
              <w:right w:val="dotted" w:sz="4" w:space="0" w:color="auto"/>
            </w:tcBorders>
            <w:shd w:val="clear" w:color="000000" w:fill="D9E1F2"/>
            <w:noWrap/>
            <w:vAlign w:val="center"/>
            <w:hideMark/>
          </w:tcPr>
          <w:p w14:paraId="65272D8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3279</w:t>
            </w:r>
          </w:p>
        </w:tc>
        <w:tc>
          <w:tcPr>
            <w:tcW w:w="246" w:type="pct"/>
            <w:tcBorders>
              <w:top w:val="nil"/>
              <w:left w:val="nil"/>
              <w:bottom w:val="dotted" w:sz="4" w:space="0" w:color="auto"/>
              <w:right w:val="dotted" w:sz="4" w:space="0" w:color="auto"/>
            </w:tcBorders>
            <w:shd w:val="clear" w:color="000000" w:fill="D9E1F2"/>
            <w:noWrap/>
            <w:vAlign w:val="center"/>
            <w:hideMark/>
          </w:tcPr>
          <w:p w14:paraId="2B0A339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3313</w:t>
            </w:r>
          </w:p>
        </w:tc>
        <w:tc>
          <w:tcPr>
            <w:tcW w:w="245" w:type="pct"/>
            <w:tcBorders>
              <w:top w:val="nil"/>
              <w:left w:val="nil"/>
              <w:bottom w:val="dotted" w:sz="4" w:space="0" w:color="auto"/>
              <w:right w:val="dotted" w:sz="4" w:space="0" w:color="auto"/>
            </w:tcBorders>
            <w:shd w:val="clear" w:color="000000" w:fill="D9E1F2"/>
            <w:noWrap/>
            <w:vAlign w:val="center"/>
            <w:hideMark/>
          </w:tcPr>
          <w:p w14:paraId="4169ED6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3325</w:t>
            </w:r>
          </w:p>
        </w:tc>
        <w:tc>
          <w:tcPr>
            <w:tcW w:w="246" w:type="pct"/>
            <w:tcBorders>
              <w:top w:val="nil"/>
              <w:left w:val="nil"/>
              <w:bottom w:val="dotted" w:sz="4" w:space="0" w:color="auto"/>
              <w:right w:val="dotted" w:sz="4" w:space="0" w:color="auto"/>
            </w:tcBorders>
            <w:shd w:val="clear" w:color="000000" w:fill="D9E1F2"/>
            <w:noWrap/>
            <w:vAlign w:val="center"/>
            <w:hideMark/>
          </w:tcPr>
          <w:p w14:paraId="17C4DE6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3382</w:t>
            </w:r>
          </w:p>
        </w:tc>
        <w:tc>
          <w:tcPr>
            <w:tcW w:w="245" w:type="pct"/>
            <w:tcBorders>
              <w:top w:val="nil"/>
              <w:left w:val="nil"/>
              <w:bottom w:val="dotted" w:sz="4" w:space="0" w:color="auto"/>
              <w:right w:val="dotted" w:sz="4" w:space="0" w:color="auto"/>
            </w:tcBorders>
            <w:shd w:val="clear" w:color="000000" w:fill="D9E1F2"/>
            <w:noWrap/>
            <w:vAlign w:val="center"/>
            <w:hideMark/>
          </w:tcPr>
          <w:p w14:paraId="7694334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3444</w:t>
            </w:r>
          </w:p>
        </w:tc>
        <w:tc>
          <w:tcPr>
            <w:tcW w:w="246" w:type="pct"/>
            <w:tcBorders>
              <w:top w:val="nil"/>
              <w:left w:val="nil"/>
              <w:bottom w:val="dotted" w:sz="4" w:space="0" w:color="auto"/>
              <w:right w:val="dotted" w:sz="4" w:space="0" w:color="auto"/>
            </w:tcBorders>
            <w:shd w:val="clear" w:color="000000" w:fill="D9E1F2"/>
            <w:noWrap/>
            <w:vAlign w:val="center"/>
            <w:hideMark/>
          </w:tcPr>
          <w:p w14:paraId="2E7F6D2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3500</w:t>
            </w:r>
          </w:p>
        </w:tc>
        <w:tc>
          <w:tcPr>
            <w:tcW w:w="416" w:type="pct"/>
            <w:vMerge/>
            <w:tcBorders>
              <w:top w:val="nil"/>
              <w:left w:val="dotted" w:sz="4" w:space="0" w:color="auto"/>
              <w:bottom w:val="dotted" w:sz="4" w:space="0" w:color="auto"/>
              <w:right w:val="dotted" w:sz="4" w:space="0" w:color="auto"/>
            </w:tcBorders>
            <w:vAlign w:val="center"/>
            <w:hideMark/>
          </w:tcPr>
          <w:p w14:paraId="698A5218"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dotted" w:sz="4" w:space="0" w:color="auto"/>
              <w:right w:val="single" w:sz="8" w:space="0" w:color="auto"/>
            </w:tcBorders>
            <w:vAlign w:val="center"/>
            <w:hideMark/>
          </w:tcPr>
          <w:p w14:paraId="7A7C4B04" w14:textId="77777777" w:rsidR="00CF7396" w:rsidRPr="00CF7396" w:rsidRDefault="00CF7396" w:rsidP="00CF7396">
            <w:pPr>
              <w:rPr>
                <w:b/>
                <w:bCs/>
                <w:color w:val="000000" w:themeColor="text1"/>
                <w:lang w:val="es-CR" w:eastAsia="es-CR"/>
              </w:rPr>
            </w:pPr>
          </w:p>
        </w:tc>
      </w:tr>
      <w:tr w:rsidR="00CF7396" w:rsidRPr="00CF7396" w14:paraId="65606373" w14:textId="77777777" w:rsidTr="00AF369B">
        <w:trPr>
          <w:trHeight w:val="300"/>
        </w:trPr>
        <w:tc>
          <w:tcPr>
            <w:tcW w:w="590" w:type="pct"/>
            <w:vMerge w:val="restart"/>
            <w:tcBorders>
              <w:top w:val="nil"/>
              <w:left w:val="single" w:sz="8" w:space="0" w:color="auto"/>
              <w:bottom w:val="single" w:sz="8" w:space="0" w:color="000000"/>
              <w:right w:val="dotted" w:sz="4" w:space="0" w:color="auto"/>
            </w:tcBorders>
            <w:shd w:val="clear" w:color="auto" w:fill="auto"/>
            <w:vAlign w:val="center"/>
            <w:hideMark/>
          </w:tcPr>
          <w:p w14:paraId="56DC811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Sección de Flagrancia del ICJ Zona Atlántica</w:t>
            </w:r>
          </w:p>
        </w:tc>
        <w:tc>
          <w:tcPr>
            <w:tcW w:w="540" w:type="pct"/>
            <w:tcBorders>
              <w:top w:val="nil"/>
              <w:left w:val="nil"/>
              <w:bottom w:val="dotted" w:sz="4" w:space="0" w:color="auto"/>
              <w:right w:val="dotted" w:sz="4" w:space="0" w:color="auto"/>
            </w:tcBorders>
            <w:shd w:val="clear" w:color="auto" w:fill="auto"/>
            <w:noWrap/>
            <w:vAlign w:val="center"/>
            <w:hideMark/>
          </w:tcPr>
          <w:p w14:paraId="6452796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Entrada</w:t>
            </w:r>
          </w:p>
        </w:tc>
        <w:tc>
          <w:tcPr>
            <w:tcW w:w="246" w:type="pct"/>
            <w:tcBorders>
              <w:top w:val="nil"/>
              <w:left w:val="nil"/>
              <w:bottom w:val="dotted" w:sz="4" w:space="0" w:color="auto"/>
              <w:right w:val="dotted" w:sz="4" w:space="0" w:color="auto"/>
            </w:tcBorders>
            <w:shd w:val="clear" w:color="auto" w:fill="auto"/>
            <w:noWrap/>
            <w:vAlign w:val="center"/>
            <w:hideMark/>
          </w:tcPr>
          <w:p w14:paraId="4B08108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24</w:t>
            </w:r>
          </w:p>
        </w:tc>
        <w:tc>
          <w:tcPr>
            <w:tcW w:w="245" w:type="pct"/>
            <w:tcBorders>
              <w:top w:val="nil"/>
              <w:left w:val="nil"/>
              <w:bottom w:val="dotted" w:sz="4" w:space="0" w:color="auto"/>
              <w:right w:val="dotted" w:sz="4" w:space="0" w:color="auto"/>
            </w:tcBorders>
            <w:shd w:val="clear" w:color="auto" w:fill="auto"/>
            <w:noWrap/>
            <w:vAlign w:val="center"/>
            <w:hideMark/>
          </w:tcPr>
          <w:p w14:paraId="0F6FCA8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31</w:t>
            </w:r>
          </w:p>
        </w:tc>
        <w:tc>
          <w:tcPr>
            <w:tcW w:w="245" w:type="pct"/>
            <w:tcBorders>
              <w:top w:val="nil"/>
              <w:left w:val="nil"/>
              <w:bottom w:val="dotted" w:sz="4" w:space="0" w:color="auto"/>
              <w:right w:val="dotted" w:sz="4" w:space="0" w:color="auto"/>
            </w:tcBorders>
            <w:shd w:val="clear" w:color="auto" w:fill="auto"/>
            <w:noWrap/>
            <w:vAlign w:val="center"/>
            <w:hideMark/>
          </w:tcPr>
          <w:p w14:paraId="4EB9D76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32</w:t>
            </w:r>
          </w:p>
        </w:tc>
        <w:tc>
          <w:tcPr>
            <w:tcW w:w="246" w:type="pct"/>
            <w:tcBorders>
              <w:top w:val="nil"/>
              <w:left w:val="nil"/>
              <w:bottom w:val="dotted" w:sz="4" w:space="0" w:color="auto"/>
              <w:right w:val="dotted" w:sz="4" w:space="0" w:color="auto"/>
            </w:tcBorders>
            <w:shd w:val="clear" w:color="auto" w:fill="auto"/>
            <w:noWrap/>
            <w:vAlign w:val="center"/>
            <w:hideMark/>
          </w:tcPr>
          <w:p w14:paraId="4A88E73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29</w:t>
            </w:r>
          </w:p>
        </w:tc>
        <w:tc>
          <w:tcPr>
            <w:tcW w:w="246" w:type="pct"/>
            <w:tcBorders>
              <w:top w:val="nil"/>
              <w:left w:val="nil"/>
              <w:bottom w:val="dotted" w:sz="4" w:space="0" w:color="auto"/>
              <w:right w:val="dotted" w:sz="4" w:space="0" w:color="auto"/>
            </w:tcBorders>
            <w:shd w:val="clear" w:color="auto" w:fill="auto"/>
            <w:noWrap/>
            <w:vAlign w:val="center"/>
            <w:hideMark/>
          </w:tcPr>
          <w:p w14:paraId="011A817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32</w:t>
            </w:r>
          </w:p>
        </w:tc>
        <w:tc>
          <w:tcPr>
            <w:tcW w:w="245" w:type="pct"/>
            <w:tcBorders>
              <w:top w:val="nil"/>
              <w:left w:val="nil"/>
              <w:bottom w:val="dotted" w:sz="4" w:space="0" w:color="auto"/>
              <w:right w:val="dotted" w:sz="4" w:space="0" w:color="auto"/>
            </w:tcBorders>
            <w:shd w:val="clear" w:color="auto" w:fill="auto"/>
            <w:noWrap/>
            <w:vAlign w:val="center"/>
            <w:hideMark/>
          </w:tcPr>
          <w:p w14:paraId="70E6A32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32</w:t>
            </w:r>
          </w:p>
        </w:tc>
        <w:tc>
          <w:tcPr>
            <w:tcW w:w="246" w:type="pct"/>
            <w:tcBorders>
              <w:top w:val="nil"/>
              <w:left w:val="nil"/>
              <w:bottom w:val="dotted" w:sz="4" w:space="0" w:color="auto"/>
              <w:right w:val="dotted" w:sz="4" w:space="0" w:color="auto"/>
            </w:tcBorders>
            <w:shd w:val="clear" w:color="auto" w:fill="auto"/>
            <w:noWrap/>
            <w:vAlign w:val="center"/>
            <w:hideMark/>
          </w:tcPr>
          <w:p w14:paraId="5B0EDE7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32</w:t>
            </w:r>
          </w:p>
        </w:tc>
        <w:tc>
          <w:tcPr>
            <w:tcW w:w="246" w:type="pct"/>
            <w:tcBorders>
              <w:top w:val="nil"/>
              <w:left w:val="nil"/>
              <w:bottom w:val="dotted" w:sz="4" w:space="0" w:color="auto"/>
              <w:right w:val="dotted" w:sz="4" w:space="0" w:color="auto"/>
            </w:tcBorders>
            <w:shd w:val="clear" w:color="auto" w:fill="auto"/>
            <w:noWrap/>
            <w:vAlign w:val="center"/>
            <w:hideMark/>
          </w:tcPr>
          <w:p w14:paraId="6479A75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37</w:t>
            </w:r>
          </w:p>
        </w:tc>
        <w:tc>
          <w:tcPr>
            <w:tcW w:w="245" w:type="pct"/>
            <w:tcBorders>
              <w:top w:val="nil"/>
              <w:left w:val="nil"/>
              <w:bottom w:val="dotted" w:sz="4" w:space="0" w:color="auto"/>
              <w:right w:val="dotted" w:sz="4" w:space="0" w:color="auto"/>
            </w:tcBorders>
            <w:shd w:val="clear" w:color="auto" w:fill="auto"/>
            <w:noWrap/>
            <w:vAlign w:val="center"/>
            <w:hideMark/>
          </w:tcPr>
          <w:p w14:paraId="2A15973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48</w:t>
            </w:r>
          </w:p>
        </w:tc>
        <w:tc>
          <w:tcPr>
            <w:tcW w:w="246" w:type="pct"/>
            <w:tcBorders>
              <w:top w:val="nil"/>
              <w:left w:val="nil"/>
              <w:bottom w:val="dotted" w:sz="4" w:space="0" w:color="auto"/>
              <w:right w:val="dotted" w:sz="4" w:space="0" w:color="auto"/>
            </w:tcBorders>
            <w:shd w:val="clear" w:color="auto" w:fill="auto"/>
            <w:noWrap/>
            <w:vAlign w:val="center"/>
            <w:hideMark/>
          </w:tcPr>
          <w:p w14:paraId="1956CDF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56</w:t>
            </w:r>
          </w:p>
        </w:tc>
        <w:tc>
          <w:tcPr>
            <w:tcW w:w="245" w:type="pct"/>
            <w:tcBorders>
              <w:top w:val="nil"/>
              <w:left w:val="nil"/>
              <w:bottom w:val="dotted" w:sz="4" w:space="0" w:color="auto"/>
              <w:right w:val="dotted" w:sz="4" w:space="0" w:color="auto"/>
            </w:tcBorders>
            <w:shd w:val="clear" w:color="auto" w:fill="auto"/>
            <w:noWrap/>
            <w:vAlign w:val="center"/>
            <w:hideMark/>
          </w:tcPr>
          <w:p w14:paraId="3227F39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49</w:t>
            </w:r>
          </w:p>
        </w:tc>
        <w:tc>
          <w:tcPr>
            <w:tcW w:w="246" w:type="pct"/>
            <w:tcBorders>
              <w:top w:val="nil"/>
              <w:left w:val="nil"/>
              <w:bottom w:val="dotted" w:sz="4" w:space="0" w:color="auto"/>
              <w:right w:val="dotted" w:sz="4" w:space="0" w:color="auto"/>
            </w:tcBorders>
            <w:shd w:val="clear" w:color="auto" w:fill="auto"/>
            <w:noWrap/>
            <w:vAlign w:val="center"/>
            <w:hideMark/>
          </w:tcPr>
          <w:p w14:paraId="41B8BB8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25</w:t>
            </w:r>
          </w:p>
        </w:tc>
        <w:tc>
          <w:tcPr>
            <w:tcW w:w="416" w:type="pct"/>
            <w:vMerge w:val="restart"/>
            <w:tcBorders>
              <w:top w:val="nil"/>
              <w:left w:val="dotted" w:sz="4" w:space="0" w:color="auto"/>
              <w:bottom w:val="single" w:sz="8" w:space="0" w:color="000000"/>
              <w:right w:val="dotted" w:sz="4" w:space="0" w:color="auto"/>
            </w:tcBorders>
            <w:shd w:val="clear" w:color="auto" w:fill="auto"/>
            <w:noWrap/>
            <w:vAlign w:val="center"/>
            <w:hideMark/>
          </w:tcPr>
          <w:p w14:paraId="66FFE5F0"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37</w:t>
            </w:r>
          </w:p>
        </w:tc>
        <w:tc>
          <w:tcPr>
            <w:tcW w:w="506" w:type="pct"/>
            <w:vMerge w:val="restart"/>
            <w:tcBorders>
              <w:top w:val="nil"/>
              <w:left w:val="dotted" w:sz="4" w:space="0" w:color="auto"/>
              <w:bottom w:val="single" w:sz="8" w:space="0" w:color="000000"/>
              <w:right w:val="single" w:sz="8" w:space="0" w:color="auto"/>
            </w:tcBorders>
            <w:shd w:val="clear" w:color="auto" w:fill="auto"/>
            <w:noWrap/>
            <w:vAlign w:val="center"/>
            <w:hideMark/>
          </w:tcPr>
          <w:p w14:paraId="0225209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18</w:t>
            </w:r>
          </w:p>
        </w:tc>
      </w:tr>
      <w:tr w:rsidR="00CF7396" w:rsidRPr="00CF7396" w14:paraId="45FB74FF" w14:textId="77777777" w:rsidTr="00AF369B">
        <w:trPr>
          <w:trHeight w:val="300"/>
        </w:trPr>
        <w:tc>
          <w:tcPr>
            <w:tcW w:w="590" w:type="pct"/>
            <w:vMerge/>
            <w:tcBorders>
              <w:top w:val="nil"/>
              <w:left w:val="single" w:sz="8" w:space="0" w:color="auto"/>
              <w:bottom w:val="single" w:sz="8" w:space="0" w:color="000000"/>
              <w:right w:val="dotted" w:sz="4" w:space="0" w:color="auto"/>
            </w:tcBorders>
            <w:vAlign w:val="center"/>
            <w:hideMark/>
          </w:tcPr>
          <w:p w14:paraId="3DD412C3" w14:textId="77777777" w:rsidR="00CF7396" w:rsidRPr="00CF7396" w:rsidRDefault="00CF7396" w:rsidP="00CF7396">
            <w:pPr>
              <w:rPr>
                <w:b/>
                <w:bCs/>
                <w:color w:val="000000" w:themeColor="text1"/>
                <w:lang w:val="es-CR" w:eastAsia="es-CR"/>
              </w:rPr>
            </w:pPr>
          </w:p>
        </w:tc>
        <w:tc>
          <w:tcPr>
            <w:tcW w:w="540" w:type="pct"/>
            <w:tcBorders>
              <w:top w:val="nil"/>
              <w:left w:val="nil"/>
              <w:bottom w:val="dotted" w:sz="4" w:space="0" w:color="auto"/>
              <w:right w:val="dotted" w:sz="4" w:space="0" w:color="auto"/>
            </w:tcBorders>
            <w:shd w:val="clear" w:color="auto" w:fill="auto"/>
            <w:noWrap/>
            <w:vAlign w:val="center"/>
            <w:hideMark/>
          </w:tcPr>
          <w:p w14:paraId="0BE0A77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Terminados</w:t>
            </w:r>
          </w:p>
        </w:tc>
        <w:tc>
          <w:tcPr>
            <w:tcW w:w="246" w:type="pct"/>
            <w:tcBorders>
              <w:top w:val="nil"/>
              <w:left w:val="nil"/>
              <w:bottom w:val="dotted" w:sz="4" w:space="0" w:color="auto"/>
              <w:right w:val="dotted" w:sz="4" w:space="0" w:color="auto"/>
            </w:tcBorders>
            <w:shd w:val="clear" w:color="auto" w:fill="auto"/>
            <w:noWrap/>
            <w:vAlign w:val="center"/>
            <w:hideMark/>
          </w:tcPr>
          <w:p w14:paraId="44857E4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22</w:t>
            </w:r>
          </w:p>
        </w:tc>
        <w:tc>
          <w:tcPr>
            <w:tcW w:w="245" w:type="pct"/>
            <w:tcBorders>
              <w:top w:val="nil"/>
              <w:left w:val="nil"/>
              <w:bottom w:val="dotted" w:sz="4" w:space="0" w:color="auto"/>
              <w:right w:val="dotted" w:sz="4" w:space="0" w:color="auto"/>
            </w:tcBorders>
            <w:shd w:val="clear" w:color="auto" w:fill="auto"/>
            <w:noWrap/>
            <w:vAlign w:val="center"/>
            <w:hideMark/>
          </w:tcPr>
          <w:p w14:paraId="504997B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w:t>
            </w:r>
          </w:p>
        </w:tc>
        <w:tc>
          <w:tcPr>
            <w:tcW w:w="245" w:type="pct"/>
            <w:tcBorders>
              <w:top w:val="nil"/>
              <w:left w:val="nil"/>
              <w:bottom w:val="dotted" w:sz="4" w:space="0" w:color="auto"/>
              <w:right w:val="dotted" w:sz="4" w:space="0" w:color="auto"/>
            </w:tcBorders>
            <w:shd w:val="clear" w:color="auto" w:fill="auto"/>
            <w:noWrap/>
            <w:vAlign w:val="center"/>
            <w:hideMark/>
          </w:tcPr>
          <w:p w14:paraId="324F583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w:t>
            </w:r>
          </w:p>
        </w:tc>
        <w:tc>
          <w:tcPr>
            <w:tcW w:w="246" w:type="pct"/>
            <w:tcBorders>
              <w:top w:val="nil"/>
              <w:left w:val="nil"/>
              <w:bottom w:val="dotted" w:sz="4" w:space="0" w:color="auto"/>
              <w:right w:val="dotted" w:sz="4" w:space="0" w:color="auto"/>
            </w:tcBorders>
            <w:shd w:val="clear" w:color="auto" w:fill="auto"/>
            <w:noWrap/>
            <w:vAlign w:val="center"/>
            <w:hideMark/>
          </w:tcPr>
          <w:p w14:paraId="28F75FE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25</w:t>
            </w:r>
          </w:p>
        </w:tc>
        <w:tc>
          <w:tcPr>
            <w:tcW w:w="246" w:type="pct"/>
            <w:tcBorders>
              <w:top w:val="nil"/>
              <w:left w:val="nil"/>
              <w:bottom w:val="dotted" w:sz="4" w:space="0" w:color="auto"/>
              <w:right w:val="dotted" w:sz="4" w:space="0" w:color="auto"/>
            </w:tcBorders>
            <w:shd w:val="clear" w:color="auto" w:fill="auto"/>
            <w:noWrap/>
            <w:vAlign w:val="center"/>
            <w:hideMark/>
          </w:tcPr>
          <w:p w14:paraId="35266C9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22</w:t>
            </w:r>
          </w:p>
        </w:tc>
        <w:tc>
          <w:tcPr>
            <w:tcW w:w="245" w:type="pct"/>
            <w:tcBorders>
              <w:top w:val="nil"/>
              <w:left w:val="nil"/>
              <w:bottom w:val="dotted" w:sz="4" w:space="0" w:color="auto"/>
              <w:right w:val="dotted" w:sz="4" w:space="0" w:color="auto"/>
            </w:tcBorders>
            <w:shd w:val="clear" w:color="auto" w:fill="auto"/>
            <w:noWrap/>
            <w:vAlign w:val="center"/>
            <w:hideMark/>
          </w:tcPr>
          <w:p w14:paraId="1E21CB7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25</w:t>
            </w:r>
          </w:p>
        </w:tc>
        <w:tc>
          <w:tcPr>
            <w:tcW w:w="246" w:type="pct"/>
            <w:tcBorders>
              <w:top w:val="nil"/>
              <w:left w:val="nil"/>
              <w:bottom w:val="dotted" w:sz="4" w:space="0" w:color="auto"/>
              <w:right w:val="dotted" w:sz="4" w:space="0" w:color="auto"/>
            </w:tcBorders>
            <w:shd w:val="clear" w:color="auto" w:fill="auto"/>
            <w:noWrap/>
            <w:vAlign w:val="center"/>
            <w:hideMark/>
          </w:tcPr>
          <w:p w14:paraId="1187FE9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w:t>
            </w:r>
          </w:p>
        </w:tc>
        <w:tc>
          <w:tcPr>
            <w:tcW w:w="246" w:type="pct"/>
            <w:tcBorders>
              <w:top w:val="nil"/>
              <w:left w:val="nil"/>
              <w:bottom w:val="dotted" w:sz="4" w:space="0" w:color="auto"/>
              <w:right w:val="dotted" w:sz="4" w:space="0" w:color="auto"/>
            </w:tcBorders>
            <w:shd w:val="clear" w:color="auto" w:fill="auto"/>
            <w:noWrap/>
            <w:vAlign w:val="center"/>
            <w:hideMark/>
          </w:tcPr>
          <w:p w14:paraId="293F60B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w:t>
            </w:r>
          </w:p>
        </w:tc>
        <w:tc>
          <w:tcPr>
            <w:tcW w:w="245" w:type="pct"/>
            <w:tcBorders>
              <w:top w:val="nil"/>
              <w:left w:val="nil"/>
              <w:bottom w:val="dotted" w:sz="4" w:space="0" w:color="auto"/>
              <w:right w:val="dotted" w:sz="4" w:space="0" w:color="auto"/>
            </w:tcBorders>
            <w:shd w:val="clear" w:color="auto" w:fill="auto"/>
            <w:noWrap/>
            <w:vAlign w:val="center"/>
            <w:hideMark/>
          </w:tcPr>
          <w:p w14:paraId="7F6F2A1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w:t>
            </w:r>
          </w:p>
        </w:tc>
        <w:tc>
          <w:tcPr>
            <w:tcW w:w="246" w:type="pct"/>
            <w:tcBorders>
              <w:top w:val="nil"/>
              <w:left w:val="nil"/>
              <w:bottom w:val="dotted" w:sz="4" w:space="0" w:color="auto"/>
              <w:right w:val="dotted" w:sz="4" w:space="0" w:color="auto"/>
            </w:tcBorders>
            <w:shd w:val="clear" w:color="auto" w:fill="auto"/>
            <w:noWrap/>
            <w:vAlign w:val="center"/>
            <w:hideMark/>
          </w:tcPr>
          <w:p w14:paraId="66AEC91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w:t>
            </w:r>
          </w:p>
        </w:tc>
        <w:tc>
          <w:tcPr>
            <w:tcW w:w="245" w:type="pct"/>
            <w:tcBorders>
              <w:top w:val="nil"/>
              <w:left w:val="nil"/>
              <w:bottom w:val="dotted" w:sz="4" w:space="0" w:color="auto"/>
              <w:right w:val="dotted" w:sz="4" w:space="0" w:color="auto"/>
            </w:tcBorders>
            <w:shd w:val="clear" w:color="auto" w:fill="auto"/>
            <w:noWrap/>
            <w:vAlign w:val="center"/>
            <w:hideMark/>
          </w:tcPr>
          <w:p w14:paraId="5A65404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w:t>
            </w:r>
          </w:p>
        </w:tc>
        <w:tc>
          <w:tcPr>
            <w:tcW w:w="246" w:type="pct"/>
            <w:tcBorders>
              <w:top w:val="nil"/>
              <w:left w:val="nil"/>
              <w:bottom w:val="dotted" w:sz="4" w:space="0" w:color="auto"/>
              <w:right w:val="dotted" w:sz="4" w:space="0" w:color="auto"/>
            </w:tcBorders>
            <w:shd w:val="clear" w:color="auto" w:fill="auto"/>
            <w:noWrap/>
            <w:vAlign w:val="center"/>
            <w:hideMark/>
          </w:tcPr>
          <w:p w14:paraId="795F1A0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w:t>
            </w:r>
          </w:p>
        </w:tc>
        <w:tc>
          <w:tcPr>
            <w:tcW w:w="416" w:type="pct"/>
            <w:vMerge/>
            <w:tcBorders>
              <w:top w:val="nil"/>
              <w:left w:val="dotted" w:sz="4" w:space="0" w:color="auto"/>
              <w:bottom w:val="single" w:sz="8" w:space="0" w:color="000000"/>
              <w:right w:val="dotted" w:sz="4" w:space="0" w:color="auto"/>
            </w:tcBorders>
            <w:vAlign w:val="center"/>
            <w:hideMark/>
          </w:tcPr>
          <w:p w14:paraId="5077BBD7"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single" w:sz="8" w:space="0" w:color="000000"/>
              <w:right w:val="single" w:sz="8" w:space="0" w:color="auto"/>
            </w:tcBorders>
            <w:vAlign w:val="center"/>
            <w:hideMark/>
          </w:tcPr>
          <w:p w14:paraId="1C6E13D4" w14:textId="77777777" w:rsidR="00CF7396" w:rsidRPr="00CF7396" w:rsidRDefault="00CF7396" w:rsidP="00CF7396">
            <w:pPr>
              <w:rPr>
                <w:b/>
                <w:bCs/>
                <w:color w:val="000000" w:themeColor="text1"/>
                <w:lang w:val="es-CR" w:eastAsia="es-CR"/>
              </w:rPr>
            </w:pPr>
          </w:p>
        </w:tc>
      </w:tr>
      <w:tr w:rsidR="00CF7396" w:rsidRPr="00CF7396" w14:paraId="3C35C3F5" w14:textId="77777777" w:rsidTr="00AF369B">
        <w:trPr>
          <w:trHeight w:val="300"/>
        </w:trPr>
        <w:tc>
          <w:tcPr>
            <w:tcW w:w="590" w:type="pct"/>
            <w:vMerge/>
            <w:tcBorders>
              <w:top w:val="nil"/>
              <w:left w:val="single" w:sz="8" w:space="0" w:color="auto"/>
              <w:bottom w:val="single" w:sz="8" w:space="0" w:color="000000"/>
              <w:right w:val="dotted" w:sz="4" w:space="0" w:color="auto"/>
            </w:tcBorders>
            <w:vAlign w:val="center"/>
            <w:hideMark/>
          </w:tcPr>
          <w:p w14:paraId="5AC43154" w14:textId="77777777" w:rsidR="00CF7396" w:rsidRPr="00CF7396" w:rsidRDefault="00CF7396" w:rsidP="00CF7396">
            <w:pPr>
              <w:rPr>
                <w:b/>
                <w:bCs/>
                <w:color w:val="000000" w:themeColor="text1"/>
                <w:lang w:val="es-CR" w:eastAsia="es-CR"/>
              </w:rPr>
            </w:pPr>
          </w:p>
        </w:tc>
        <w:tc>
          <w:tcPr>
            <w:tcW w:w="540" w:type="pct"/>
            <w:tcBorders>
              <w:top w:val="nil"/>
              <w:left w:val="nil"/>
              <w:bottom w:val="single" w:sz="8" w:space="0" w:color="auto"/>
              <w:right w:val="dotted" w:sz="4" w:space="0" w:color="auto"/>
            </w:tcBorders>
            <w:shd w:val="clear" w:color="auto" w:fill="auto"/>
            <w:noWrap/>
            <w:vAlign w:val="center"/>
            <w:hideMark/>
          </w:tcPr>
          <w:p w14:paraId="33A5436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Circulante final</w:t>
            </w:r>
          </w:p>
        </w:tc>
        <w:tc>
          <w:tcPr>
            <w:tcW w:w="246" w:type="pct"/>
            <w:tcBorders>
              <w:top w:val="nil"/>
              <w:left w:val="nil"/>
              <w:bottom w:val="single" w:sz="8" w:space="0" w:color="auto"/>
              <w:right w:val="dotted" w:sz="4" w:space="0" w:color="auto"/>
            </w:tcBorders>
            <w:shd w:val="clear" w:color="auto" w:fill="auto"/>
            <w:noWrap/>
            <w:vAlign w:val="center"/>
            <w:hideMark/>
          </w:tcPr>
          <w:p w14:paraId="6618734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237</w:t>
            </w:r>
          </w:p>
        </w:tc>
        <w:tc>
          <w:tcPr>
            <w:tcW w:w="245" w:type="pct"/>
            <w:tcBorders>
              <w:top w:val="nil"/>
              <w:left w:val="nil"/>
              <w:bottom w:val="single" w:sz="8" w:space="0" w:color="auto"/>
              <w:right w:val="dotted" w:sz="4" w:space="0" w:color="auto"/>
            </w:tcBorders>
            <w:shd w:val="clear" w:color="auto" w:fill="auto"/>
            <w:noWrap/>
            <w:vAlign w:val="center"/>
            <w:hideMark/>
          </w:tcPr>
          <w:p w14:paraId="530A697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251</w:t>
            </w:r>
          </w:p>
        </w:tc>
        <w:tc>
          <w:tcPr>
            <w:tcW w:w="245" w:type="pct"/>
            <w:tcBorders>
              <w:top w:val="nil"/>
              <w:left w:val="nil"/>
              <w:bottom w:val="single" w:sz="8" w:space="0" w:color="auto"/>
              <w:right w:val="dotted" w:sz="4" w:space="0" w:color="auto"/>
            </w:tcBorders>
            <w:shd w:val="clear" w:color="auto" w:fill="auto"/>
            <w:noWrap/>
            <w:vAlign w:val="center"/>
            <w:hideMark/>
          </w:tcPr>
          <w:p w14:paraId="517CE6C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267</w:t>
            </w:r>
          </w:p>
        </w:tc>
        <w:tc>
          <w:tcPr>
            <w:tcW w:w="246" w:type="pct"/>
            <w:tcBorders>
              <w:top w:val="nil"/>
              <w:left w:val="nil"/>
              <w:bottom w:val="single" w:sz="8" w:space="0" w:color="auto"/>
              <w:right w:val="dotted" w:sz="4" w:space="0" w:color="auto"/>
            </w:tcBorders>
            <w:shd w:val="clear" w:color="auto" w:fill="auto"/>
            <w:noWrap/>
            <w:vAlign w:val="center"/>
            <w:hideMark/>
          </w:tcPr>
          <w:p w14:paraId="3FAF27E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272</w:t>
            </w:r>
          </w:p>
        </w:tc>
        <w:tc>
          <w:tcPr>
            <w:tcW w:w="246" w:type="pct"/>
            <w:tcBorders>
              <w:top w:val="nil"/>
              <w:left w:val="nil"/>
              <w:bottom w:val="single" w:sz="8" w:space="0" w:color="auto"/>
              <w:right w:val="dotted" w:sz="4" w:space="0" w:color="auto"/>
            </w:tcBorders>
            <w:shd w:val="clear" w:color="auto" w:fill="auto"/>
            <w:noWrap/>
            <w:vAlign w:val="center"/>
            <w:hideMark/>
          </w:tcPr>
          <w:p w14:paraId="3D99C1A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285</w:t>
            </w:r>
          </w:p>
        </w:tc>
        <w:tc>
          <w:tcPr>
            <w:tcW w:w="245" w:type="pct"/>
            <w:tcBorders>
              <w:top w:val="nil"/>
              <w:left w:val="nil"/>
              <w:bottom w:val="single" w:sz="8" w:space="0" w:color="auto"/>
              <w:right w:val="dotted" w:sz="4" w:space="0" w:color="auto"/>
            </w:tcBorders>
            <w:shd w:val="clear" w:color="auto" w:fill="auto"/>
            <w:noWrap/>
            <w:vAlign w:val="center"/>
            <w:hideMark/>
          </w:tcPr>
          <w:p w14:paraId="4EA7C2A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292</w:t>
            </w:r>
          </w:p>
        </w:tc>
        <w:tc>
          <w:tcPr>
            <w:tcW w:w="246" w:type="pct"/>
            <w:tcBorders>
              <w:top w:val="nil"/>
              <w:left w:val="nil"/>
              <w:bottom w:val="single" w:sz="8" w:space="0" w:color="auto"/>
              <w:right w:val="dotted" w:sz="4" w:space="0" w:color="auto"/>
            </w:tcBorders>
            <w:shd w:val="clear" w:color="auto" w:fill="auto"/>
            <w:noWrap/>
            <w:vAlign w:val="center"/>
            <w:hideMark/>
          </w:tcPr>
          <w:p w14:paraId="14E301A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317</w:t>
            </w:r>
          </w:p>
        </w:tc>
        <w:tc>
          <w:tcPr>
            <w:tcW w:w="246" w:type="pct"/>
            <w:tcBorders>
              <w:top w:val="nil"/>
              <w:left w:val="nil"/>
              <w:bottom w:val="single" w:sz="8" w:space="0" w:color="auto"/>
              <w:right w:val="dotted" w:sz="4" w:space="0" w:color="auto"/>
            </w:tcBorders>
            <w:shd w:val="clear" w:color="auto" w:fill="auto"/>
            <w:noWrap/>
            <w:vAlign w:val="center"/>
            <w:hideMark/>
          </w:tcPr>
          <w:p w14:paraId="63C2D84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342</w:t>
            </w:r>
          </w:p>
        </w:tc>
        <w:tc>
          <w:tcPr>
            <w:tcW w:w="245" w:type="pct"/>
            <w:tcBorders>
              <w:top w:val="nil"/>
              <w:left w:val="nil"/>
              <w:bottom w:val="single" w:sz="8" w:space="0" w:color="auto"/>
              <w:right w:val="dotted" w:sz="4" w:space="0" w:color="auto"/>
            </w:tcBorders>
            <w:shd w:val="clear" w:color="auto" w:fill="auto"/>
            <w:noWrap/>
            <w:vAlign w:val="center"/>
            <w:hideMark/>
          </w:tcPr>
          <w:p w14:paraId="44F0049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379</w:t>
            </w:r>
          </w:p>
        </w:tc>
        <w:tc>
          <w:tcPr>
            <w:tcW w:w="246" w:type="pct"/>
            <w:tcBorders>
              <w:top w:val="nil"/>
              <w:left w:val="nil"/>
              <w:bottom w:val="single" w:sz="8" w:space="0" w:color="auto"/>
              <w:right w:val="dotted" w:sz="4" w:space="0" w:color="auto"/>
            </w:tcBorders>
            <w:shd w:val="clear" w:color="auto" w:fill="auto"/>
            <w:noWrap/>
            <w:vAlign w:val="center"/>
            <w:hideMark/>
          </w:tcPr>
          <w:p w14:paraId="46EDFFA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424</w:t>
            </w:r>
          </w:p>
        </w:tc>
        <w:tc>
          <w:tcPr>
            <w:tcW w:w="245" w:type="pct"/>
            <w:tcBorders>
              <w:top w:val="nil"/>
              <w:left w:val="nil"/>
              <w:bottom w:val="single" w:sz="8" w:space="0" w:color="auto"/>
              <w:right w:val="dotted" w:sz="4" w:space="0" w:color="auto"/>
            </w:tcBorders>
            <w:shd w:val="clear" w:color="auto" w:fill="auto"/>
            <w:noWrap/>
            <w:vAlign w:val="center"/>
            <w:hideMark/>
          </w:tcPr>
          <w:p w14:paraId="3375BD3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454</w:t>
            </w:r>
          </w:p>
        </w:tc>
        <w:tc>
          <w:tcPr>
            <w:tcW w:w="246" w:type="pct"/>
            <w:tcBorders>
              <w:top w:val="nil"/>
              <w:left w:val="nil"/>
              <w:bottom w:val="single" w:sz="8" w:space="0" w:color="auto"/>
              <w:right w:val="dotted" w:sz="4" w:space="0" w:color="auto"/>
            </w:tcBorders>
            <w:shd w:val="clear" w:color="auto" w:fill="auto"/>
            <w:noWrap/>
            <w:vAlign w:val="center"/>
            <w:hideMark/>
          </w:tcPr>
          <w:p w14:paraId="46E8405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473</w:t>
            </w:r>
          </w:p>
        </w:tc>
        <w:tc>
          <w:tcPr>
            <w:tcW w:w="416" w:type="pct"/>
            <w:vMerge/>
            <w:tcBorders>
              <w:top w:val="nil"/>
              <w:left w:val="dotted" w:sz="4" w:space="0" w:color="auto"/>
              <w:bottom w:val="single" w:sz="8" w:space="0" w:color="000000"/>
              <w:right w:val="dotted" w:sz="4" w:space="0" w:color="auto"/>
            </w:tcBorders>
            <w:vAlign w:val="center"/>
            <w:hideMark/>
          </w:tcPr>
          <w:p w14:paraId="56F847C1" w14:textId="77777777" w:rsidR="00CF7396" w:rsidRPr="00CF7396" w:rsidRDefault="00CF7396" w:rsidP="00CF7396">
            <w:pPr>
              <w:rPr>
                <w:b/>
                <w:bCs/>
                <w:color w:val="000000" w:themeColor="text1"/>
                <w:lang w:val="es-CR" w:eastAsia="es-CR"/>
              </w:rPr>
            </w:pPr>
          </w:p>
        </w:tc>
        <w:tc>
          <w:tcPr>
            <w:tcW w:w="506" w:type="pct"/>
            <w:vMerge/>
            <w:tcBorders>
              <w:top w:val="nil"/>
              <w:left w:val="dotted" w:sz="4" w:space="0" w:color="auto"/>
              <w:bottom w:val="single" w:sz="8" w:space="0" w:color="000000"/>
              <w:right w:val="single" w:sz="8" w:space="0" w:color="auto"/>
            </w:tcBorders>
            <w:vAlign w:val="center"/>
            <w:hideMark/>
          </w:tcPr>
          <w:p w14:paraId="0DE59946" w14:textId="77777777" w:rsidR="00CF7396" w:rsidRPr="00CF7396" w:rsidRDefault="00CF7396" w:rsidP="00CF7396">
            <w:pPr>
              <w:rPr>
                <w:b/>
                <w:bCs/>
                <w:color w:val="000000" w:themeColor="text1"/>
                <w:lang w:val="es-CR" w:eastAsia="es-CR"/>
              </w:rPr>
            </w:pPr>
          </w:p>
        </w:tc>
      </w:tr>
    </w:tbl>
    <w:p w14:paraId="75AB6A50" w14:textId="77777777" w:rsidR="00CF7396" w:rsidRPr="00CF7396" w:rsidRDefault="00CF7396" w:rsidP="00CF7396">
      <w:pPr>
        <w:jc w:val="both"/>
        <w:rPr>
          <w:i/>
          <w:iCs/>
          <w:color w:val="000000" w:themeColor="text1"/>
          <w:lang w:val="es-CR"/>
        </w:rPr>
      </w:pPr>
      <w:r w:rsidRPr="00CF7396">
        <w:rPr>
          <w:b/>
          <w:bCs/>
          <w:i/>
          <w:iCs/>
          <w:color w:val="000000" w:themeColor="text1"/>
          <w:lang w:val="es-CR"/>
        </w:rPr>
        <w:t>Fuente:</w:t>
      </w:r>
      <w:r w:rsidRPr="00CF7396">
        <w:rPr>
          <w:i/>
          <w:iCs/>
          <w:color w:val="000000" w:themeColor="text1"/>
          <w:lang w:val="es-CR"/>
        </w:rPr>
        <w:t xml:space="preserve"> Elaboración propia del Subproceso de Evaluación con datos proporcionadas de la página web del Subproceso de Estadística de la Dirección de Planificación: </w:t>
      </w:r>
      <w:hyperlink r:id="rId7" w:history="1">
        <w:r w:rsidRPr="00CF7396">
          <w:rPr>
            <w:color w:val="000000" w:themeColor="text1"/>
            <w:u w:val="single"/>
            <w:lang w:val="es-CR"/>
          </w:rPr>
          <w:t>Indicadores Institucionales | Dirección de Planificación, Poder Judicial Costa Rica (poder-judicial.go.cr)</w:t>
        </w:r>
      </w:hyperlink>
    </w:p>
    <w:p w14:paraId="4C1A76DF" w14:textId="77777777" w:rsidR="00CF7396" w:rsidRPr="00CF7396" w:rsidRDefault="00CF7396" w:rsidP="00CF7396">
      <w:pPr>
        <w:tabs>
          <w:tab w:val="left" w:pos="2079"/>
        </w:tabs>
        <w:jc w:val="both"/>
        <w:rPr>
          <w:color w:val="000000" w:themeColor="text1"/>
          <w:lang w:val="es-CR"/>
        </w:rPr>
      </w:pPr>
    </w:p>
    <w:p w14:paraId="2E4F33F0" w14:textId="77777777" w:rsidR="00CF7396" w:rsidRPr="00CF7396" w:rsidRDefault="00CF7396" w:rsidP="00CF7396">
      <w:pPr>
        <w:tabs>
          <w:tab w:val="left" w:pos="2079"/>
        </w:tabs>
        <w:ind w:left="851" w:right="851" w:firstLine="709"/>
        <w:jc w:val="both"/>
        <w:rPr>
          <w:color w:val="000000" w:themeColor="text1"/>
          <w:lang w:val="es-CR"/>
        </w:rPr>
      </w:pPr>
      <w:r w:rsidRPr="00CF7396">
        <w:rPr>
          <w:color w:val="000000" w:themeColor="text1"/>
          <w:lang w:val="es-CR"/>
        </w:rPr>
        <w:t>Según el cuadro anterior y realizando una comparación de la variable estadística de entrada entre los despachos que conforman el Modelo, se identifica que el Juzgado de Cobro del Primer Circuito Judicial de la Zona Atlántica, es el despacho con mayor ingreso de asuntos durante el 2021, con un promedio mensual de 600 gestiones; representando el 55% de forma general entre todos los despachos del Modelo. Posteriormente el Tribunal Penal del Primer Circuito de la Zona Atlántica, con un promedio mensual de 119 asuntos (representa un 11% general), seguidamente el Juzgado de Familia y el Juzgado de Trabajo de dicho Circuito con 83 y 82 asuntos (8% general), respectivamente. Por el contrario, el despacho con menor ingreso de asuntos fue el Tribunal Colegiado de Primer Instancia Civil con un promedio de 12 asuntos mensuales (simboliza un 1% general); seguido del Juzgado Civil y la Sección de Flagrancia de dicho Circuito, con 36 y 37 asuntos mensuales (3% general), respectivamente. Claro está que la entrada de asuntos corresponde a un agente externo de cada despacho.</w:t>
      </w:r>
    </w:p>
    <w:p w14:paraId="2F883962" w14:textId="77777777" w:rsidR="00CF7396" w:rsidRPr="00CF7396" w:rsidRDefault="00CF7396" w:rsidP="00CF7396">
      <w:pPr>
        <w:tabs>
          <w:tab w:val="left" w:pos="2079"/>
        </w:tabs>
        <w:ind w:left="851" w:right="851" w:firstLine="709"/>
        <w:jc w:val="both"/>
        <w:rPr>
          <w:color w:val="000000" w:themeColor="text1"/>
          <w:lang w:val="es-CR"/>
        </w:rPr>
      </w:pPr>
    </w:p>
    <w:p w14:paraId="180E2B1D" w14:textId="77777777" w:rsidR="00CF7396" w:rsidRPr="00CF7396" w:rsidRDefault="00CF7396" w:rsidP="00CF7396">
      <w:pPr>
        <w:tabs>
          <w:tab w:val="left" w:pos="2079"/>
        </w:tabs>
        <w:ind w:left="851" w:right="851" w:firstLine="709"/>
        <w:jc w:val="both"/>
        <w:rPr>
          <w:color w:val="000000" w:themeColor="text1"/>
          <w:lang w:val="es-CR"/>
        </w:rPr>
      </w:pPr>
      <w:r w:rsidRPr="00CF7396">
        <w:rPr>
          <w:color w:val="000000" w:themeColor="text1"/>
          <w:lang w:val="es-CR"/>
        </w:rPr>
        <w:t xml:space="preserve">A nivel histórico el despacho que obtuvo un mayor ingreso de asuntos mensualmente fue el Tribunal Penal del Primer Circuito Judicial de la Zona Atlántica. Sin embargo, se esperaría que para el 2022 dicha entrada disminuya, debido al criterio jurídico emitido por la Comisión Nacional de Flagrancia y la Comisión de la Jurisdicción Penal en cuanto a declarar incompetencia en asuntos correspondientes de Flagrancia; así como la </w:t>
      </w:r>
      <w:proofErr w:type="gramStart"/>
      <w:r w:rsidRPr="00CF7396">
        <w:rPr>
          <w:color w:val="000000" w:themeColor="text1"/>
          <w:lang w:val="es-CR"/>
        </w:rPr>
        <w:t>entrada en vigencia</w:t>
      </w:r>
      <w:proofErr w:type="gramEnd"/>
      <w:r w:rsidRPr="00CF7396">
        <w:rPr>
          <w:color w:val="000000" w:themeColor="text1"/>
          <w:lang w:val="es-CR"/>
        </w:rPr>
        <w:t xml:space="preserve"> de la Jurisdicción de Delincuencia Organizada a finales del 2022.</w:t>
      </w:r>
    </w:p>
    <w:p w14:paraId="7298A816" w14:textId="77777777" w:rsidR="00CF7396" w:rsidRPr="00CF7396" w:rsidRDefault="00CF7396" w:rsidP="00CF7396">
      <w:pPr>
        <w:tabs>
          <w:tab w:val="left" w:pos="2079"/>
        </w:tabs>
        <w:ind w:left="851" w:right="851" w:firstLine="709"/>
        <w:jc w:val="both"/>
        <w:rPr>
          <w:color w:val="000000" w:themeColor="text1"/>
          <w:lang w:val="es-CR"/>
        </w:rPr>
      </w:pPr>
    </w:p>
    <w:p w14:paraId="657548CE" w14:textId="77777777" w:rsidR="00CF7396" w:rsidRPr="00CF7396" w:rsidRDefault="00CF7396" w:rsidP="00CF7396">
      <w:pPr>
        <w:tabs>
          <w:tab w:val="left" w:pos="2079"/>
        </w:tabs>
        <w:ind w:left="851" w:right="851" w:firstLine="709"/>
        <w:jc w:val="both"/>
        <w:rPr>
          <w:color w:val="000000" w:themeColor="text1"/>
          <w:lang w:val="es-CR"/>
        </w:rPr>
      </w:pPr>
      <w:r w:rsidRPr="00CF7396">
        <w:rPr>
          <w:color w:val="000000" w:themeColor="text1"/>
          <w:lang w:val="es-CR"/>
        </w:rPr>
        <w:t xml:space="preserve">Por otro lado, tomando en consideración que cada despacho tiene implementada su propia Matriz de Indicadores con sus respectivos parámetros, se procede analizar el porcentaje de alejamiento que existe entre el promedio mensual de la entrada del cuadro anterior, con el parámetro establecido en la Matriz de Indicadores de cada despacho para el Indicador de “Entrada”, obteniendo que el Juzgado Agrario y el Juzgado de Cobro, superaron los rangos máximos establecidos para el Indicador de la “Entrada” en un 70,5% (rango máximo de 23 asuntos) y en un 54% (rango máximo 391 asuntos), respectivamente para cada uno de ellos. Por otra parte, los despachos que tuvieron un menor ingreso de asuntos según la Matriz de Indicadores fueron el Jugado de Trabajo y el Juzgado de Pensiones Alimentarias, con un -10,27% (rango máximo 91) y -12,34% (rango máximo 87), respectivamente. </w:t>
      </w:r>
    </w:p>
    <w:p w14:paraId="5F76E791" w14:textId="77777777" w:rsidR="00CF7396" w:rsidRPr="00CF7396" w:rsidRDefault="00CF7396" w:rsidP="00CF7396">
      <w:pPr>
        <w:tabs>
          <w:tab w:val="left" w:pos="2079"/>
        </w:tabs>
        <w:ind w:left="851" w:right="851" w:firstLine="709"/>
        <w:jc w:val="both"/>
        <w:rPr>
          <w:color w:val="000000" w:themeColor="text1"/>
          <w:lang w:val="es-CR"/>
        </w:rPr>
      </w:pPr>
    </w:p>
    <w:p w14:paraId="6F9E929E" w14:textId="77777777" w:rsidR="00CF7396" w:rsidRPr="00CF7396" w:rsidRDefault="00CF7396" w:rsidP="00CF7396">
      <w:pPr>
        <w:tabs>
          <w:tab w:val="left" w:pos="2079"/>
        </w:tabs>
        <w:ind w:left="851" w:right="851" w:firstLine="709"/>
        <w:jc w:val="both"/>
        <w:rPr>
          <w:color w:val="000000" w:themeColor="text1"/>
          <w:lang w:val="es-CR"/>
        </w:rPr>
      </w:pPr>
      <w:r w:rsidRPr="00CF7396">
        <w:rPr>
          <w:color w:val="000000" w:themeColor="text1"/>
          <w:lang w:val="es-CR"/>
        </w:rPr>
        <w:t>Comparando los asuntos terminados del cuadro anterior, el Juzgado de Cobro del Primer Circuito Judicial de la Zona Atlántica terminó en promedio 296 asuntos; representando un 43% de forma general entre todos los despachos que conforman el Modelo, seguidamente el Juzgado de Trabajo de dicho Circuito con 94 asuntos (14% de forma general). Al contrario, el Tribunal Colegiado de Primer Instancia Civil del circuito citado, terminó 11 asuntos (2% en relación con el total de los despachos).</w:t>
      </w:r>
    </w:p>
    <w:p w14:paraId="316BBBA6" w14:textId="77777777" w:rsidR="00CF7396" w:rsidRPr="00CF7396" w:rsidRDefault="00CF7396" w:rsidP="00CF7396">
      <w:pPr>
        <w:tabs>
          <w:tab w:val="left" w:pos="2079"/>
        </w:tabs>
        <w:ind w:left="851" w:right="851" w:firstLine="709"/>
        <w:jc w:val="both"/>
        <w:rPr>
          <w:color w:val="000000" w:themeColor="text1"/>
          <w:lang w:val="es-CR"/>
        </w:rPr>
      </w:pPr>
    </w:p>
    <w:p w14:paraId="0D0A99B6" w14:textId="77777777" w:rsidR="00CF7396" w:rsidRPr="00CF7396" w:rsidRDefault="00CF7396" w:rsidP="00CF7396">
      <w:pPr>
        <w:tabs>
          <w:tab w:val="left" w:pos="2079"/>
        </w:tabs>
        <w:ind w:left="851" w:right="851" w:firstLine="709"/>
        <w:jc w:val="both"/>
        <w:rPr>
          <w:color w:val="000000" w:themeColor="text1"/>
          <w:lang w:val="es-CR"/>
        </w:rPr>
      </w:pPr>
      <w:r w:rsidRPr="00CF7396">
        <w:rPr>
          <w:color w:val="000000" w:themeColor="text1"/>
          <w:lang w:val="es-CR"/>
        </w:rPr>
        <w:t>Tomando en consideración los parámetros establecidos en las Matrices de Indicadores de cada despacho para el Indicador de “Terminados”, se obtiene que el Juzgado de Cobro, superó en un 147% el rango mínimo establecido para el Indicador de “Terminados” (rango en la matriz 120); sin embargo, es importante aclarar que lo anterior no solo tiene relación con el esfuerzo de la mayoría del personal del despacho, sino también por los planes de trabajo de las personas técnicas y juzgadoras supernumerarias para la realización de demandas nuevas y en la depuración de expedientes. Por otra parte, la Sección de Flagrancia estuvo por debajo del -39% del rango mínimo establecido (29 en la matriz de Indicadores).</w:t>
      </w:r>
    </w:p>
    <w:p w14:paraId="6AB79CC1" w14:textId="77777777" w:rsidR="00CF7396" w:rsidRPr="00CF7396" w:rsidRDefault="00CF7396" w:rsidP="00CF7396">
      <w:pPr>
        <w:tabs>
          <w:tab w:val="left" w:pos="2079"/>
        </w:tabs>
        <w:ind w:left="851" w:right="851" w:firstLine="709"/>
        <w:jc w:val="both"/>
        <w:rPr>
          <w:color w:val="000000" w:themeColor="text1"/>
          <w:lang w:val="es-CR"/>
        </w:rPr>
      </w:pPr>
    </w:p>
    <w:p w14:paraId="21057673" w14:textId="77777777" w:rsidR="00CF7396" w:rsidRPr="00CF7396" w:rsidRDefault="00CF7396" w:rsidP="00CF7396">
      <w:pPr>
        <w:tabs>
          <w:tab w:val="left" w:pos="2079"/>
        </w:tabs>
        <w:ind w:left="851" w:right="851" w:firstLine="709"/>
        <w:jc w:val="both"/>
        <w:rPr>
          <w:color w:val="000000" w:themeColor="text1"/>
          <w:lang w:val="es-CR"/>
        </w:rPr>
      </w:pPr>
      <w:r w:rsidRPr="00CF7396">
        <w:rPr>
          <w:color w:val="000000" w:themeColor="text1"/>
          <w:lang w:val="es-CR"/>
        </w:rPr>
        <w:t>Sobre la variable estadística de circulante al concluir el 2021, el Juzgado de Cobro es el despacho con mayor cantidad de circulante con 18009 asuntos. De tal manera que durante el 2021 y 2022 se realizaron planes de trabajo con personal supernumerario para reforzar a dicho despacho, los cuales se expondrán en el apartado 6 del presente informe. La Sección de Flagrancia fue el despacho que al concluir el 2021 obtuvo un menor circulante en el Circuito con 473 asuntos (71% de alejamiento según matriz de Indicadores); no obstante, se proyecta que para el 2022 el circulante aumente debido a las incompetencias de los asuntos de Flagrancia por parte del Tribunal Penal o Juzgados Penales, por lo que se esperaría que descongestione los asuntos que entran en la vía del Ordinario.</w:t>
      </w:r>
    </w:p>
    <w:p w14:paraId="699DE78D" w14:textId="77777777" w:rsidR="00CF7396" w:rsidRPr="00CF7396" w:rsidRDefault="00CF7396" w:rsidP="00CF7396">
      <w:pPr>
        <w:tabs>
          <w:tab w:val="left" w:pos="2079"/>
        </w:tabs>
        <w:ind w:left="851" w:right="851" w:firstLine="709"/>
        <w:jc w:val="both"/>
        <w:rPr>
          <w:color w:val="000000" w:themeColor="text1"/>
          <w:lang w:val="es-CR"/>
        </w:rPr>
      </w:pPr>
    </w:p>
    <w:p w14:paraId="69C8FAE4"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En resumen y de forma general se concluye que, en el 2021 el Juzgado de Cobro del Primer Circuito Judicial de la Zona Atlántica fue el despacho con mayores asuntos en entrada, terminados y circulante en relación con las demás oficinas que forman parte del Modelo, representando un 55% de entrada y 43% terminados de manera global por todas las oficinas. </w:t>
      </w:r>
    </w:p>
    <w:p w14:paraId="5E4DE188" w14:textId="77777777" w:rsidR="00CF7396" w:rsidRPr="00CF7396" w:rsidRDefault="00CF7396" w:rsidP="00CF7396">
      <w:pPr>
        <w:ind w:left="851" w:right="851" w:firstLine="709"/>
        <w:jc w:val="both"/>
        <w:rPr>
          <w:color w:val="000000" w:themeColor="text1"/>
          <w:lang w:val="es-CR"/>
        </w:rPr>
      </w:pPr>
    </w:p>
    <w:p w14:paraId="6CD1FD0A"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En cuanto a la relación salida versus la entrada se destacan el Juzgado de Trabajo, Tribunal Colegiado de Primer Instancia Civil, Juzgado Civil y Juzgado de Cobro del Primer Circuito Judicial de la Zona Atlántica, quienes obtuvieron un 115%, 96%, 93% y 93% respectivamente cada uno de ellos.</w:t>
      </w:r>
    </w:p>
    <w:p w14:paraId="4EE55248" w14:textId="77777777" w:rsidR="00CF7396" w:rsidRPr="00CF7396" w:rsidRDefault="00CF7396" w:rsidP="00CF7396">
      <w:pPr>
        <w:ind w:left="851" w:right="851" w:firstLine="709"/>
        <w:jc w:val="both"/>
        <w:rPr>
          <w:color w:val="000000" w:themeColor="text1"/>
          <w:lang w:val="es-CR"/>
        </w:rPr>
      </w:pPr>
    </w:p>
    <w:p w14:paraId="4E92727E" w14:textId="77777777" w:rsidR="00CF7396" w:rsidRPr="00CF7396" w:rsidRDefault="00CF7396" w:rsidP="00CF7396">
      <w:pPr>
        <w:ind w:left="851" w:right="851" w:firstLine="709"/>
        <w:jc w:val="both"/>
        <w:rPr>
          <w:color w:val="000000" w:themeColor="text1"/>
          <w:lang w:val="es-CR"/>
        </w:rPr>
      </w:pPr>
      <w:bookmarkStart w:id="8" w:name="_Toc78876654"/>
      <w:r w:rsidRPr="00CF7396">
        <w:rPr>
          <w:color w:val="000000" w:themeColor="text1"/>
          <w:lang w:val="es-CR"/>
        </w:rPr>
        <w:t>Seguidamente, se muestran las variables estadísticas para los despachos que conocen varias materias:</w:t>
      </w:r>
    </w:p>
    <w:p w14:paraId="633F198C" w14:textId="77777777" w:rsidR="00CF7396" w:rsidRPr="00CF7396" w:rsidRDefault="00CF7396" w:rsidP="00CF7396">
      <w:pPr>
        <w:jc w:val="both"/>
        <w:rPr>
          <w:color w:val="000000" w:themeColor="text1"/>
          <w:lang w:val="es-CR"/>
        </w:rPr>
      </w:pPr>
    </w:p>
    <w:p w14:paraId="06C3FE88" w14:textId="77777777" w:rsidR="00CF7396" w:rsidRPr="00CF7396" w:rsidRDefault="00CF7396" w:rsidP="00CF7396">
      <w:pPr>
        <w:jc w:val="center"/>
        <w:rPr>
          <w:color w:val="000000" w:themeColor="text1"/>
          <w:lang w:val="es-CR" w:eastAsia="zh-CN"/>
        </w:rPr>
      </w:pPr>
      <w:r w:rsidRPr="00CF7396">
        <w:rPr>
          <w:b/>
          <w:bCs/>
          <w:color w:val="000000" w:themeColor="text1"/>
          <w:lang w:val="es-CR" w:eastAsia="zh-CN"/>
        </w:rPr>
        <w:t>Cuadro 9</w:t>
      </w:r>
    </w:p>
    <w:p w14:paraId="280865C0" w14:textId="77777777" w:rsidR="00CF7396" w:rsidRPr="00CF7396" w:rsidRDefault="00CF7396" w:rsidP="00CF7396">
      <w:pPr>
        <w:jc w:val="center"/>
        <w:rPr>
          <w:b/>
          <w:bCs/>
          <w:i/>
          <w:color w:val="000000" w:themeColor="text1"/>
          <w:lang w:val="es-CR"/>
        </w:rPr>
      </w:pPr>
      <w:r w:rsidRPr="00CF7396">
        <w:rPr>
          <w:b/>
          <w:bCs/>
          <w:i/>
          <w:color w:val="000000" w:themeColor="text1"/>
          <w:lang w:val="es-CR"/>
        </w:rPr>
        <w:t>Balance general de entrada, terminados y circulante de los despachos que conocen varias materias</w:t>
      </w:r>
    </w:p>
    <w:p w14:paraId="65342F05" w14:textId="77777777" w:rsidR="00CF7396" w:rsidRPr="00CF7396" w:rsidRDefault="00CF7396" w:rsidP="00CF7396">
      <w:pPr>
        <w:jc w:val="center"/>
        <w:rPr>
          <w:b/>
          <w:bCs/>
          <w:i/>
          <w:color w:val="000000" w:themeColor="text1"/>
          <w:lang w:val="es-CR"/>
        </w:rPr>
      </w:pPr>
      <w:r w:rsidRPr="00CF7396">
        <w:rPr>
          <w:b/>
          <w:bCs/>
          <w:i/>
          <w:color w:val="000000" w:themeColor="text1"/>
          <w:lang w:val="es-CR"/>
        </w:rPr>
        <w:t xml:space="preserve"> que conforman el Modelo de Seguimiento y Sostenibilidad en el</w:t>
      </w:r>
    </w:p>
    <w:p w14:paraId="1DFCBC78" w14:textId="77777777" w:rsidR="00CF7396" w:rsidRPr="00CF7396" w:rsidRDefault="00CF7396" w:rsidP="00CF7396">
      <w:pPr>
        <w:jc w:val="center"/>
        <w:rPr>
          <w:b/>
          <w:bCs/>
          <w:i/>
          <w:color w:val="000000" w:themeColor="text1"/>
          <w:lang w:val="es-CR"/>
        </w:rPr>
      </w:pPr>
      <w:r w:rsidRPr="00CF7396">
        <w:rPr>
          <w:b/>
          <w:bCs/>
          <w:i/>
          <w:color w:val="000000" w:themeColor="text1"/>
          <w:lang w:val="es-CR"/>
        </w:rPr>
        <w:t xml:space="preserve"> Primer Circuito Judicial de la Zona Atlántica, 2021</w:t>
      </w:r>
    </w:p>
    <w:tbl>
      <w:tblPr>
        <w:tblW w:w="5000" w:type="pct"/>
        <w:tblCellMar>
          <w:left w:w="70" w:type="dxa"/>
          <w:right w:w="70" w:type="dxa"/>
        </w:tblCellMar>
        <w:tblLook w:val="04A0" w:firstRow="1" w:lastRow="0" w:firstColumn="1" w:lastColumn="0" w:noHBand="0" w:noVBand="1"/>
      </w:tblPr>
      <w:tblGrid>
        <w:gridCol w:w="1206"/>
        <w:gridCol w:w="1214"/>
        <w:gridCol w:w="856"/>
        <w:gridCol w:w="440"/>
        <w:gridCol w:w="440"/>
        <w:gridCol w:w="439"/>
        <w:gridCol w:w="439"/>
        <w:gridCol w:w="439"/>
        <w:gridCol w:w="439"/>
        <w:gridCol w:w="439"/>
        <w:gridCol w:w="456"/>
        <w:gridCol w:w="439"/>
        <w:gridCol w:w="439"/>
        <w:gridCol w:w="439"/>
        <w:gridCol w:w="439"/>
        <w:gridCol w:w="822"/>
      </w:tblGrid>
      <w:tr w:rsidR="00CF7396" w:rsidRPr="00CF7396" w14:paraId="68CE4D3E" w14:textId="77777777" w:rsidTr="00AF369B">
        <w:trPr>
          <w:trHeight w:val="490"/>
          <w:tblHeader/>
        </w:trPr>
        <w:tc>
          <w:tcPr>
            <w:tcW w:w="561" w:type="pct"/>
            <w:tcBorders>
              <w:top w:val="single" w:sz="8" w:space="0" w:color="auto"/>
              <w:left w:val="single" w:sz="8" w:space="0" w:color="auto"/>
              <w:bottom w:val="dotted" w:sz="4" w:space="0" w:color="auto"/>
              <w:right w:val="dotted" w:sz="4" w:space="0" w:color="auto"/>
            </w:tcBorders>
            <w:shd w:val="clear" w:color="D9E1F2" w:fill="203764"/>
            <w:vAlign w:val="bottom"/>
            <w:hideMark/>
          </w:tcPr>
          <w:p w14:paraId="03D6FF6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Nombre del despacho judicial</w:t>
            </w:r>
          </w:p>
        </w:tc>
        <w:tc>
          <w:tcPr>
            <w:tcW w:w="561" w:type="pct"/>
            <w:tcBorders>
              <w:top w:val="single" w:sz="8" w:space="0" w:color="auto"/>
              <w:left w:val="nil"/>
              <w:bottom w:val="dotted" w:sz="4" w:space="0" w:color="auto"/>
              <w:right w:val="dotted" w:sz="4" w:space="0" w:color="auto"/>
            </w:tcBorders>
            <w:shd w:val="clear" w:color="D9E1F2" w:fill="203764"/>
            <w:vAlign w:val="bottom"/>
            <w:hideMark/>
          </w:tcPr>
          <w:p w14:paraId="6A116BB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Materia</w:t>
            </w:r>
          </w:p>
        </w:tc>
        <w:tc>
          <w:tcPr>
            <w:tcW w:w="432" w:type="pct"/>
            <w:tcBorders>
              <w:top w:val="single" w:sz="8" w:space="0" w:color="auto"/>
              <w:left w:val="nil"/>
              <w:bottom w:val="dotted" w:sz="4" w:space="0" w:color="auto"/>
              <w:right w:val="dotted" w:sz="4" w:space="0" w:color="auto"/>
            </w:tcBorders>
            <w:shd w:val="clear" w:color="D9E1F2" w:fill="203764"/>
            <w:vAlign w:val="bottom"/>
            <w:hideMark/>
          </w:tcPr>
          <w:p w14:paraId="395DF5A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Variable Estadística</w:t>
            </w:r>
          </w:p>
        </w:tc>
        <w:tc>
          <w:tcPr>
            <w:tcW w:w="252" w:type="pct"/>
            <w:tcBorders>
              <w:top w:val="single" w:sz="8" w:space="0" w:color="auto"/>
              <w:left w:val="nil"/>
              <w:bottom w:val="dotted" w:sz="4" w:space="0" w:color="auto"/>
              <w:right w:val="dotted" w:sz="4" w:space="0" w:color="auto"/>
            </w:tcBorders>
            <w:shd w:val="clear" w:color="D9E1F2" w:fill="203764"/>
            <w:vAlign w:val="center"/>
            <w:hideMark/>
          </w:tcPr>
          <w:p w14:paraId="64A65EB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En</w:t>
            </w:r>
          </w:p>
        </w:tc>
        <w:tc>
          <w:tcPr>
            <w:tcW w:w="252" w:type="pct"/>
            <w:tcBorders>
              <w:top w:val="single" w:sz="8" w:space="0" w:color="auto"/>
              <w:left w:val="nil"/>
              <w:bottom w:val="dotted" w:sz="4" w:space="0" w:color="auto"/>
              <w:right w:val="dotted" w:sz="4" w:space="0" w:color="auto"/>
            </w:tcBorders>
            <w:shd w:val="clear" w:color="D9E1F2" w:fill="203764"/>
            <w:vAlign w:val="center"/>
            <w:hideMark/>
          </w:tcPr>
          <w:p w14:paraId="5D8C51C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Feb</w:t>
            </w:r>
          </w:p>
        </w:tc>
        <w:tc>
          <w:tcPr>
            <w:tcW w:w="252" w:type="pct"/>
            <w:tcBorders>
              <w:top w:val="single" w:sz="8" w:space="0" w:color="auto"/>
              <w:left w:val="nil"/>
              <w:bottom w:val="dotted" w:sz="4" w:space="0" w:color="auto"/>
              <w:right w:val="dotted" w:sz="4" w:space="0" w:color="auto"/>
            </w:tcBorders>
            <w:shd w:val="clear" w:color="D9E1F2" w:fill="203764"/>
            <w:vAlign w:val="center"/>
            <w:hideMark/>
          </w:tcPr>
          <w:p w14:paraId="6B2AC53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Mar</w:t>
            </w:r>
          </w:p>
        </w:tc>
        <w:tc>
          <w:tcPr>
            <w:tcW w:w="252" w:type="pct"/>
            <w:tcBorders>
              <w:top w:val="single" w:sz="8" w:space="0" w:color="auto"/>
              <w:left w:val="nil"/>
              <w:bottom w:val="dotted" w:sz="4" w:space="0" w:color="auto"/>
              <w:right w:val="dotted" w:sz="4" w:space="0" w:color="auto"/>
            </w:tcBorders>
            <w:shd w:val="clear" w:color="D9E1F2" w:fill="203764"/>
            <w:vAlign w:val="center"/>
            <w:hideMark/>
          </w:tcPr>
          <w:p w14:paraId="62DDB5F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Abr</w:t>
            </w:r>
          </w:p>
        </w:tc>
        <w:tc>
          <w:tcPr>
            <w:tcW w:w="252" w:type="pct"/>
            <w:tcBorders>
              <w:top w:val="single" w:sz="8" w:space="0" w:color="auto"/>
              <w:left w:val="nil"/>
              <w:bottom w:val="dotted" w:sz="4" w:space="0" w:color="auto"/>
              <w:right w:val="dotted" w:sz="4" w:space="0" w:color="auto"/>
            </w:tcBorders>
            <w:shd w:val="clear" w:color="D9E1F2" w:fill="203764"/>
            <w:vAlign w:val="center"/>
            <w:hideMark/>
          </w:tcPr>
          <w:p w14:paraId="6E9A817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May</w:t>
            </w:r>
          </w:p>
        </w:tc>
        <w:tc>
          <w:tcPr>
            <w:tcW w:w="252" w:type="pct"/>
            <w:tcBorders>
              <w:top w:val="single" w:sz="8" w:space="0" w:color="auto"/>
              <w:left w:val="nil"/>
              <w:bottom w:val="dotted" w:sz="4" w:space="0" w:color="auto"/>
              <w:right w:val="dotted" w:sz="4" w:space="0" w:color="auto"/>
            </w:tcBorders>
            <w:shd w:val="clear" w:color="D9E1F2" w:fill="203764"/>
            <w:vAlign w:val="center"/>
            <w:hideMark/>
          </w:tcPr>
          <w:p w14:paraId="3866CAE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Jun</w:t>
            </w:r>
          </w:p>
        </w:tc>
        <w:tc>
          <w:tcPr>
            <w:tcW w:w="252" w:type="pct"/>
            <w:tcBorders>
              <w:top w:val="single" w:sz="8" w:space="0" w:color="auto"/>
              <w:left w:val="nil"/>
              <w:bottom w:val="dotted" w:sz="4" w:space="0" w:color="auto"/>
              <w:right w:val="dotted" w:sz="4" w:space="0" w:color="auto"/>
            </w:tcBorders>
            <w:shd w:val="clear" w:color="D9E1F2" w:fill="203764"/>
            <w:vAlign w:val="center"/>
            <w:hideMark/>
          </w:tcPr>
          <w:p w14:paraId="5A825A1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Jul</w:t>
            </w:r>
          </w:p>
        </w:tc>
        <w:tc>
          <w:tcPr>
            <w:tcW w:w="252" w:type="pct"/>
            <w:tcBorders>
              <w:top w:val="single" w:sz="8" w:space="0" w:color="auto"/>
              <w:left w:val="nil"/>
              <w:bottom w:val="dotted" w:sz="4" w:space="0" w:color="auto"/>
              <w:right w:val="dotted" w:sz="4" w:space="0" w:color="auto"/>
            </w:tcBorders>
            <w:shd w:val="clear" w:color="D9E1F2" w:fill="203764"/>
            <w:vAlign w:val="center"/>
            <w:hideMark/>
          </w:tcPr>
          <w:p w14:paraId="55C6958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Agos</w:t>
            </w:r>
          </w:p>
        </w:tc>
        <w:tc>
          <w:tcPr>
            <w:tcW w:w="252" w:type="pct"/>
            <w:tcBorders>
              <w:top w:val="single" w:sz="8" w:space="0" w:color="auto"/>
              <w:left w:val="nil"/>
              <w:bottom w:val="dotted" w:sz="4" w:space="0" w:color="auto"/>
              <w:right w:val="dotted" w:sz="4" w:space="0" w:color="auto"/>
            </w:tcBorders>
            <w:shd w:val="clear" w:color="D9E1F2" w:fill="203764"/>
            <w:vAlign w:val="center"/>
            <w:hideMark/>
          </w:tcPr>
          <w:p w14:paraId="3E62EA81"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Set</w:t>
            </w:r>
          </w:p>
        </w:tc>
        <w:tc>
          <w:tcPr>
            <w:tcW w:w="252" w:type="pct"/>
            <w:tcBorders>
              <w:top w:val="single" w:sz="8" w:space="0" w:color="auto"/>
              <w:left w:val="nil"/>
              <w:bottom w:val="dotted" w:sz="4" w:space="0" w:color="auto"/>
              <w:right w:val="dotted" w:sz="4" w:space="0" w:color="auto"/>
            </w:tcBorders>
            <w:shd w:val="clear" w:color="D9E1F2" w:fill="203764"/>
            <w:vAlign w:val="center"/>
            <w:hideMark/>
          </w:tcPr>
          <w:p w14:paraId="73CB32D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Oct</w:t>
            </w:r>
          </w:p>
        </w:tc>
        <w:tc>
          <w:tcPr>
            <w:tcW w:w="252" w:type="pct"/>
            <w:tcBorders>
              <w:top w:val="single" w:sz="8" w:space="0" w:color="auto"/>
              <w:left w:val="nil"/>
              <w:bottom w:val="dotted" w:sz="4" w:space="0" w:color="auto"/>
              <w:right w:val="dotted" w:sz="4" w:space="0" w:color="auto"/>
            </w:tcBorders>
            <w:shd w:val="clear" w:color="D9E1F2" w:fill="203764"/>
            <w:vAlign w:val="center"/>
            <w:hideMark/>
          </w:tcPr>
          <w:p w14:paraId="556B9750"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Nov</w:t>
            </w:r>
          </w:p>
        </w:tc>
        <w:tc>
          <w:tcPr>
            <w:tcW w:w="252" w:type="pct"/>
            <w:tcBorders>
              <w:top w:val="single" w:sz="8" w:space="0" w:color="auto"/>
              <w:left w:val="nil"/>
              <w:bottom w:val="dotted" w:sz="4" w:space="0" w:color="auto"/>
              <w:right w:val="dotted" w:sz="4" w:space="0" w:color="auto"/>
            </w:tcBorders>
            <w:shd w:val="clear" w:color="D9E1F2" w:fill="203764"/>
            <w:vAlign w:val="center"/>
            <w:hideMark/>
          </w:tcPr>
          <w:p w14:paraId="1B98AD1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Dic</w:t>
            </w:r>
          </w:p>
        </w:tc>
        <w:tc>
          <w:tcPr>
            <w:tcW w:w="422" w:type="pct"/>
            <w:tcBorders>
              <w:top w:val="single" w:sz="8" w:space="0" w:color="auto"/>
              <w:left w:val="nil"/>
              <w:bottom w:val="dotted" w:sz="4" w:space="0" w:color="auto"/>
              <w:right w:val="single" w:sz="8" w:space="0" w:color="auto"/>
            </w:tcBorders>
            <w:shd w:val="clear" w:color="D9E1F2" w:fill="203764"/>
            <w:vAlign w:val="center"/>
            <w:hideMark/>
          </w:tcPr>
          <w:p w14:paraId="4B35C4D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Promedios mensuales</w:t>
            </w:r>
          </w:p>
        </w:tc>
      </w:tr>
      <w:tr w:rsidR="00CF7396" w:rsidRPr="00CF7396" w14:paraId="78983FB2" w14:textId="77777777" w:rsidTr="00AF369B">
        <w:trPr>
          <w:trHeight w:val="290"/>
        </w:trPr>
        <w:tc>
          <w:tcPr>
            <w:tcW w:w="561" w:type="pct"/>
            <w:vMerge w:val="restart"/>
            <w:tcBorders>
              <w:top w:val="nil"/>
              <w:left w:val="single" w:sz="8" w:space="0" w:color="auto"/>
              <w:bottom w:val="dotted" w:sz="4" w:space="0" w:color="auto"/>
              <w:right w:val="dotted" w:sz="4" w:space="0" w:color="auto"/>
            </w:tcBorders>
            <w:shd w:val="clear" w:color="000000" w:fill="D9E1F2"/>
            <w:vAlign w:val="center"/>
            <w:hideMark/>
          </w:tcPr>
          <w:p w14:paraId="4D76202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 xml:space="preserve">Juzgado Contravencional de </w:t>
            </w:r>
            <w:proofErr w:type="spellStart"/>
            <w:r w:rsidRPr="00CF7396">
              <w:rPr>
                <w:b/>
                <w:bCs/>
                <w:color w:val="000000" w:themeColor="text1"/>
                <w:lang w:val="es-CR" w:eastAsia="es-CR"/>
              </w:rPr>
              <w:t>Bribrí</w:t>
            </w:r>
            <w:proofErr w:type="spellEnd"/>
          </w:p>
        </w:tc>
        <w:tc>
          <w:tcPr>
            <w:tcW w:w="561" w:type="pct"/>
            <w:vMerge w:val="restart"/>
            <w:tcBorders>
              <w:top w:val="nil"/>
              <w:left w:val="dotted" w:sz="4" w:space="0" w:color="auto"/>
              <w:bottom w:val="dotted" w:sz="4" w:space="0" w:color="auto"/>
              <w:right w:val="dotted" w:sz="4" w:space="0" w:color="auto"/>
            </w:tcBorders>
            <w:shd w:val="clear" w:color="000000" w:fill="D9E1F2"/>
            <w:vAlign w:val="center"/>
            <w:hideMark/>
          </w:tcPr>
          <w:p w14:paraId="47BBA5A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Faltas y Contravenciones</w:t>
            </w:r>
          </w:p>
        </w:tc>
        <w:tc>
          <w:tcPr>
            <w:tcW w:w="432" w:type="pct"/>
            <w:tcBorders>
              <w:top w:val="nil"/>
              <w:left w:val="nil"/>
              <w:bottom w:val="dotted" w:sz="4" w:space="0" w:color="auto"/>
              <w:right w:val="dotted" w:sz="4" w:space="0" w:color="auto"/>
            </w:tcBorders>
            <w:shd w:val="clear" w:color="000000" w:fill="D9E1F2"/>
            <w:noWrap/>
            <w:vAlign w:val="bottom"/>
            <w:hideMark/>
          </w:tcPr>
          <w:p w14:paraId="04CF91D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Entrada</w:t>
            </w:r>
          </w:p>
        </w:tc>
        <w:tc>
          <w:tcPr>
            <w:tcW w:w="252" w:type="pct"/>
            <w:tcBorders>
              <w:top w:val="nil"/>
              <w:left w:val="nil"/>
              <w:bottom w:val="dotted" w:sz="4" w:space="0" w:color="auto"/>
              <w:right w:val="dotted" w:sz="4" w:space="0" w:color="auto"/>
            </w:tcBorders>
            <w:shd w:val="clear" w:color="000000" w:fill="D9E1F2"/>
            <w:noWrap/>
            <w:vAlign w:val="bottom"/>
            <w:hideMark/>
          </w:tcPr>
          <w:p w14:paraId="2A1B0DE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44</w:t>
            </w:r>
          </w:p>
        </w:tc>
        <w:tc>
          <w:tcPr>
            <w:tcW w:w="252" w:type="pct"/>
            <w:tcBorders>
              <w:top w:val="nil"/>
              <w:left w:val="nil"/>
              <w:bottom w:val="dotted" w:sz="4" w:space="0" w:color="auto"/>
              <w:right w:val="dotted" w:sz="4" w:space="0" w:color="auto"/>
            </w:tcBorders>
            <w:shd w:val="clear" w:color="000000" w:fill="D9E1F2"/>
            <w:noWrap/>
            <w:vAlign w:val="bottom"/>
            <w:hideMark/>
          </w:tcPr>
          <w:p w14:paraId="6AF1D34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45</w:t>
            </w:r>
          </w:p>
        </w:tc>
        <w:tc>
          <w:tcPr>
            <w:tcW w:w="252" w:type="pct"/>
            <w:tcBorders>
              <w:top w:val="nil"/>
              <w:left w:val="nil"/>
              <w:bottom w:val="dotted" w:sz="4" w:space="0" w:color="auto"/>
              <w:right w:val="dotted" w:sz="4" w:space="0" w:color="auto"/>
            </w:tcBorders>
            <w:shd w:val="clear" w:color="000000" w:fill="D9E1F2"/>
            <w:noWrap/>
            <w:vAlign w:val="bottom"/>
            <w:hideMark/>
          </w:tcPr>
          <w:p w14:paraId="5A431BA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38</w:t>
            </w:r>
          </w:p>
        </w:tc>
        <w:tc>
          <w:tcPr>
            <w:tcW w:w="252" w:type="pct"/>
            <w:tcBorders>
              <w:top w:val="nil"/>
              <w:left w:val="nil"/>
              <w:bottom w:val="dotted" w:sz="4" w:space="0" w:color="auto"/>
              <w:right w:val="dotted" w:sz="4" w:space="0" w:color="auto"/>
            </w:tcBorders>
            <w:shd w:val="clear" w:color="000000" w:fill="D9E1F2"/>
            <w:noWrap/>
            <w:vAlign w:val="bottom"/>
            <w:hideMark/>
          </w:tcPr>
          <w:p w14:paraId="5B883C1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44</w:t>
            </w:r>
          </w:p>
        </w:tc>
        <w:tc>
          <w:tcPr>
            <w:tcW w:w="252" w:type="pct"/>
            <w:tcBorders>
              <w:top w:val="nil"/>
              <w:left w:val="nil"/>
              <w:bottom w:val="dotted" w:sz="4" w:space="0" w:color="auto"/>
              <w:right w:val="dotted" w:sz="4" w:space="0" w:color="auto"/>
            </w:tcBorders>
            <w:shd w:val="clear" w:color="000000" w:fill="D9E1F2"/>
            <w:noWrap/>
            <w:vAlign w:val="bottom"/>
            <w:hideMark/>
          </w:tcPr>
          <w:p w14:paraId="1477271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39</w:t>
            </w:r>
          </w:p>
        </w:tc>
        <w:tc>
          <w:tcPr>
            <w:tcW w:w="252" w:type="pct"/>
            <w:tcBorders>
              <w:top w:val="nil"/>
              <w:left w:val="nil"/>
              <w:bottom w:val="dotted" w:sz="4" w:space="0" w:color="auto"/>
              <w:right w:val="dotted" w:sz="4" w:space="0" w:color="auto"/>
            </w:tcBorders>
            <w:shd w:val="clear" w:color="000000" w:fill="D9E1F2"/>
            <w:noWrap/>
            <w:vAlign w:val="bottom"/>
            <w:hideMark/>
          </w:tcPr>
          <w:p w14:paraId="3A22545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36</w:t>
            </w:r>
          </w:p>
        </w:tc>
        <w:tc>
          <w:tcPr>
            <w:tcW w:w="252" w:type="pct"/>
            <w:tcBorders>
              <w:top w:val="nil"/>
              <w:left w:val="nil"/>
              <w:bottom w:val="dotted" w:sz="4" w:space="0" w:color="auto"/>
              <w:right w:val="dotted" w:sz="4" w:space="0" w:color="auto"/>
            </w:tcBorders>
            <w:shd w:val="clear" w:color="000000" w:fill="D9E1F2"/>
            <w:noWrap/>
            <w:vAlign w:val="bottom"/>
            <w:hideMark/>
          </w:tcPr>
          <w:p w14:paraId="5209C0E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44</w:t>
            </w:r>
          </w:p>
        </w:tc>
        <w:tc>
          <w:tcPr>
            <w:tcW w:w="252" w:type="pct"/>
            <w:tcBorders>
              <w:top w:val="nil"/>
              <w:left w:val="nil"/>
              <w:bottom w:val="dotted" w:sz="4" w:space="0" w:color="auto"/>
              <w:right w:val="dotted" w:sz="4" w:space="0" w:color="auto"/>
            </w:tcBorders>
            <w:shd w:val="clear" w:color="000000" w:fill="D9E1F2"/>
            <w:noWrap/>
            <w:vAlign w:val="bottom"/>
            <w:hideMark/>
          </w:tcPr>
          <w:p w14:paraId="5B39519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35</w:t>
            </w:r>
          </w:p>
        </w:tc>
        <w:tc>
          <w:tcPr>
            <w:tcW w:w="252" w:type="pct"/>
            <w:tcBorders>
              <w:top w:val="nil"/>
              <w:left w:val="nil"/>
              <w:bottom w:val="dotted" w:sz="4" w:space="0" w:color="auto"/>
              <w:right w:val="dotted" w:sz="4" w:space="0" w:color="auto"/>
            </w:tcBorders>
            <w:shd w:val="clear" w:color="000000" w:fill="D9E1F2"/>
            <w:noWrap/>
            <w:vAlign w:val="bottom"/>
            <w:hideMark/>
          </w:tcPr>
          <w:p w14:paraId="40FB6C7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36</w:t>
            </w:r>
          </w:p>
        </w:tc>
        <w:tc>
          <w:tcPr>
            <w:tcW w:w="252" w:type="pct"/>
            <w:tcBorders>
              <w:top w:val="nil"/>
              <w:left w:val="nil"/>
              <w:bottom w:val="dotted" w:sz="4" w:space="0" w:color="auto"/>
              <w:right w:val="dotted" w:sz="4" w:space="0" w:color="auto"/>
            </w:tcBorders>
            <w:shd w:val="clear" w:color="000000" w:fill="D9E1F2"/>
            <w:noWrap/>
            <w:vAlign w:val="bottom"/>
            <w:hideMark/>
          </w:tcPr>
          <w:p w14:paraId="087BDE1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42</w:t>
            </w:r>
          </w:p>
        </w:tc>
        <w:tc>
          <w:tcPr>
            <w:tcW w:w="252" w:type="pct"/>
            <w:tcBorders>
              <w:top w:val="nil"/>
              <w:left w:val="nil"/>
              <w:bottom w:val="dotted" w:sz="4" w:space="0" w:color="auto"/>
              <w:right w:val="dotted" w:sz="4" w:space="0" w:color="auto"/>
            </w:tcBorders>
            <w:shd w:val="clear" w:color="000000" w:fill="D9E1F2"/>
            <w:noWrap/>
            <w:vAlign w:val="bottom"/>
            <w:hideMark/>
          </w:tcPr>
          <w:p w14:paraId="1303737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39</w:t>
            </w:r>
          </w:p>
        </w:tc>
        <w:tc>
          <w:tcPr>
            <w:tcW w:w="252" w:type="pct"/>
            <w:tcBorders>
              <w:top w:val="nil"/>
              <w:left w:val="nil"/>
              <w:bottom w:val="dotted" w:sz="4" w:space="0" w:color="auto"/>
              <w:right w:val="dotted" w:sz="4" w:space="0" w:color="auto"/>
            </w:tcBorders>
            <w:shd w:val="clear" w:color="000000" w:fill="D9E1F2"/>
            <w:noWrap/>
            <w:vAlign w:val="bottom"/>
            <w:hideMark/>
          </w:tcPr>
          <w:p w14:paraId="0672748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21</w:t>
            </w:r>
          </w:p>
        </w:tc>
        <w:tc>
          <w:tcPr>
            <w:tcW w:w="422" w:type="pct"/>
            <w:tcBorders>
              <w:top w:val="nil"/>
              <w:left w:val="nil"/>
              <w:bottom w:val="dotted" w:sz="4" w:space="0" w:color="auto"/>
              <w:right w:val="single" w:sz="8" w:space="0" w:color="auto"/>
            </w:tcBorders>
            <w:shd w:val="clear" w:color="000000" w:fill="D9E1F2"/>
            <w:noWrap/>
            <w:vAlign w:val="bottom"/>
            <w:hideMark/>
          </w:tcPr>
          <w:p w14:paraId="6FED2B0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40</w:t>
            </w:r>
          </w:p>
        </w:tc>
      </w:tr>
      <w:tr w:rsidR="00CF7396" w:rsidRPr="00CF7396" w14:paraId="5118BB6E"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03D08AA0"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7262D272"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D9E1F2"/>
            <w:noWrap/>
            <w:vAlign w:val="bottom"/>
            <w:hideMark/>
          </w:tcPr>
          <w:p w14:paraId="543053B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Terminados </w:t>
            </w:r>
          </w:p>
        </w:tc>
        <w:tc>
          <w:tcPr>
            <w:tcW w:w="252" w:type="pct"/>
            <w:tcBorders>
              <w:top w:val="nil"/>
              <w:left w:val="nil"/>
              <w:bottom w:val="dotted" w:sz="4" w:space="0" w:color="auto"/>
              <w:right w:val="dotted" w:sz="4" w:space="0" w:color="auto"/>
            </w:tcBorders>
            <w:shd w:val="clear" w:color="000000" w:fill="D9E1F2"/>
            <w:noWrap/>
            <w:vAlign w:val="bottom"/>
            <w:hideMark/>
          </w:tcPr>
          <w:p w14:paraId="5D07F6A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21</w:t>
            </w:r>
          </w:p>
        </w:tc>
        <w:tc>
          <w:tcPr>
            <w:tcW w:w="252" w:type="pct"/>
            <w:tcBorders>
              <w:top w:val="nil"/>
              <w:left w:val="nil"/>
              <w:bottom w:val="dotted" w:sz="4" w:space="0" w:color="auto"/>
              <w:right w:val="dotted" w:sz="4" w:space="0" w:color="auto"/>
            </w:tcBorders>
            <w:shd w:val="clear" w:color="000000" w:fill="D9E1F2"/>
            <w:noWrap/>
            <w:vAlign w:val="bottom"/>
            <w:hideMark/>
          </w:tcPr>
          <w:p w14:paraId="158D815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51</w:t>
            </w:r>
          </w:p>
        </w:tc>
        <w:tc>
          <w:tcPr>
            <w:tcW w:w="252" w:type="pct"/>
            <w:tcBorders>
              <w:top w:val="nil"/>
              <w:left w:val="nil"/>
              <w:bottom w:val="dotted" w:sz="4" w:space="0" w:color="auto"/>
              <w:right w:val="dotted" w:sz="4" w:space="0" w:color="auto"/>
            </w:tcBorders>
            <w:shd w:val="clear" w:color="000000" w:fill="D9E1F2"/>
            <w:noWrap/>
            <w:vAlign w:val="bottom"/>
            <w:hideMark/>
          </w:tcPr>
          <w:p w14:paraId="70A6B97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39</w:t>
            </w:r>
          </w:p>
        </w:tc>
        <w:tc>
          <w:tcPr>
            <w:tcW w:w="252" w:type="pct"/>
            <w:tcBorders>
              <w:top w:val="nil"/>
              <w:left w:val="nil"/>
              <w:bottom w:val="dotted" w:sz="4" w:space="0" w:color="auto"/>
              <w:right w:val="dotted" w:sz="4" w:space="0" w:color="auto"/>
            </w:tcBorders>
            <w:shd w:val="clear" w:color="000000" w:fill="D9E1F2"/>
            <w:noWrap/>
            <w:vAlign w:val="bottom"/>
            <w:hideMark/>
          </w:tcPr>
          <w:p w14:paraId="47252D0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30</w:t>
            </w:r>
          </w:p>
        </w:tc>
        <w:tc>
          <w:tcPr>
            <w:tcW w:w="252" w:type="pct"/>
            <w:tcBorders>
              <w:top w:val="nil"/>
              <w:left w:val="nil"/>
              <w:bottom w:val="dotted" w:sz="4" w:space="0" w:color="auto"/>
              <w:right w:val="dotted" w:sz="4" w:space="0" w:color="auto"/>
            </w:tcBorders>
            <w:shd w:val="clear" w:color="000000" w:fill="D9E1F2"/>
            <w:noWrap/>
            <w:vAlign w:val="bottom"/>
            <w:hideMark/>
          </w:tcPr>
          <w:p w14:paraId="783CF42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39</w:t>
            </w:r>
          </w:p>
        </w:tc>
        <w:tc>
          <w:tcPr>
            <w:tcW w:w="252" w:type="pct"/>
            <w:tcBorders>
              <w:top w:val="nil"/>
              <w:left w:val="nil"/>
              <w:bottom w:val="dotted" w:sz="4" w:space="0" w:color="auto"/>
              <w:right w:val="dotted" w:sz="4" w:space="0" w:color="auto"/>
            </w:tcBorders>
            <w:shd w:val="clear" w:color="000000" w:fill="D9E1F2"/>
            <w:noWrap/>
            <w:vAlign w:val="bottom"/>
            <w:hideMark/>
          </w:tcPr>
          <w:p w14:paraId="556F661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24</w:t>
            </w:r>
          </w:p>
        </w:tc>
        <w:tc>
          <w:tcPr>
            <w:tcW w:w="252" w:type="pct"/>
            <w:tcBorders>
              <w:top w:val="nil"/>
              <w:left w:val="nil"/>
              <w:bottom w:val="dotted" w:sz="4" w:space="0" w:color="auto"/>
              <w:right w:val="dotted" w:sz="4" w:space="0" w:color="auto"/>
            </w:tcBorders>
            <w:shd w:val="clear" w:color="000000" w:fill="D9E1F2"/>
            <w:noWrap/>
            <w:vAlign w:val="bottom"/>
            <w:hideMark/>
          </w:tcPr>
          <w:p w14:paraId="2DAD60B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47</w:t>
            </w:r>
          </w:p>
        </w:tc>
        <w:tc>
          <w:tcPr>
            <w:tcW w:w="252" w:type="pct"/>
            <w:tcBorders>
              <w:top w:val="nil"/>
              <w:left w:val="nil"/>
              <w:bottom w:val="dotted" w:sz="4" w:space="0" w:color="auto"/>
              <w:right w:val="dotted" w:sz="4" w:space="0" w:color="auto"/>
            </w:tcBorders>
            <w:shd w:val="clear" w:color="000000" w:fill="D9E1F2"/>
            <w:noWrap/>
            <w:vAlign w:val="bottom"/>
            <w:hideMark/>
          </w:tcPr>
          <w:p w14:paraId="6F653CA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38</w:t>
            </w:r>
          </w:p>
        </w:tc>
        <w:tc>
          <w:tcPr>
            <w:tcW w:w="252" w:type="pct"/>
            <w:tcBorders>
              <w:top w:val="nil"/>
              <w:left w:val="nil"/>
              <w:bottom w:val="dotted" w:sz="4" w:space="0" w:color="auto"/>
              <w:right w:val="dotted" w:sz="4" w:space="0" w:color="auto"/>
            </w:tcBorders>
            <w:shd w:val="clear" w:color="000000" w:fill="D9E1F2"/>
            <w:noWrap/>
            <w:vAlign w:val="bottom"/>
            <w:hideMark/>
          </w:tcPr>
          <w:p w14:paraId="19D5A90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29</w:t>
            </w:r>
          </w:p>
        </w:tc>
        <w:tc>
          <w:tcPr>
            <w:tcW w:w="252" w:type="pct"/>
            <w:tcBorders>
              <w:top w:val="nil"/>
              <w:left w:val="nil"/>
              <w:bottom w:val="dotted" w:sz="4" w:space="0" w:color="auto"/>
              <w:right w:val="dotted" w:sz="4" w:space="0" w:color="auto"/>
            </w:tcBorders>
            <w:shd w:val="clear" w:color="000000" w:fill="D9E1F2"/>
            <w:noWrap/>
            <w:vAlign w:val="bottom"/>
            <w:hideMark/>
          </w:tcPr>
          <w:p w14:paraId="34C1D52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49</w:t>
            </w:r>
          </w:p>
        </w:tc>
        <w:tc>
          <w:tcPr>
            <w:tcW w:w="252" w:type="pct"/>
            <w:tcBorders>
              <w:top w:val="nil"/>
              <w:left w:val="nil"/>
              <w:bottom w:val="dotted" w:sz="4" w:space="0" w:color="auto"/>
              <w:right w:val="dotted" w:sz="4" w:space="0" w:color="auto"/>
            </w:tcBorders>
            <w:shd w:val="clear" w:color="000000" w:fill="D9E1F2"/>
            <w:noWrap/>
            <w:vAlign w:val="bottom"/>
            <w:hideMark/>
          </w:tcPr>
          <w:p w14:paraId="0B1ACC5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37</w:t>
            </w:r>
          </w:p>
        </w:tc>
        <w:tc>
          <w:tcPr>
            <w:tcW w:w="252" w:type="pct"/>
            <w:tcBorders>
              <w:top w:val="nil"/>
              <w:left w:val="nil"/>
              <w:bottom w:val="dotted" w:sz="4" w:space="0" w:color="auto"/>
              <w:right w:val="dotted" w:sz="4" w:space="0" w:color="auto"/>
            </w:tcBorders>
            <w:shd w:val="clear" w:color="000000" w:fill="D9E1F2"/>
            <w:noWrap/>
            <w:vAlign w:val="bottom"/>
            <w:hideMark/>
          </w:tcPr>
          <w:p w14:paraId="1E1E5F5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33</w:t>
            </w:r>
          </w:p>
        </w:tc>
        <w:tc>
          <w:tcPr>
            <w:tcW w:w="422" w:type="pct"/>
            <w:tcBorders>
              <w:top w:val="nil"/>
              <w:left w:val="nil"/>
              <w:bottom w:val="dotted" w:sz="4" w:space="0" w:color="auto"/>
              <w:right w:val="single" w:sz="8" w:space="0" w:color="auto"/>
            </w:tcBorders>
            <w:shd w:val="clear" w:color="000000" w:fill="D9E1F2"/>
            <w:noWrap/>
            <w:vAlign w:val="bottom"/>
            <w:hideMark/>
          </w:tcPr>
          <w:p w14:paraId="0E3CE48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38</w:t>
            </w:r>
          </w:p>
        </w:tc>
      </w:tr>
      <w:tr w:rsidR="00CF7396" w:rsidRPr="00CF7396" w14:paraId="5AF86EA9"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3CDB4C5E"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440D9115"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D9E1F2"/>
            <w:noWrap/>
            <w:vAlign w:val="bottom"/>
            <w:hideMark/>
          </w:tcPr>
          <w:p w14:paraId="5783B1C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Circulante</w:t>
            </w:r>
          </w:p>
        </w:tc>
        <w:tc>
          <w:tcPr>
            <w:tcW w:w="252" w:type="pct"/>
            <w:tcBorders>
              <w:top w:val="nil"/>
              <w:left w:val="nil"/>
              <w:bottom w:val="dotted" w:sz="4" w:space="0" w:color="auto"/>
              <w:right w:val="dotted" w:sz="4" w:space="0" w:color="auto"/>
            </w:tcBorders>
            <w:shd w:val="clear" w:color="000000" w:fill="D9E1F2"/>
            <w:noWrap/>
            <w:vAlign w:val="bottom"/>
            <w:hideMark/>
          </w:tcPr>
          <w:p w14:paraId="7248601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213</w:t>
            </w:r>
          </w:p>
        </w:tc>
        <w:tc>
          <w:tcPr>
            <w:tcW w:w="252" w:type="pct"/>
            <w:tcBorders>
              <w:top w:val="nil"/>
              <w:left w:val="nil"/>
              <w:bottom w:val="dotted" w:sz="4" w:space="0" w:color="auto"/>
              <w:right w:val="dotted" w:sz="4" w:space="0" w:color="auto"/>
            </w:tcBorders>
            <w:shd w:val="clear" w:color="000000" w:fill="D9E1F2"/>
            <w:noWrap/>
            <w:vAlign w:val="bottom"/>
            <w:hideMark/>
          </w:tcPr>
          <w:p w14:paraId="5D9AED5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207</w:t>
            </w:r>
          </w:p>
        </w:tc>
        <w:tc>
          <w:tcPr>
            <w:tcW w:w="252" w:type="pct"/>
            <w:tcBorders>
              <w:top w:val="nil"/>
              <w:left w:val="nil"/>
              <w:bottom w:val="dotted" w:sz="4" w:space="0" w:color="auto"/>
              <w:right w:val="dotted" w:sz="4" w:space="0" w:color="auto"/>
            </w:tcBorders>
            <w:shd w:val="clear" w:color="000000" w:fill="D9E1F2"/>
            <w:noWrap/>
            <w:vAlign w:val="bottom"/>
            <w:hideMark/>
          </w:tcPr>
          <w:p w14:paraId="1B8F985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206</w:t>
            </w:r>
          </w:p>
        </w:tc>
        <w:tc>
          <w:tcPr>
            <w:tcW w:w="252" w:type="pct"/>
            <w:tcBorders>
              <w:top w:val="nil"/>
              <w:left w:val="nil"/>
              <w:bottom w:val="dotted" w:sz="4" w:space="0" w:color="auto"/>
              <w:right w:val="dotted" w:sz="4" w:space="0" w:color="auto"/>
            </w:tcBorders>
            <w:shd w:val="clear" w:color="000000" w:fill="D9E1F2"/>
            <w:noWrap/>
            <w:vAlign w:val="bottom"/>
            <w:hideMark/>
          </w:tcPr>
          <w:p w14:paraId="6ED41FD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220</w:t>
            </w:r>
          </w:p>
        </w:tc>
        <w:tc>
          <w:tcPr>
            <w:tcW w:w="252" w:type="pct"/>
            <w:tcBorders>
              <w:top w:val="nil"/>
              <w:left w:val="nil"/>
              <w:bottom w:val="dotted" w:sz="4" w:space="0" w:color="auto"/>
              <w:right w:val="dotted" w:sz="4" w:space="0" w:color="auto"/>
            </w:tcBorders>
            <w:shd w:val="clear" w:color="000000" w:fill="D9E1F2"/>
            <w:noWrap/>
            <w:vAlign w:val="bottom"/>
            <w:hideMark/>
          </w:tcPr>
          <w:p w14:paraId="5AD74E7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221</w:t>
            </w:r>
          </w:p>
        </w:tc>
        <w:tc>
          <w:tcPr>
            <w:tcW w:w="252" w:type="pct"/>
            <w:tcBorders>
              <w:top w:val="nil"/>
              <w:left w:val="nil"/>
              <w:bottom w:val="dotted" w:sz="4" w:space="0" w:color="auto"/>
              <w:right w:val="dotted" w:sz="4" w:space="0" w:color="auto"/>
            </w:tcBorders>
            <w:shd w:val="clear" w:color="000000" w:fill="D9E1F2"/>
            <w:noWrap/>
            <w:vAlign w:val="bottom"/>
            <w:hideMark/>
          </w:tcPr>
          <w:p w14:paraId="10E9AB0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233</w:t>
            </w:r>
          </w:p>
        </w:tc>
        <w:tc>
          <w:tcPr>
            <w:tcW w:w="252" w:type="pct"/>
            <w:tcBorders>
              <w:top w:val="nil"/>
              <w:left w:val="nil"/>
              <w:bottom w:val="dotted" w:sz="4" w:space="0" w:color="auto"/>
              <w:right w:val="dotted" w:sz="4" w:space="0" w:color="auto"/>
            </w:tcBorders>
            <w:shd w:val="clear" w:color="000000" w:fill="D9E1F2"/>
            <w:noWrap/>
            <w:vAlign w:val="bottom"/>
            <w:hideMark/>
          </w:tcPr>
          <w:p w14:paraId="6F5230A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230</w:t>
            </w:r>
          </w:p>
        </w:tc>
        <w:tc>
          <w:tcPr>
            <w:tcW w:w="252" w:type="pct"/>
            <w:tcBorders>
              <w:top w:val="nil"/>
              <w:left w:val="nil"/>
              <w:bottom w:val="dotted" w:sz="4" w:space="0" w:color="auto"/>
              <w:right w:val="dotted" w:sz="4" w:space="0" w:color="auto"/>
            </w:tcBorders>
            <w:shd w:val="clear" w:color="000000" w:fill="D9E1F2"/>
            <w:noWrap/>
            <w:vAlign w:val="bottom"/>
            <w:hideMark/>
          </w:tcPr>
          <w:p w14:paraId="3F21A16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228</w:t>
            </w:r>
          </w:p>
        </w:tc>
        <w:tc>
          <w:tcPr>
            <w:tcW w:w="252" w:type="pct"/>
            <w:tcBorders>
              <w:top w:val="nil"/>
              <w:left w:val="nil"/>
              <w:bottom w:val="dotted" w:sz="4" w:space="0" w:color="auto"/>
              <w:right w:val="dotted" w:sz="4" w:space="0" w:color="auto"/>
            </w:tcBorders>
            <w:shd w:val="clear" w:color="000000" w:fill="D9E1F2"/>
            <w:noWrap/>
            <w:vAlign w:val="bottom"/>
            <w:hideMark/>
          </w:tcPr>
          <w:p w14:paraId="083AD14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235</w:t>
            </w:r>
          </w:p>
        </w:tc>
        <w:tc>
          <w:tcPr>
            <w:tcW w:w="252" w:type="pct"/>
            <w:tcBorders>
              <w:top w:val="nil"/>
              <w:left w:val="nil"/>
              <w:bottom w:val="dotted" w:sz="4" w:space="0" w:color="auto"/>
              <w:right w:val="dotted" w:sz="4" w:space="0" w:color="auto"/>
            </w:tcBorders>
            <w:shd w:val="clear" w:color="000000" w:fill="D9E1F2"/>
            <w:noWrap/>
            <w:vAlign w:val="bottom"/>
            <w:hideMark/>
          </w:tcPr>
          <w:p w14:paraId="537C56B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228</w:t>
            </w:r>
          </w:p>
        </w:tc>
        <w:tc>
          <w:tcPr>
            <w:tcW w:w="252" w:type="pct"/>
            <w:tcBorders>
              <w:top w:val="nil"/>
              <w:left w:val="nil"/>
              <w:bottom w:val="dotted" w:sz="4" w:space="0" w:color="auto"/>
              <w:right w:val="dotted" w:sz="4" w:space="0" w:color="auto"/>
            </w:tcBorders>
            <w:shd w:val="clear" w:color="000000" w:fill="D9E1F2"/>
            <w:noWrap/>
            <w:vAlign w:val="bottom"/>
            <w:hideMark/>
          </w:tcPr>
          <w:p w14:paraId="6418230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230</w:t>
            </w:r>
          </w:p>
        </w:tc>
        <w:tc>
          <w:tcPr>
            <w:tcW w:w="252" w:type="pct"/>
            <w:tcBorders>
              <w:top w:val="nil"/>
              <w:left w:val="nil"/>
              <w:bottom w:val="dotted" w:sz="4" w:space="0" w:color="auto"/>
              <w:right w:val="dotted" w:sz="4" w:space="0" w:color="auto"/>
            </w:tcBorders>
            <w:shd w:val="clear" w:color="000000" w:fill="D9E1F2"/>
            <w:noWrap/>
            <w:vAlign w:val="bottom"/>
            <w:hideMark/>
          </w:tcPr>
          <w:p w14:paraId="0D043D8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218</w:t>
            </w:r>
          </w:p>
        </w:tc>
        <w:tc>
          <w:tcPr>
            <w:tcW w:w="422" w:type="pct"/>
            <w:tcBorders>
              <w:top w:val="nil"/>
              <w:left w:val="nil"/>
              <w:bottom w:val="dotted" w:sz="4" w:space="0" w:color="auto"/>
              <w:right w:val="single" w:sz="8" w:space="0" w:color="auto"/>
            </w:tcBorders>
            <w:shd w:val="clear" w:color="000000" w:fill="808080"/>
            <w:noWrap/>
            <w:vAlign w:val="bottom"/>
            <w:hideMark/>
          </w:tcPr>
          <w:p w14:paraId="76BA0FA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w:t>
            </w:r>
          </w:p>
        </w:tc>
      </w:tr>
      <w:tr w:rsidR="00CF7396" w:rsidRPr="00CF7396" w14:paraId="40C1387C"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07BA2B54" w14:textId="77777777" w:rsidR="00CF7396" w:rsidRPr="00CF7396" w:rsidRDefault="00CF7396" w:rsidP="00CF7396">
            <w:pPr>
              <w:rPr>
                <w:b/>
                <w:bCs/>
                <w:color w:val="000000" w:themeColor="text1"/>
                <w:lang w:val="es-CR" w:eastAsia="es-CR"/>
              </w:rPr>
            </w:pPr>
          </w:p>
        </w:tc>
        <w:tc>
          <w:tcPr>
            <w:tcW w:w="561" w:type="pct"/>
            <w:vMerge w:val="restart"/>
            <w:tcBorders>
              <w:top w:val="nil"/>
              <w:left w:val="dotted" w:sz="4" w:space="0" w:color="auto"/>
              <w:bottom w:val="dotted" w:sz="4" w:space="0" w:color="auto"/>
              <w:right w:val="dotted" w:sz="4" w:space="0" w:color="auto"/>
            </w:tcBorders>
            <w:shd w:val="clear" w:color="000000" w:fill="D9E1F2"/>
            <w:vAlign w:val="center"/>
            <w:hideMark/>
          </w:tcPr>
          <w:p w14:paraId="0C1CF881"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Laboral</w:t>
            </w:r>
          </w:p>
        </w:tc>
        <w:tc>
          <w:tcPr>
            <w:tcW w:w="432" w:type="pct"/>
            <w:tcBorders>
              <w:top w:val="nil"/>
              <w:left w:val="nil"/>
              <w:bottom w:val="dotted" w:sz="4" w:space="0" w:color="auto"/>
              <w:right w:val="dotted" w:sz="4" w:space="0" w:color="auto"/>
            </w:tcBorders>
            <w:shd w:val="clear" w:color="000000" w:fill="D9E1F2"/>
            <w:noWrap/>
            <w:vAlign w:val="bottom"/>
            <w:hideMark/>
          </w:tcPr>
          <w:p w14:paraId="4E762F2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Entrada</w:t>
            </w:r>
          </w:p>
        </w:tc>
        <w:tc>
          <w:tcPr>
            <w:tcW w:w="252" w:type="pct"/>
            <w:tcBorders>
              <w:top w:val="nil"/>
              <w:left w:val="nil"/>
              <w:bottom w:val="dotted" w:sz="4" w:space="0" w:color="auto"/>
              <w:right w:val="dotted" w:sz="4" w:space="0" w:color="auto"/>
            </w:tcBorders>
            <w:shd w:val="clear" w:color="000000" w:fill="D9E1F2"/>
            <w:noWrap/>
            <w:vAlign w:val="bottom"/>
            <w:hideMark/>
          </w:tcPr>
          <w:p w14:paraId="26FCA1A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w:t>
            </w:r>
          </w:p>
        </w:tc>
        <w:tc>
          <w:tcPr>
            <w:tcW w:w="252" w:type="pct"/>
            <w:tcBorders>
              <w:top w:val="nil"/>
              <w:left w:val="nil"/>
              <w:bottom w:val="dotted" w:sz="4" w:space="0" w:color="auto"/>
              <w:right w:val="dotted" w:sz="4" w:space="0" w:color="auto"/>
            </w:tcBorders>
            <w:shd w:val="clear" w:color="000000" w:fill="D9E1F2"/>
            <w:noWrap/>
            <w:vAlign w:val="bottom"/>
            <w:hideMark/>
          </w:tcPr>
          <w:p w14:paraId="44D3128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w:t>
            </w:r>
          </w:p>
        </w:tc>
        <w:tc>
          <w:tcPr>
            <w:tcW w:w="252" w:type="pct"/>
            <w:tcBorders>
              <w:top w:val="nil"/>
              <w:left w:val="nil"/>
              <w:bottom w:val="dotted" w:sz="4" w:space="0" w:color="auto"/>
              <w:right w:val="dotted" w:sz="4" w:space="0" w:color="auto"/>
            </w:tcBorders>
            <w:shd w:val="clear" w:color="000000" w:fill="D9E1F2"/>
            <w:noWrap/>
            <w:vAlign w:val="bottom"/>
            <w:hideMark/>
          </w:tcPr>
          <w:p w14:paraId="707ADD7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w:t>
            </w:r>
          </w:p>
        </w:tc>
        <w:tc>
          <w:tcPr>
            <w:tcW w:w="252" w:type="pct"/>
            <w:tcBorders>
              <w:top w:val="nil"/>
              <w:left w:val="nil"/>
              <w:bottom w:val="dotted" w:sz="4" w:space="0" w:color="auto"/>
              <w:right w:val="dotted" w:sz="4" w:space="0" w:color="auto"/>
            </w:tcBorders>
            <w:shd w:val="clear" w:color="000000" w:fill="D9E1F2"/>
            <w:noWrap/>
            <w:vAlign w:val="bottom"/>
            <w:hideMark/>
          </w:tcPr>
          <w:p w14:paraId="348E49C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w:t>
            </w:r>
          </w:p>
        </w:tc>
        <w:tc>
          <w:tcPr>
            <w:tcW w:w="252" w:type="pct"/>
            <w:tcBorders>
              <w:top w:val="nil"/>
              <w:left w:val="nil"/>
              <w:bottom w:val="dotted" w:sz="4" w:space="0" w:color="auto"/>
              <w:right w:val="dotted" w:sz="4" w:space="0" w:color="auto"/>
            </w:tcBorders>
            <w:shd w:val="clear" w:color="000000" w:fill="D9E1F2"/>
            <w:noWrap/>
            <w:vAlign w:val="bottom"/>
            <w:hideMark/>
          </w:tcPr>
          <w:p w14:paraId="51B1891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w:t>
            </w:r>
          </w:p>
        </w:tc>
        <w:tc>
          <w:tcPr>
            <w:tcW w:w="252" w:type="pct"/>
            <w:tcBorders>
              <w:top w:val="nil"/>
              <w:left w:val="nil"/>
              <w:bottom w:val="dotted" w:sz="4" w:space="0" w:color="auto"/>
              <w:right w:val="dotted" w:sz="4" w:space="0" w:color="auto"/>
            </w:tcBorders>
            <w:shd w:val="clear" w:color="000000" w:fill="D9E1F2"/>
            <w:noWrap/>
            <w:vAlign w:val="bottom"/>
            <w:hideMark/>
          </w:tcPr>
          <w:p w14:paraId="22E55F3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w:t>
            </w:r>
          </w:p>
        </w:tc>
        <w:tc>
          <w:tcPr>
            <w:tcW w:w="252" w:type="pct"/>
            <w:tcBorders>
              <w:top w:val="nil"/>
              <w:left w:val="nil"/>
              <w:bottom w:val="dotted" w:sz="4" w:space="0" w:color="auto"/>
              <w:right w:val="dotted" w:sz="4" w:space="0" w:color="auto"/>
            </w:tcBorders>
            <w:shd w:val="clear" w:color="000000" w:fill="D9E1F2"/>
            <w:noWrap/>
            <w:vAlign w:val="bottom"/>
            <w:hideMark/>
          </w:tcPr>
          <w:p w14:paraId="5481D63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w:t>
            </w:r>
          </w:p>
        </w:tc>
        <w:tc>
          <w:tcPr>
            <w:tcW w:w="252" w:type="pct"/>
            <w:tcBorders>
              <w:top w:val="nil"/>
              <w:left w:val="nil"/>
              <w:bottom w:val="dotted" w:sz="4" w:space="0" w:color="auto"/>
              <w:right w:val="dotted" w:sz="4" w:space="0" w:color="auto"/>
            </w:tcBorders>
            <w:shd w:val="clear" w:color="000000" w:fill="D9E1F2"/>
            <w:noWrap/>
            <w:vAlign w:val="bottom"/>
            <w:hideMark/>
          </w:tcPr>
          <w:p w14:paraId="14038F5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w:t>
            </w:r>
          </w:p>
        </w:tc>
        <w:tc>
          <w:tcPr>
            <w:tcW w:w="252" w:type="pct"/>
            <w:tcBorders>
              <w:top w:val="nil"/>
              <w:left w:val="nil"/>
              <w:bottom w:val="dotted" w:sz="4" w:space="0" w:color="auto"/>
              <w:right w:val="dotted" w:sz="4" w:space="0" w:color="auto"/>
            </w:tcBorders>
            <w:shd w:val="clear" w:color="000000" w:fill="D9E1F2"/>
            <w:noWrap/>
            <w:vAlign w:val="bottom"/>
            <w:hideMark/>
          </w:tcPr>
          <w:p w14:paraId="679DC4A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w:t>
            </w:r>
          </w:p>
        </w:tc>
        <w:tc>
          <w:tcPr>
            <w:tcW w:w="252" w:type="pct"/>
            <w:tcBorders>
              <w:top w:val="nil"/>
              <w:left w:val="nil"/>
              <w:bottom w:val="dotted" w:sz="4" w:space="0" w:color="auto"/>
              <w:right w:val="dotted" w:sz="4" w:space="0" w:color="auto"/>
            </w:tcBorders>
            <w:shd w:val="clear" w:color="000000" w:fill="D9E1F2"/>
            <w:noWrap/>
            <w:vAlign w:val="bottom"/>
            <w:hideMark/>
          </w:tcPr>
          <w:p w14:paraId="2A8E3DA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w:t>
            </w:r>
          </w:p>
        </w:tc>
        <w:tc>
          <w:tcPr>
            <w:tcW w:w="252" w:type="pct"/>
            <w:tcBorders>
              <w:top w:val="nil"/>
              <w:left w:val="nil"/>
              <w:bottom w:val="dotted" w:sz="4" w:space="0" w:color="auto"/>
              <w:right w:val="dotted" w:sz="4" w:space="0" w:color="auto"/>
            </w:tcBorders>
            <w:shd w:val="clear" w:color="000000" w:fill="D9E1F2"/>
            <w:noWrap/>
            <w:vAlign w:val="bottom"/>
            <w:hideMark/>
          </w:tcPr>
          <w:p w14:paraId="2DDFA9E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w:t>
            </w:r>
          </w:p>
        </w:tc>
        <w:tc>
          <w:tcPr>
            <w:tcW w:w="252" w:type="pct"/>
            <w:tcBorders>
              <w:top w:val="nil"/>
              <w:left w:val="nil"/>
              <w:bottom w:val="dotted" w:sz="4" w:space="0" w:color="auto"/>
              <w:right w:val="dotted" w:sz="4" w:space="0" w:color="auto"/>
            </w:tcBorders>
            <w:shd w:val="clear" w:color="000000" w:fill="D9E1F2"/>
            <w:noWrap/>
            <w:vAlign w:val="bottom"/>
            <w:hideMark/>
          </w:tcPr>
          <w:p w14:paraId="7885B6E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w:t>
            </w:r>
          </w:p>
        </w:tc>
        <w:tc>
          <w:tcPr>
            <w:tcW w:w="422" w:type="pct"/>
            <w:tcBorders>
              <w:top w:val="nil"/>
              <w:left w:val="nil"/>
              <w:bottom w:val="dotted" w:sz="4" w:space="0" w:color="auto"/>
              <w:right w:val="single" w:sz="8" w:space="0" w:color="auto"/>
            </w:tcBorders>
            <w:shd w:val="clear" w:color="000000" w:fill="D9E1F2"/>
            <w:noWrap/>
            <w:vAlign w:val="bottom"/>
            <w:hideMark/>
          </w:tcPr>
          <w:p w14:paraId="3CC7317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w:t>
            </w:r>
          </w:p>
        </w:tc>
      </w:tr>
      <w:tr w:rsidR="00CF7396" w:rsidRPr="00CF7396" w14:paraId="687549B3"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4FA0C4DD"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65AD27A0"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D9E1F2"/>
            <w:noWrap/>
            <w:vAlign w:val="bottom"/>
            <w:hideMark/>
          </w:tcPr>
          <w:p w14:paraId="3ED6210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Terminados </w:t>
            </w:r>
          </w:p>
        </w:tc>
        <w:tc>
          <w:tcPr>
            <w:tcW w:w="252" w:type="pct"/>
            <w:tcBorders>
              <w:top w:val="nil"/>
              <w:left w:val="nil"/>
              <w:bottom w:val="dotted" w:sz="4" w:space="0" w:color="auto"/>
              <w:right w:val="dotted" w:sz="4" w:space="0" w:color="auto"/>
            </w:tcBorders>
            <w:shd w:val="clear" w:color="000000" w:fill="D9E1F2"/>
            <w:noWrap/>
            <w:vAlign w:val="bottom"/>
            <w:hideMark/>
          </w:tcPr>
          <w:p w14:paraId="37BF008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w:t>
            </w:r>
          </w:p>
        </w:tc>
        <w:tc>
          <w:tcPr>
            <w:tcW w:w="252" w:type="pct"/>
            <w:tcBorders>
              <w:top w:val="nil"/>
              <w:left w:val="nil"/>
              <w:bottom w:val="dotted" w:sz="4" w:space="0" w:color="auto"/>
              <w:right w:val="dotted" w:sz="4" w:space="0" w:color="auto"/>
            </w:tcBorders>
            <w:shd w:val="clear" w:color="000000" w:fill="D9E1F2"/>
            <w:noWrap/>
            <w:vAlign w:val="bottom"/>
            <w:hideMark/>
          </w:tcPr>
          <w:p w14:paraId="35854C0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w:t>
            </w:r>
          </w:p>
        </w:tc>
        <w:tc>
          <w:tcPr>
            <w:tcW w:w="252" w:type="pct"/>
            <w:tcBorders>
              <w:top w:val="nil"/>
              <w:left w:val="nil"/>
              <w:bottom w:val="dotted" w:sz="4" w:space="0" w:color="auto"/>
              <w:right w:val="dotted" w:sz="4" w:space="0" w:color="auto"/>
            </w:tcBorders>
            <w:shd w:val="clear" w:color="000000" w:fill="D9E1F2"/>
            <w:noWrap/>
            <w:vAlign w:val="bottom"/>
            <w:hideMark/>
          </w:tcPr>
          <w:p w14:paraId="55C3BAA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w:t>
            </w:r>
          </w:p>
        </w:tc>
        <w:tc>
          <w:tcPr>
            <w:tcW w:w="252" w:type="pct"/>
            <w:tcBorders>
              <w:top w:val="nil"/>
              <w:left w:val="nil"/>
              <w:bottom w:val="dotted" w:sz="4" w:space="0" w:color="auto"/>
              <w:right w:val="dotted" w:sz="4" w:space="0" w:color="auto"/>
            </w:tcBorders>
            <w:shd w:val="clear" w:color="000000" w:fill="D9E1F2"/>
            <w:noWrap/>
            <w:vAlign w:val="bottom"/>
            <w:hideMark/>
          </w:tcPr>
          <w:p w14:paraId="50DDA03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w:t>
            </w:r>
          </w:p>
        </w:tc>
        <w:tc>
          <w:tcPr>
            <w:tcW w:w="252" w:type="pct"/>
            <w:tcBorders>
              <w:top w:val="nil"/>
              <w:left w:val="nil"/>
              <w:bottom w:val="dotted" w:sz="4" w:space="0" w:color="auto"/>
              <w:right w:val="dotted" w:sz="4" w:space="0" w:color="auto"/>
            </w:tcBorders>
            <w:shd w:val="clear" w:color="000000" w:fill="D9E1F2"/>
            <w:noWrap/>
            <w:vAlign w:val="bottom"/>
            <w:hideMark/>
          </w:tcPr>
          <w:p w14:paraId="61594E1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w:t>
            </w:r>
          </w:p>
        </w:tc>
        <w:tc>
          <w:tcPr>
            <w:tcW w:w="252" w:type="pct"/>
            <w:tcBorders>
              <w:top w:val="nil"/>
              <w:left w:val="nil"/>
              <w:bottom w:val="dotted" w:sz="4" w:space="0" w:color="auto"/>
              <w:right w:val="dotted" w:sz="4" w:space="0" w:color="auto"/>
            </w:tcBorders>
            <w:shd w:val="clear" w:color="000000" w:fill="D9E1F2"/>
            <w:noWrap/>
            <w:vAlign w:val="bottom"/>
            <w:hideMark/>
          </w:tcPr>
          <w:p w14:paraId="3A1624A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w:t>
            </w:r>
          </w:p>
        </w:tc>
        <w:tc>
          <w:tcPr>
            <w:tcW w:w="252" w:type="pct"/>
            <w:tcBorders>
              <w:top w:val="nil"/>
              <w:left w:val="nil"/>
              <w:bottom w:val="dotted" w:sz="4" w:space="0" w:color="auto"/>
              <w:right w:val="dotted" w:sz="4" w:space="0" w:color="auto"/>
            </w:tcBorders>
            <w:shd w:val="clear" w:color="000000" w:fill="D9E1F2"/>
            <w:noWrap/>
            <w:vAlign w:val="bottom"/>
            <w:hideMark/>
          </w:tcPr>
          <w:p w14:paraId="7E88A8A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w:t>
            </w:r>
          </w:p>
        </w:tc>
        <w:tc>
          <w:tcPr>
            <w:tcW w:w="252" w:type="pct"/>
            <w:tcBorders>
              <w:top w:val="nil"/>
              <w:left w:val="nil"/>
              <w:bottom w:val="dotted" w:sz="4" w:space="0" w:color="auto"/>
              <w:right w:val="dotted" w:sz="4" w:space="0" w:color="auto"/>
            </w:tcBorders>
            <w:shd w:val="clear" w:color="000000" w:fill="D9E1F2"/>
            <w:noWrap/>
            <w:vAlign w:val="bottom"/>
            <w:hideMark/>
          </w:tcPr>
          <w:p w14:paraId="5BBBF3C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w:t>
            </w:r>
          </w:p>
        </w:tc>
        <w:tc>
          <w:tcPr>
            <w:tcW w:w="252" w:type="pct"/>
            <w:tcBorders>
              <w:top w:val="nil"/>
              <w:left w:val="nil"/>
              <w:bottom w:val="dotted" w:sz="4" w:space="0" w:color="auto"/>
              <w:right w:val="dotted" w:sz="4" w:space="0" w:color="auto"/>
            </w:tcBorders>
            <w:shd w:val="clear" w:color="000000" w:fill="D9E1F2"/>
            <w:noWrap/>
            <w:vAlign w:val="bottom"/>
            <w:hideMark/>
          </w:tcPr>
          <w:p w14:paraId="5483E7B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w:t>
            </w:r>
          </w:p>
        </w:tc>
        <w:tc>
          <w:tcPr>
            <w:tcW w:w="252" w:type="pct"/>
            <w:tcBorders>
              <w:top w:val="nil"/>
              <w:left w:val="nil"/>
              <w:bottom w:val="dotted" w:sz="4" w:space="0" w:color="auto"/>
              <w:right w:val="dotted" w:sz="4" w:space="0" w:color="auto"/>
            </w:tcBorders>
            <w:shd w:val="clear" w:color="000000" w:fill="D9E1F2"/>
            <w:noWrap/>
            <w:vAlign w:val="bottom"/>
            <w:hideMark/>
          </w:tcPr>
          <w:p w14:paraId="635E44A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w:t>
            </w:r>
          </w:p>
        </w:tc>
        <w:tc>
          <w:tcPr>
            <w:tcW w:w="252" w:type="pct"/>
            <w:tcBorders>
              <w:top w:val="nil"/>
              <w:left w:val="nil"/>
              <w:bottom w:val="dotted" w:sz="4" w:space="0" w:color="auto"/>
              <w:right w:val="dotted" w:sz="4" w:space="0" w:color="auto"/>
            </w:tcBorders>
            <w:shd w:val="clear" w:color="000000" w:fill="D9E1F2"/>
            <w:noWrap/>
            <w:vAlign w:val="bottom"/>
            <w:hideMark/>
          </w:tcPr>
          <w:p w14:paraId="327DAD3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w:t>
            </w:r>
          </w:p>
        </w:tc>
        <w:tc>
          <w:tcPr>
            <w:tcW w:w="252" w:type="pct"/>
            <w:tcBorders>
              <w:top w:val="nil"/>
              <w:left w:val="nil"/>
              <w:bottom w:val="dotted" w:sz="4" w:space="0" w:color="auto"/>
              <w:right w:val="dotted" w:sz="4" w:space="0" w:color="auto"/>
            </w:tcBorders>
            <w:shd w:val="clear" w:color="000000" w:fill="D9E1F2"/>
            <w:noWrap/>
            <w:vAlign w:val="bottom"/>
            <w:hideMark/>
          </w:tcPr>
          <w:p w14:paraId="1A69EC7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w:t>
            </w:r>
          </w:p>
        </w:tc>
        <w:tc>
          <w:tcPr>
            <w:tcW w:w="422" w:type="pct"/>
            <w:tcBorders>
              <w:top w:val="nil"/>
              <w:left w:val="nil"/>
              <w:bottom w:val="dotted" w:sz="4" w:space="0" w:color="auto"/>
              <w:right w:val="single" w:sz="8" w:space="0" w:color="auto"/>
            </w:tcBorders>
            <w:shd w:val="clear" w:color="000000" w:fill="D9E1F2"/>
            <w:noWrap/>
            <w:vAlign w:val="bottom"/>
            <w:hideMark/>
          </w:tcPr>
          <w:p w14:paraId="6CA09B5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w:t>
            </w:r>
          </w:p>
        </w:tc>
      </w:tr>
      <w:tr w:rsidR="00CF7396" w:rsidRPr="00CF7396" w14:paraId="51B1591D"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76994F3C"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7281B09F"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D9E1F2"/>
            <w:noWrap/>
            <w:vAlign w:val="bottom"/>
            <w:hideMark/>
          </w:tcPr>
          <w:p w14:paraId="7461BF7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Circulante</w:t>
            </w:r>
          </w:p>
        </w:tc>
        <w:tc>
          <w:tcPr>
            <w:tcW w:w="252" w:type="pct"/>
            <w:tcBorders>
              <w:top w:val="nil"/>
              <w:left w:val="nil"/>
              <w:bottom w:val="dotted" w:sz="4" w:space="0" w:color="auto"/>
              <w:right w:val="dotted" w:sz="4" w:space="0" w:color="auto"/>
            </w:tcBorders>
            <w:shd w:val="clear" w:color="000000" w:fill="D9E1F2"/>
            <w:noWrap/>
            <w:vAlign w:val="bottom"/>
            <w:hideMark/>
          </w:tcPr>
          <w:p w14:paraId="64FB343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167</w:t>
            </w:r>
          </w:p>
        </w:tc>
        <w:tc>
          <w:tcPr>
            <w:tcW w:w="252" w:type="pct"/>
            <w:tcBorders>
              <w:top w:val="nil"/>
              <w:left w:val="nil"/>
              <w:bottom w:val="dotted" w:sz="4" w:space="0" w:color="auto"/>
              <w:right w:val="dotted" w:sz="4" w:space="0" w:color="auto"/>
            </w:tcBorders>
            <w:shd w:val="clear" w:color="000000" w:fill="D9E1F2"/>
            <w:noWrap/>
            <w:vAlign w:val="bottom"/>
            <w:hideMark/>
          </w:tcPr>
          <w:p w14:paraId="140FD35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161</w:t>
            </w:r>
          </w:p>
        </w:tc>
        <w:tc>
          <w:tcPr>
            <w:tcW w:w="252" w:type="pct"/>
            <w:tcBorders>
              <w:top w:val="nil"/>
              <w:left w:val="nil"/>
              <w:bottom w:val="dotted" w:sz="4" w:space="0" w:color="auto"/>
              <w:right w:val="dotted" w:sz="4" w:space="0" w:color="auto"/>
            </w:tcBorders>
            <w:shd w:val="clear" w:color="000000" w:fill="D9E1F2"/>
            <w:noWrap/>
            <w:vAlign w:val="bottom"/>
            <w:hideMark/>
          </w:tcPr>
          <w:p w14:paraId="3E2A850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162</w:t>
            </w:r>
          </w:p>
        </w:tc>
        <w:tc>
          <w:tcPr>
            <w:tcW w:w="252" w:type="pct"/>
            <w:tcBorders>
              <w:top w:val="nil"/>
              <w:left w:val="nil"/>
              <w:bottom w:val="dotted" w:sz="4" w:space="0" w:color="auto"/>
              <w:right w:val="dotted" w:sz="4" w:space="0" w:color="auto"/>
            </w:tcBorders>
            <w:shd w:val="clear" w:color="000000" w:fill="D9E1F2"/>
            <w:noWrap/>
            <w:vAlign w:val="bottom"/>
            <w:hideMark/>
          </w:tcPr>
          <w:p w14:paraId="003DEC4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161</w:t>
            </w:r>
          </w:p>
        </w:tc>
        <w:tc>
          <w:tcPr>
            <w:tcW w:w="252" w:type="pct"/>
            <w:tcBorders>
              <w:top w:val="nil"/>
              <w:left w:val="nil"/>
              <w:bottom w:val="dotted" w:sz="4" w:space="0" w:color="auto"/>
              <w:right w:val="dotted" w:sz="4" w:space="0" w:color="auto"/>
            </w:tcBorders>
            <w:shd w:val="clear" w:color="000000" w:fill="D9E1F2"/>
            <w:noWrap/>
            <w:vAlign w:val="bottom"/>
            <w:hideMark/>
          </w:tcPr>
          <w:p w14:paraId="629F3DD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161</w:t>
            </w:r>
          </w:p>
        </w:tc>
        <w:tc>
          <w:tcPr>
            <w:tcW w:w="252" w:type="pct"/>
            <w:tcBorders>
              <w:top w:val="nil"/>
              <w:left w:val="nil"/>
              <w:bottom w:val="dotted" w:sz="4" w:space="0" w:color="auto"/>
              <w:right w:val="dotted" w:sz="4" w:space="0" w:color="auto"/>
            </w:tcBorders>
            <w:shd w:val="clear" w:color="000000" w:fill="D9E1F2"/>
            <w:noWrap/>
            <w:vAlign w:val="bottom"/>
            <w:hideMark/>
          </w:tcPr>
          <w:p w14:paraId="1214EC6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156</w:t>
            </w:r>
          </w:p>
        </w:tc>
        <w:tc>
          <w:tcPr>
            <w:tcW w:w="252" w:type="pct"/>
            <w:tcBorders>
              <w:top w:val="nil"/>
              <w:left w:val="nil"/>
              <w:bottom w:val="dotted" w:sz="4" w:space="0" w:color="auto"/>
              <w:right w:val="dotted" w:sz="4" w:space="0" w:color="auto"/>
            </w:tcBorders>
            <w:shd w:val="clear" w:color="000000" w:fill="D9E1F2"/>
            <w:noWrap/>
            <w:vAlign w:val="bottom"/>
            <w:hideMark/>
          </w:tcPr>
          <w:p w14:paraId="47BD03B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154</w:t>
            </w:r>
          </w:p>
        </w:tc>
        <w:tc>
          <w:tcPr>
            <w:tcW w:w="252" w:type="pct"/>
            <w:tcBorders>
              <w:top w:val="nil"/>
              <w:left w:val="nil"/>
              <w:bottom w:val="dotted" w:sz="4" w:space="0" w:color="auto"/>
              <w:right w:val="dotted" w:sz="4" w:space="0" w:color="auto"/>
            </w:tcBorders>
            <w:shd w:val="clear" w:color="000000" w:fill="D9E1F2"/>
            <w:noWrap/>
            <w:vAlign w:val="bottom"/>
            <w:hideMark/>
          </w:tcPr>
          <w:p w14:paraId="3944E32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154</w:t>
            </w:r>
          </w:p>
        </w:tc>
        <w:tc>
          <w:tcPr>
            <w:tcW w:w="252" w:type="pct"/>
            <w:tcBorders>
              <w:top w:val="nil"/>
              <w:left w:val="nil"/>
              <w:bottom w:val="dotted" w:sz="4" w:space="0" w:color="auto"/>
              <w:right w:val="dotted" w:sz="4" w:space="0" w:color="auto"/>
            </w:tcBorders>
            <w:shd w:val="clear" w:color="000000" w:fill="D9E1F2"/>
            <w:noWrap/>
            <w:vAlign w:val="bottom"/>
            <w:hideMark/>
          </w:tcPr>
          <w:p w14:paraId="22CABD7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159</w:t>
            </w:r>
          </w:p>
        </w:tc>
        <w:tc>
          <w:tcPr>
            <w:tcW w:w="252" w:type="pct"/>
            <w:tcBorders>
              <w:top w:val="nil"/>
              <w:left w:val="nil"/>
              <w:bottom w:val="dotted" w:sz="4" w:space="0" w:color="auto"/>
              <w:right w:val="dotted" w:sz="4" w:space="0" w:color="auto"/>
            </w:tcBorders>
            <w:shd w:val="clear" w:color="000000" w:fill="D9E1F2"/>
            <w:noWrap/>
            <w:vAlign w:val="bottom"/>
            <w:hideMark/>
          </w:tcPr>
          <w:p w14:paraId="56D41CF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155</w:t>
            </w:r>
          </w:p>
        </w:tc>
        <w:tc>
          <w:tcPr>
            <w:tcW w:w="252" w:type="pct"/>
            <w:tcBorders>
              <w:top w:val="nil"/>
              <w:left w:val="nil"/>
              <w:bottom w:val="dotted" w:sz="4" w:space="0" w:color="auto"/>
              <w:right w:val="dotted" w:sz="4" w:space="0" w:color="auto"/>
            </w:tcBorders>
            <w:shd w:val="clear" w:color="000000" w:fill="D9E1F2"/>
            <w:noWrap/>
            <w:vAlign w:val="bottom"/>
            <w:hideMark/>
          </w:tcPr>
          <w:p w14:paraId="2268A85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156</w:t>
            </w:r>
          </w:p>
        </w:tc>
        <w:tc>
          <w:tcPr>
            <w:tcW w:w="252" w:type="pct"/>
            <w:tcBorders>
              <w:top w:val="nil"/>
              <w:left w:val="nil"/>
              <w:bottom w:val="dotted" w:sz="4" w:space="0" w:color="auto"/>
              <w:right w:val="dotted" w:sz="4" w:space="0" w:color="auto"/>
            </w:tcBorders>
            <w:shd w:val="clear" w:color="000000" w:fill="D9E1F2"/>
            <w:noWrap/>
            <w:vAlign w:val="bottom"/>
            <w:hideMark/>
          </w:tcPr>
          <w:p w14:paraId="240F05A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154</w:t>
            </w:r>
          </w:p>
        </w:tc>
        <w:tc>
          <w:tcPr>
            <w:tcW w:w="422" w:type="pct"/>
            <w:tcBorders>
              <w:top w:val="nil"/>
              <w:left w:val="nil"/>
              <w:bottom w:val="dotted" w:sz="4" w:space="0" w:color="auto"/>
              <w:right w:val="single" w:sz="8" w:space="0" w:color="auto"/>
            </w:tcBorders>
            <w:shd w:val="clear" w:color="000000" w:fill="808080"/>
            <w:noWrap/>
            <w:vAlign w:val="bottom"/>
            <w:hideMark/>
          </w:tcPr>
          <w:p w14:paraId="6F5958D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w:t>
            </w:r>
          </w:p>
        </w:tc>
      </w:tr>
      <w:tr w:rsidR="00CF7396" w:rsidRPr="00CF7396" w14:paraId="2BF29E3B"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1BB48BDF" w14:textId="77777777" w:rsidR="00CF7396" w:rsidRPr="00CF7396" w:rsidRDefault="00CF7396" w:rsidP="00CF7396">
            <w:pPr>
              <w:rPr>
                <w:b/>
                <w:bCs/>
                <w:color w:val="000000" w:themeColor="text1"/>
                <w:lang w:val="es-CR" w:eastAsia="es-CR"/>
              </w:rPr>
            </w:pPr>
          </w:p>
        </w:tc>
        <w:tc>
          <w:tcPr>
            <w:tcW w:w="561" w:type="pct"/>
            <w:vMerge w:val="restart"/>
            <w:tcBorders>
              <w:top w:val="nil"/>
              <w:left w:val="dotted" w:sz="4" w:space="0" w:color="auto"/>
              <w:bottom w:val="dotted" w:sz="4" w:space="0" w:color="auto"/>
              <w:right w:val="dotted" w:sz="4" w:space="0" w:color="auto"/>
            </w:tcBorders>
            <w:shd w:val="clear" w:color="000000" w:fill="D9E1F2"/>
            <w:vAlign w:val="center"/>
            <w:hideMark/>
          </w:tcPr>
          <w:p w14:paraId="7866B7C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Pensiones Alimentarias</w:t>
            </w:r>
          </w:p>
        </w:tc>
        <w:tc>
          <w:tcPr>
            <w:tcW w:w="432" w:type="pct"/>
            <w:tcBorders>
              <w:top w:val="nil"/>
              <w:left w:val="nil"/>
              <w:bottom w:val="dotted" w:sz="4" w:space="0" w:color="auto"/>
              <w:right w:val="dotted" w:sz="4" w:space="0" w:color="auto"/>
            </w:tcBorders>
            <w:shd w:val="clear" w:color="000000" w:fill="D9E1F2"/>
            <w:noWrap/>
            <w:vAlign w:val="bottom"/>
            <w:hideMark/>
          </w:tcPr>
          <w:p w14:paraId="17A588B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Entrada</w:t>
            </w:r>
          </w:p>
        </w:tc>
        <w:tc>
          <w:tcPr>
            <w:tcW w:w="252" w:type="pct"/>
            <w:tcBorders>
              <w:top w:val="nil"/>
              <w:left w:val="nil"/>
              <w:bottom w:val="dotted" w:sz="4" w:space="0" w:color="auto"/>
              <w:right w:val="dotted" w:sz="4" w:space="0" w:color="auto"/>
            </w:tcBorders>
            <w:shd w:val="clear" w:color="000000" w:fill="D9E1F2"/>
            <w:noWrap/>
            <w:vAlign w:val="bottom"/>
            <w:hideMark/>
          </w:tcPr>
          <w:p w14:paraId="4479ACB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27</w:t>
            </w:r>
          </w:p>
        </w:tc>
        <w:tc>
          <w:tcPr>
            <w:tcW w:w="252" w:type="pct"/>
            <w:tcBorders>
              <w:top w:val="nil"/>
              <w:left w:val="nil"/>
              <w:bottom w:val="dotted" w:sz="4" w:space="0" w:color="auto"/>
              <w:right w:val="dotted" w:sz="4" w:space="0" w:color="auto"/>
            </w:tcBorders>
            <w:shd w:val="clear" w:color="000000" w:fill="D9E1F2"/>
            <w:noWrap/>
            <w:vAlign w:val="bottom"/>
            <w:hideMark/>
          </w:tcPr>
          <w:p w14:paraId="0AE3CE1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w:t>
            </w:r>
          </w:p>
        </w:tc>
        <w:tc>
          <w:tcPr>
            <w:tcW w:w="252" w:type="pct"/>
            <w:tcBorders>
              <w:top w:val="nil"/>
              <w:left w:val="nil"/>
              <w:bottom w:val="dotted" w:sz="4" w:space="0" w:color="auto"/>
              <w:right w:val="dotted" w:sz="4" w:space="0" w:color="auto"/>
            </w:tcBorders>
            <w:shd w:val="clear" w:color="000000" w:fill="D9E1F2"/>
            <w:noWrap/>
            <w:vAlign w:val="bottom"/>
            <w:hideMark/>
          </w:tcPr>
          <w:p w14:paraId="6065E12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30</w:t>
            </w:r>
          </w:p>
        </w:tc>
        <w:tc>
          <w:tcPr>
            <w:tcW w:w="252" w:type="pct"/>
            <w:tcBorders>
              <w:top w:val="nil"/>
              <w:left w:val="nil"/>
              <w:bottom w:val="dotted" w:sz="4" w:space="0" w:color="auto"/>
              <w:right w:val="dotted" w:sz="4" w:space="0" w:color="auto"/>
            </w:tcBorders>
            <w:shd w:val="clear" w:color="000000" w:fill="D9E1F2"/>
            <w:noWrap/>
            <w:vAlign w:val="bottom"/>
            <w:hideMark/>
          </w:tcPr>
          <w:p w14:paraId="3F7B9A1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29</w:t>
            </w:r>
          </w:p>
        </w:tc>
        <w:tc>
          <w:tcPr>
            <w:tcW w:w="252" w:type="pct"/>
            <w:tcBorders>
              <w:top w:val="nil"/>
              <w:left w:val="nil"/>
              <w:bottom w:val="dotted" w:sz="4" w:space="0" w:color="auto"/>
              <w:right w:val="dotted" w:sz="4" w:space="0" w:color="auto"/>
            </w:tcBorders>
            <w:shd w:val="clear" w:color="000000" w:fill="D9E1F2"/>
            <w:noWrap/>
            <w:vAlign w:val="bottom"/>
            <w:hideMark/>
          </w:tcPr>
          <w:p w14:paraId="03D3470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21</w:t>
            </w:r>
          </w:p>
        </w:tc>
        <w:tc>
          <w:tcPr>
            <w:tcW w:w="252" w:type="pct"/>
            <w:tcBorders>
              <w:top w:val="nil"/>
              <w:left w:val="nil"/>
              <w:bottom w:val="dotted" w:sz="4" w:space="0" w:color="auto"/>
              <w:right w:val="dotted" w:sz="4" w:space="0" w:color="auto"/>
            </w:tcBorders>
            <w:shd w:val="clear" w:color="000000" w:fill="D9E1F2"/>
            <w:noWrap/>
            <w:vAlign w:val="bottom"/>
            <w:hideMark/>
          </w:tcPr>
          <w:p w14:paraId="5B59069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w:t>
            </w:r>
          </w:p>
        </w:tc>
        <w:tc>
          <w:tcPr>
            <w:tcW w:w="252" w:type="pct"/>
            <w:tcBorders>
              <w:top w:val="nil"/>
              <w:left w:val="nil"/>
              <w:bottom w:val="dotted" w:sz="4" w:space="0" w:color="auto"/>
              <w:right w:val="dotted" w:sz="4" w:space="0" w:color="auto"/>
            </w:tcBorders>
            <w:shd w:val="clear" w:color="000000" w:fill="D9E1F2"/>
            <w:noWrap/>
            <w:vAlign w:val="bottom"/>
            <w:hideMark/>
          </w:tcPr>
          <w:p w14:paraId="015E1B3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24</w:t>
            </w:r>
          </w:p>
        </w:tc>
        <w:tc>
          <w:tcPr>
            <w:tcW w:w="252" w:type="pct"/>
            <w:tcBorders>
              <w:top w:val="nil"/>
              <w:left w:val="nil"/>
              <w:bottom w:val="dotted" w:sz="4" w:space="0" w:color="auto"/>
              <w:right w:val="dotted" w:sz="4" w:space="0" w:color="auto"/>
            </w:tcBorders>
            <w:shd w:val="clear" w:color="000000" w:fill="D9E1F2"/>
            <w:noWrap/>
            <w:vAlign w:val="bottom"/>
            <w:hideMark/>
          </w:tcPr>
          <w:p w14:paraId="12477A8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w:t>
            </w:r>
          </w:p>
        </w:tc>
        <w:tc>
          <w:tcPr>
            <w:tcW w:w="252" w:type="pct"/>
            <w:tcBorders>
              <w:top w:val="nil"/>
              <w:left w:val="nil"/>
              <w:bottom w:val="dotted" w:sz="4" w:space="0" w:color="auto"/>
              <w:right w:val="dotted" w:sz="4" w:space="0" w:color="auto"/>
            </w:tcBorders>
            <w:shd w:val="clear" w:color="000000" w:fill="D9E1F2"/>
            <w:noWrap/>
            <w:vAlign w:val="bottom"/>
            <w:hideMark/>
          </w:tcPr>
          <w:p w14:paraId="5B33790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w:t>
            </w:r>
          </w:p>
        </w:tc>
        <w:tc>
          <w:tcPr>
            <w:tcW w:w="252" w:type="pct"/>
            <w:tcBorders>
              <w:top w:val="nil"/>
              <w:left w:val="nil"/>
              <w:bottom w:val="dotted" w:sz="4" w:space="0" w:color="auto"/>
              <w:right w:val="dotted" w:sz="4" w:space="0" w:color="auto"/>
            </w:tcBorders>
            <w:shd w:val="clear" w:color="000000" w:fill="D9E1F2"/>
            <w:noWrap/>
            <w:vAlign w:val="bottom"/>
            <w:hideMark/>
          </w:tcPr>
          <w:p w14:paraId="60B823C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24</w:t>
            </w:r>
          </w:p>
        </w:tc>
        <w:tc>
          <w:tcPr>
            <w:tcW w:w="252" w:type="pct"/>
            <w:tcBorders>
              <w:top w:val="nil"/>
              <w:left w:val="nil"/>
              <w:bottom w:val="dotted" w:sz="4" w:space="0" w:color="auto"/>
              <w:right w:val="dotted" w:sz="4" w:space="0" w:color="auto"/>
            </w:tcBorders>
            <w:shd w:val="clear" w:color="000000" w:fill="D9E1F2"/>
            <w:noWrap/>
            <w:vAlign w:val="bottom"/>
            <w:hideMark/>
          </w:tcPr>
          <w:p w14:paraId="1340897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26</w:t>
            </w:r>
          </w:p>
        </w:tc>
        <w:tc>
          <w:tcPr>
            <w:tcW w:w="252" w:type="pct"/>
            <w:tcBorders>
              <w:top w:val="nil"/>
              <w:left w:val="nil"/>
              <w:bottom w:val="dotted" w:sz="4" w:space="0" w:color="auto"/>
              <w:right w:val="dotted" w:sz="4" w:space="0" w:color="auto"/>
            </w:tcBorders>
            <w:shd w:val="clear" w:color="000000" w:fill="D9E1F2"/>
            <w:noWrap/>
            <w:vAlign w:val="bottom"/>
            <w:hideMark/>
          </w:tcPr>
          <w:p w14:paraId="2DE678B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w:t>
            </w:r>
          </w:p>
        </w:tc>
        <w:tc>
          <w:tcPr>
            <w:tcW w:w="422" w:type="pct"/>
            <w:tcBorders>
              <w:top w:val="nil"/>
              <w:left w:val="nil"/>
              <w:bottom w:val="dotted" w:sz="4" w:space="0" w:color="auto"/>
              <w:right w:val="single" w:sz="8" w:space="0" w:color="auto"/>
            </w:tcBorders>
            <w:shd w:val="clear" w:color="000000" w:fill="D9E1F2"/>
            <w:noWrap/>
            <w:vAlign w:val="bottom"/>
            <w:hideMark/>
          </w:tcPr>
          <w:p w14:paraId="7DB1E03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w:t>
            </w:r>
          </w:p>
        </w:tc>
      </w:tr>
      <w:tr w:rsidR="00CF7396" w:rsidRPr="00CF7396" w14:paraId="5286F29F"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15ACFC9A"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28635825"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D9E1F2"/>
            <w:noWrap/>
            <w:vAlign w:val="bottom"/>
            <w:hideMark/>
          </w:tcPr>
          <w:p w14:paraId="06393FC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Terminados </w:t>
            </w:r>
          </w:p>
        </w:tc>
        <w:tc>
          <w:tcPr>
            <w:tcW w:w="252" w:type="pct"/>
            <w:tcBorders>
              <w:top w:val="nil"/>
              <w:left w:val="nil"/>
              <w:bottom w:val="dotted" w:sz="4" w:space="0" w:color="auto"/>
              <w:right w:val="dotted" w:sz="4" w:space="0" w:color="auto"/>
            </w:tcBorders>
            <w:shd w:val="clear" w:color="000000" w:fill="D9E1F2"/>
            <w:noWrap/>
            <w:vAlign w:val="bottom"/>
            <w:hideMark/>
          </w:tcPr>
          <w:p w14:paraId="5D4FD7C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w:t>
            </w:r>
          </w:p>
        </w:tc>
        <w:tc>
          <w:tcPr>
            <w:tcW w:w="252" w:type="pct"/>
            <w:tcBorders>
              <w:top w:val="nil"/>
              <w:left w:val="nil"/>
              <w:bottom w:val="dotted" w:sz="4" w:space="0" w:color="auto"/>
              <w:right w:val="dotted" w:sz="4" w:space="0" w:color="auto"/>
            </w:tcBorders>
            <w:shd w:val="clear" w:color="000000" w:fill="D9E1F2"/>
            <w:noWrap/>
            <w:vAlign w:val="bottom"/>
            <w:hideMark/>
          </w:tcPr>
          <w:p w14:paraId="5B15F97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w:t>
            </w:r>
          </w:p>
        </w:tc>
        <w:tc>
          <w:tcPr>
            <w:tcW w:w="252" w:type="pct"/>
            <w:tcBorders>
              <w:top w:val="nil"/>
              <w:left w:val="nil"/>
              <w:bottom w:val="dotted" w:sz="4" w:space="0" w:color="auto"/>
              <w:right w:val="dotted" w:sz="4" w:space="0" w:color="auto"/>
            </w:tcBorders>
            <w:shd w:val="clear" w:color="000000" w:fill="D9E1F2"/>
            <w:noWrap/>
            <w:vAlign w:val="bottom"/>
            <w:hideMark/>
          </w:tcPr>
          <w:p w14:paraId="7510DE1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w:t>
            </w:r>
          </w:p>
        </w:tc>
        <w:tc>
          <w:tcPr>
            <w:tcW w:w="252" w:type="pct"/>
            <w:tcBorders>
              <w:top w:val="nil"/>
              <w:left w:val="nil"/>
              <w:bottom w:val="dotted" w:sz="4" w:space="0" w:color="auto"/>
              <w:right w:val="dotted" w:sz="4" w:space="0" w:color="auto"/>
            </w:tcBorders>
            <w:shd w:val="clear" w:color="000000" w:fill="D9E1F2"/>
            <w:noWrap/>
            <w:vAlign w:val="bottom"/>
            <w:hideMark/>
          </w:tcPr>
          <w:p w14:paraId="2325F71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w:t>
            </w:r>
          </w:p>
        </w:tc>
        <w:tc>
          <w:tcPr>
            <w:tcW w:w="252" w:type="pct"/>
            <w:tcBorders>
              <w:top w:val="nil"/>
              <w:left w:val="nil"/>
              <w:bottom w:val="dotted" w:sz="4" w:space="0" w:color="auto"/>
              <w:right w:val="dotted" w:sz="4" w:space="0" w:color="auto"/>
            </w:tcBorders>
            <w:shd w:val="clear" w:color="000000" w:fill="D9E1F2"/>
            <w:noWrap/>
            <w:vAlign w:val="bottom"/>
            <w:hideMark/>
          </w:tcPr>
          <w:p w14:paraId="0285379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w:t>
            </w:r>
          </w:p>
        </w:tc>
        <w:tc>
          <w:tcPr>
            <w:tcW w:w="252" w:type="pct"/>
            <w:tcBorders>
              <w:top w:val="nil"/>
              <w:left w:val="nil"/>
              <w:bottom w:val="dotted" w:sz="4" w:space="0" w:color="auto"/>
              <w:right w:val="dotted" w:sz="4" w:space="0" w:color="auto"/>
            </w:tcBorders>
            <w:shd w:val="clear" w:color="000000" w:fill="D9E1F2"/>
            <w:noWrap/>
            <w:vAlign w:val="bottom"/>
            <w:hideMark/>
          </w:tcPr>
          <w:p w14:paraId="4BB2C74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w:t>
            </w:r>
          </w:p>
        </w:tc>
        <w:tc>
          <w:tcPr>
            <w:tcW w:w="252" w:type="pct"/>
            <w:tcBorders>
              <w:top w:val="nil"/>
              <w:left w:val="nil"/>
              <w:bottom w:val="dotted" w:sz="4" w:space="0" w:color="auto"/>
              <w:right w:val="dotted" w:sz="4" w:space="0" w:color="auto"/>
            </w:tcBorders>
            <w:shd w:val="clear" w:color="000000" w:fill="D9E1F2"/>
            <w:noWrap/>
            <w:vAlign w:val="bottom"/>
            <w:hideMark/>
          </w:tcPr>
          <w:p w14:paraId="2494528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w:t>
            </w:r>
          </w:p>
        </w:tc>
        <w:tc>
          <w:tcPr>
            <w:tcW w:w="252" w:type="pct"/>
            <w:tcBorders>
              <w:top w:val="nil"/>
              <w:left w:val="nil"/>
              <w:bottom w:val="dotted" w:sz="4" w:space="0" w:color="auto"/>
              <w:right w:val="dotted" w:sz="4" w:space="0" w:color="auto"/>
            </w:tcBorders>
            <w:shd w:val="clear" w:color="000000" w:fill="D9E1F2"/>
            <w:noWrap/>
            <w:vAlign w:val="bottom"/>
            <w:hideMark/>
          </w:tcPr>
          <w:p w14:paraId="692DE99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w:t>
            </w:r>
          </w:p>
        </w:tc>
        <w:tc>
          <w:tcPr>
            <w:tcW w:w="252" w:type="pct"/>
            <w:tcBorders>
              <w:top w:val="nil"/>
              <w:left w:val="nil"/>
              <w:bottom w:val="dotted" w:sz="4" w:space="0" w:color="auto"/>
              <w:right w:val="dotted" w:sz="4" w:space="0" w:color="auto"/>
            </w:tcBorders>
            <w:shd w:val="clear" w:color="000000" w:fill="D9E1F2"/>
            <w:noWrap/>
            <w:vAlign w:val="bottom"/>
            <w:hideMark/>
          </w:tcPr>
          <w:p w14:paraId="21663D3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w:t>
            </w:r>
          </w:p>
        </w:tc>
        <w:tc>
          <w:tcPr>
            <w:tcW w:w="252" w:type="pct"/>
            <w:tcBorders>
              <w:top w:val="nil"/>
              <w:left w:val="nil"/>
              <w:bottom w:val="dotted" w:sz="4" w:space="0" w:color="auto"/>
              <w:right w:val="dotted" w:sz="4" w:space="0" w:color="auto"/>
            </w:tcBorders>
            <w:shd w:val="clear" w:color="000000" w:fill="D9E1F2"/>
            <w:noWrap/>
            <w:vAlign w:val="bottom"/>
            <w:hideMark/>
          </w:tcPr>
          <w:p w14:paraId="6A46284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w:t>
            </w:r>
          </w:p>
        </w:tc>
        <w:tc>
          <w:tcPr>
            <w:tcW w:w="252" w:type="pct"/>
            <w:tcBorders>
              <w:top w:val="nil"/>
              <w:left w:val="nil"/>
              <w:bottom w:val="dotted" w:sz="4" w:space="0" w:color="auto"/>
              <w:right w:val="dotted" w:sz="4" w:space="0" w:color="auto"/>
            </w:tcBorders>
            <w:shd w:val="clear" w:color="000000" w:fill="D9E1F2"/>
            <w:noWrap/>
            <w:vAlign w:val="bottom"/>
            <w:hideMark/>
          </w:tcPr>
          <w:p w14:paraId="20846E2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w:t>
            </w:r>
          </w:p>
        </w:tc>
        <w:tc>
          <w:tcPr>
            <w:tcW w:w="252" w:type="pct"/>
            <w:tcBorders>
              <w:top w:val="nil"/>
              <w:left w:val="nil"/>
              <w:bottom w:val="dotted" w:sz="4" w:space="0" w:color="auto"/>
              <w:right w:val="dotted" w:sz="4" w:space="0" w:color="auto"/>
            </w:tcBorders>
            <w:shd w:val="clear" w:color="000000" w:fill="D9E1F2"/>
            <w:noWrap/>
            <w:vAlign w:val="bottom"/>
            <w:hideMark/>
          </w:tcPr>
          <w:p w14:paraId="1382D51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w:t>
            </w:r>
          </w:p>
        </w:tc>
        <w:tc>
          <w:tcPr>
            <w:tcW w:w="422" w:type="pct"/>
            <w:tcBorders>
              <w:top w:val="nil"/>
              <w:left w:val="nil"/>
              <w:bottom w:val="dotted" w:sz="4" w:space="0" w:color="auto"/>
              <w:right w:val="single" w:sz="8" w:space="0" w:color="auto"/>
            </w:tcBorders>
            <w:shd w:val="clear" w:color="000000" w:fill="D9E1F2"/>
            <w:noWrap/>
            <w:vAlign w:val="bottom"/>
            <w:hideMark/>
          </w:tcPr>
          <w:p w14:paraId="1D36988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w:t>
            </w:r>
          </w:p>
        </w:tc>
      </w:tr>
      <w:tr w:rsidR="00CF7396" w:rsidRPr="00CF7396" w14:paraId="0962A13B"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1E16ADB5"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6712BA77"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D9E1F2"/>
            <w:noWrap/>
            <w:vAlign w:val="bottom"/>
            <w:hideMark/>
          </w:tcPr>
          <w:p w14:paraId="54884C8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Circulante</w:t>
            </w:r>
          </w:p>
        </w:tc>
        <w:tc>
          <w:tcPr>
            <w:tcW w:w="252" w:type="pct"/>
            <w:tcBorders>
              <w:top w:val="nil"/>
              <w:left w:val="nil"/>
              <w:bottom w:val="dotted" w:sz="4" w:space="0" w:color="auto"/>
              <w:right w:val="dotted" w:sz="4" w:space="0" w:color="auto"/>
            </w:tcBorders>
            <w:shd w:val="clear" w:color="000000" w:fill="D9E1F2"/>
            <w:noWrap/>
            <w:vAlign w:val="bottom"/>
            <w:hideMark/>
          </w:tcPr>
          <w:p w14:paraId="0BECED6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1295</w:t>
            </w:r>
          </w:p>
        </w:tc>
        <w:tc>
          <w:tcPr>
            <w:tcW w:w="252" w:type="pct"/>
            <w:tcBorders>
              <w:top w:val="nil"/>
              <w:left w:val="nil"/>
              <w:bottom w:val="dotted" w:sz="4" w:space="0" w:color="auto"/>
              <w:right w:val="dotted" w:sz="4" w:space="0" w:color="auto"/>
            </w:tcBorders>
            <w:shd w:val="clear" w:color="000000" w:fill="D9E1F2"/>
            <w:noWrap/>
            <w:vAlign w:val="bottom"/>
            <w:hideMark/>
          </w:tcPr>
          <w:p w14:paraId="1B5D374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1307</w:t>
            </w:r>
          </w:p>
        </w:tc>
        <w:tc>
          <w:tcPr>
            <w:tcW w:w="252" w:type="pct"/>
            <w:tcBorders>
              <w:top w:val="nil"/>
              <w:left w:val="nil"/>
              <w:bottom w:val="dotted" w:sz="4" w:space="0" w:color="auto"/>
              <w:right w:val="dotted" w:sz="4" w:space="0" w:color="auto"/>
            </w:tcBorders>
            <w:shd w:val="clear" w:color="000000" w:fill="D9E1F2"/>
            <w:noWrap/>
            <w:vAlign w:val="bottom"/>
            <w:hideMark/>
          </w:tcPr>
          <w:p w14:paraId="621E7FF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1286</w:t>
            </w:r>
          </w:p>
        </w:tc>
        <w:tc>
          <w:tcPr>
            <w:tcW w:w="252" w:type="pct"/>
            <w:tcBorders>
              <w:top w:val="nil"/>
              <w:left w:val="nil"/>
              <w:bottom w:val="dotted" w:sz="4" w:space="0" w:color="auto"/>
              <w:right w:val="dotted" w:sz="4" w:space="0" w:color="auto"/>
            </w:tcBorders>
            <w:shd w:val="clear" w:color="000000" w:fill="D9E1F2"/>
            <w:noWrap/>
            <w:vAlign w:val="bottom"/>
            <w:hideMark/>
          </w:tcPr>
          <w:p w14:paraId="472063D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1294</w:t>
            </w:r>
          </w:p>
        </w:tc>
        <w:tc>
          <w:tcPr>
            <w:tcW w:w="252" w:type="pct"/>
            <w:tcBorders>
              <w:top w:val="nil"/>
              <w:left w:val="nil"/>
              <w:bottom w:val="dotted" w:sz="4" w:space="0" w:color="auto"/>
              <w:right w:val="dotted" w:sz="4" w:space="0" w:color="auto"/>
            </w:tcBorders>
            <w:shd w:val="clear" w:color="000000" w:fill="D9E1F2"/>
            <w:noWrap/>
            <w:vAlign w:val="bottom"/>
            <w:hideMark/>
          </w:tcPr>
          <w:p w14:paraId="40A3675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1291</w:t>
            </w:r>
          </w:p>
        </w:tc>
        <w:tc>
          <w:tcPr>
            <w:tcW w:w="252" w:type="pct"/>
            <w:tcBorders>
              <w:top w:val="nil"/>
              <w:left w:val="nil"/>
              <w:bottom w:val="dotted" w:sz="4" w:space="0" w:color="auto"/>
              <w:right w:val="dotted" w:sz="4" w:space="0" w:color="auto"/>
            </w:tcBorders>
            <w:shd w:val="clear" w:color="000000" w:fill="D9E1F2"/>
            <w:noWrap/>
            <w:vAlign w:val="bottom"/>
            <w:hideMark/>
          </w:tcPr>
          <w:p w14:paraId="57C0DAA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1315</w:t>
            </w:r>
          </w:p>
        </w:tc>
        <w:tc>
          <w:tcPr>
            <w:tcW w:w="252" w:type="pct"/>
            <w:tcBorders>
              <w:top w:val="nil"/>
              <w:left w:val="nil"/>
              <w:bottom w:val="dotted" w:sz="4" w:space="0" w:color="auto"/>
              <w:right w:val="dotted" w:sz="4" w:space="0" w:color="auto"/>
            </w:tcBorders>
            <w:shd w:val="clear" w:color="000000" w:fill="D9E1F2"/>
            <w:noWrap/>
            <w:vAlign w:val="bottom"/>
            <w:hideMark/>
          </w:tcPr>
          <w:p w14:paraId="1C906B1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1227</w:t>
            </w:r>
          </w:p>
        </w:tc>
        <w:tc>
          <w:tcPr>
            <w:tcW w:w="252" w:type="pct"/>
            <w:tcBorders>
              <w:top w:val="nil"/>
              <w:left w:val="nil"/>
              <w:bottom w:val="dotted" w:sz="4" w:space="0" w:color="auto"/>
              <w:right w:val="dotted" w:sz="4" w:space="0" w:color="auto"/>
            </w:tcBorders>
            <w:shd w:val="clear" w:color="000000" w:fill="D9E1F2"/>
            <w:noWrap/>
            <w:vAlign w:val="bottom"/>
            <w:hideMark/>
          </w:tcPr>
          <w:p w14:paraId="6B6A37C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1206</w:t>
            </w:r>
          </w:p>
        </w:tc>
        <w:tc>
          <w:tcPr>
            <w:tcW w:w="252" w:type="pct"/>
            <w:tcBorders>
              <w:top w:val="nil"/>
              <w:left w:val="nil"/>
              <w:bottom w:val="dotted" w:sz="4" w:space="0" w:color="auto"/>
              <w:right w:val="dotted" w:sz="4" w:space="0" w:color="auto"/>
            </w:tcBorders>
            <w:shd w:val="clear" w:color="000000" w:fill="D9E1F2"/>
            <w:noWrap/>
            <w:vAlign w:val="bottom"/>
            <w:hideMark/>
          </w:tcPr>
          <w:p w14:paraId="64EBFF3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1160</w:t>
            </w:r>
          </w:p>
        </w:tc>
        <w:tc>
          <w:tcPr>
            <w:tcW w:w="252" w:type="pct"/>
            <w:tcBorders>
              <w:top w:val="nil"/>
              <w:left w:val="nil"/>
              <w:bottom w:val="dotted" w:sz="4" w:space="0" w:color="auto"/>
              <w:right w:val="dotted" w:sz="4" w:space="0" w:color="auto"/>
            </w:tcBorders>
            <w:shd w:val="clear" w:color="000000" w:fill="D9E1F2"/>
            <w:noWrap/>
            <w:vAlign w:val="bottom"/>
            <w:hideMark/>
          </w:tcPr>
          <w:p w14:paraId="4CAA433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1179</w:t>
            </w:r>
          </w:p>
        </w:tc>
        <w:tc>
          <w:tcPr>
            <w:tcW w:w="252" w:type="pct"/>
            <w:tcBorders>
              <w:top w:val="nil"/>
              <w:left w:val="nil"/>
              <w:bottom w:val="dotted" w:sz="4" w:space="0" w:color="auto"/>
              <w:right w:val="dotted" w:sz="4" w:space="0" w:color="auto"/>
            </w:tcBorders>
            <w:shd w:val="clear" w:color="000000" w:fill="D9E1F2"/>
            <w:noWrap/>
            <w:vAlign w:val="bottom"/>
            <w:hideMark/>
          </w:tcPr>
          <w:p w14:paraId="3AE22A5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1213</w:t>
            </w:r>
          </w:p>
        </w:tc>
        <w:tc>
          <w:tcPr>
            <w:tcW w:w="252" w:type="pct"/>
            <w:tcBorders>
              <w:top w:val="nil"/>
              <w:left w:val="nil"/>
              <w:bottom w:val="dotted" w:sz="4" w:space="0" w:color="auto"/>
              <w:right w:val="dotted" w:sz="4" w:space="0" w:color="auto"/>
            </w:tcBorders>
            <w:shd w:val="clear" w:color="000000" w:fill="D9E1F2"/>
            <w:noWrap/>
            <w:vAlign w:val="bottom"/>
            <w:hideMark/>
          </w:tcPr>
          <w:p w14:paraId="11801C4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1230</w:t>
            </w:r>
          </w:p>
        </w:tc>
        <w:tc>
          <w:tcPr>
            <w:tcW w:w="422" w:type="pct"/>
            <w:tcBorders>
              <w:top w:val="nil"/>
              <w:left w:val="nil"/>
              <w:bottom w:val="dotted" w:sz="4" w:space="0" w:color="auto"/>
              <w:right w:val="single" w:sz="8" w:space="0" w:color="auto"/>
            </w:tcBorders>
            <w:shd w:val="clear" w:color="000000" w:fill="808080"/>
            <w:noWrap/>
            <w:vAlign w:val="bottom"/>
            <w:hideMark/>
          </w:tcPr>
          <w:p w14:paraId="7AC8EE1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w:t>
            </w:r>
          </w:p>
        </w:tc>
      </w:tr>
      <w:tr w:rsidR="00CF7396" w:rsidRPr="00CF7396" w14:paraId="76F62B51"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27D002D1" w14:textId="77777777" w:rsidR="00CF7396" w:rsidRPr="00CF7396" w:rsidRDefault="00CF7396" w:rsidP="00CF7396">
            <w:pPr>
              <w:rPr>
                <w:b/>
                <w:bCs/>
                <w:color w:val="000000" w:themeColor="text1"/>
                <w:lang w:val="es-CR" w:eastAsia="es-CR"/>
              </w:rPr>
            </w:pPr>
          </w:p>
        </w:tc>
        <w:tc>
          <w:tcPr>
            <w:tcW w:w="561" w:type="pct"/>
            <w:vMerge w:val="restart"/>
            <w:tcBorders>
              <w:top w:val="nil"/>
              <w:left w:val="dotted" w:sz="4" w:space="0" w:color="auto"/>
              <w:bottom w:val="dotted" w:sz="4" w:space="0" w:color="auto"/>
              <w:right w:val="dotted" w:sz="4" w:space="0" w:color="auto"/>
            </w:tcBorders>
            <w:shd w:val="clear" w:color="000000" w:fill="D9E1F2"/>
            <w:vAlign w:val="center"/>
            <w:hideMark/>
          </w:tcPr>
          <w:p w14:paraId="7208D01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Tránsito</w:t>
            </w:r>
          </w:p>
        </w:tc>
        <w:tc>
          <w:tcPr>
            <w:tcW w:w="432" w:type="pct"/>
            <w:tcBorders>
              <w:top w:val="nil"/>
              <w:left w:val="nil"/>
              <w:bottom w:val="dotted" w:sz="4" w:space="0" w:color="auto"/>
              <w:right w:val="dotted" w:sz="4" w:space="0" w:color="auto"/>
            </w:tcBorders>
            <w:shd w:val="clear" w:color="000000" w:fill="D9E1F2"/>
            <w:noWrap/>
            <w:vAlign w:val="bottom"/>
            <w:hideMark/>
          </w:tcPr>
          <w:p w14:paraId="5724A74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Entrada</w:t>
            </w:r>
          </w:p>
        </w:tc>
        <w:tc>
          <w:tcPr>
            <w:tcW w:w="252" w:type="pct"/>
            <w:tcBorders>
              <w:top w:val="nil"/>
              <w:left w:val="nil"/>
              <w:bottom w:val="dotted" w:sz="4" w:space="0" w:color="auto"/>
              <w:right w:val="dotted" w:sz="4" w:space="0" w:color="auto"/>
            </w:tcBorders>
            <w:shd w:val="clear" w:color="000000" w:fill="D9E1F2"/>
            <w:noWrap/>
            <w:vAlign w:val="bottom"/>
            <w:hideMark/>
          </w:tcPr>
          <w:p w14:paraId="34311D7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w:t>
            </w:r>
          </w:p>
        </w:tc>
        <w:tc>
          <w:tcPr>
            <w:tcW w:w="252" w:type="pct"/>
            <w:tcBorders>
              <w:top w:val="nil"/>
              <w:left w:val="nil"/>
              <w:bottom w:val="dotted" w:sz="4" w:space="0" w:color="auto"/>
              <w:right w:val="dotted" w:sz="4" w:space="0" w:color="auto"/>
            </w:tcBorders>
            <w:shd w:val="clear" w:color="000000" w:fill="D9E1F2"/>
            <w:noWrap/>
            <w:vAlign w:val="bottom"/>
            <w:hideMark/>
          </w:tcPr>
          <w:p w14:paraId="5B432DB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w:t>
            </w:r>
          </w:p>
        </w:tc>
        <w:tc>
          <w:tcPr>
            <w:tcW w:w="252" w:type="pct"/>
            <w:tcBorders>
              <w:top w:val="nil"/>
              <w:left w:val="nil"/>
              <w:bottom w:val="dotted" w:sz="4" w:space="0" w:color="auto"/>
              <w:right w:val="dotted" w:sz="4" w:space="0" w:color="auto"/>
            </w:tcBorders>
            <w:shd w:val="clear" w:color="000000" w:fill="D9E1F2"/>
            <w:noWrap/>
            <w:vAlign w:val="bottom"/>
            <w:hideMark/>
          </w:tcPr>
          <w:p w14:paraId="3B3D07F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w:t>
            </w:r>
          </w:p>
        </w:tc>
        <w:tc>
          <w:tcPr>
            <w:tcW w:w="252" w:type="pct"/>
            <w:tcBorders>
              <w:top w:val="nil"/>
              <w:left w:val="nil"/>
              <w:bottom w:val="dotted" w:sz="4" w:space="0" w:color="auto"/>
              <w:right w:val="dotted" w:sz="4" w:space="0" w:color="auto"/>
            </w:tcBorders>
            <w:shd w:val="clear" w:color="000000" w:fill="D9E1F2"/>
            <w:noWrap/>
            <w:vAlign w:val="bottom"/>
            <w:hideMark/>
          </w:tcPr>
          <w:p w14:paraId="2F6763B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w:t>
            </w:r>
          </w:p>
        </w:tc>
        <w:tc>
          <w:tcPr>
            <w:tcW w:w="252" w:type="pct"/>
            <w:tcBorders>
              <w:top w:val="nil"/>
              <w:left w:val="nil"/>
              <w:bottom w:val="dotted" w:sz="4" w:space="0" w:color="auto"/>
              <w:right w:val="dotted" w:sz="4" w:space="0" w:color="auto"/>
            </w:tcBorders>
            <w:shd w:val="clear" w:color="000000" w:fill="D9E1F2"/>
            <w:noWrap/>
            <w:vAlign w:val="bottom"/>
            <w:hideMark/>
          </w:tcPr>
          <w:p w14:paraId="2C68A31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w:t>
            </w:r>
          </w:p>
        </w:tc>
        <w:tc>
          <w:tcPr>
            <w:tcW w:w="252" w:type="pct"/>
            <w:tcBorders>
              <w:top w:val="nil"/>
              <w:left w:val="nil"/>
              <w:bottom w:val="dotted" w:sz="4" w:space="0" w:color="auto"/>
              <w:right w:val="dotted" w:sz="4" w:space="0" w:color="auto"/>
            </w:tcBorders>
            <w:shd w:val="clear" w:color="000000" w:fill="D9E1F2"/>
            <w:noWrap/>
            <w:vAlign w:val="bottom"/>
            <w:hideMark/>
          </w:tcPr>
          <w:p w14:paraId="45468E9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w:t>
            </w:r>
          </w:p>
        </w:tc>
        <w:tc>
          <w:tcPr>
            <w:tcW w:w="252" w:type="pct"/>
            <w:tcBorders>
              <w:top w:val="nil"/>
              <w:left w:val="nil"/>
              <w:bottom w:val="dotted" w:sz="4" w:space="0" w:color="auto"/>
              <w:right w:val="dotted" w:sz="4" w:space="0" w:color="auto"/>
            </w:tcBorders>
            <w:shd w:val="clear" w:color="000000" w:fill="D9E1F2"/>
            <w:noWrap/>
            <w:vAlign w:val="bottom"/>
            <w:hideMark/>
          </w:tcPr>
          <w:p w14:paraId="3ED9F94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w:t>
            </w:r>
          </w:p>
        </w:tc>
        <w:tc>
          <w:tcPr>
            <w:tcW w:w="252" w:type="pct"/>
            <w:tcBorders>
              <w:top w:val="nil"/>
              <w:left w:val="nil"/>
              <w:bottom w:val="dotted" w:sz="4" w:space="0" w:color="auto"/>
              <w:right w:val="dotted" w:sz="4" w:space="0" w:color="auto"/>
            </w:tcBorders>
            <w:shd w:val="clear" w:color="000000" w:fill="D9E1F2"/>
            <w:noWrap/>
            <w:vAlign w:val="bottom"/>
            <w:hideMark/>
          </w:tcPr>
          <w:p w14:paraId="4B3CBCE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w:t>
            </w:r>
          </w:p>
        </w:tc>
        <w:tc>
          <w:tcPr>
            <w:tcW w:w="252" w:type="pct"/>
            <w:tcBorders>
              <w:top w:val="nil"/>
              <w:left w:val="nil"/>
              <w:bottom w:val="dotted" w:sz="4" w:space="0" w:color="auto"/>
              <w:right w:val="dotted" w:sz="4" w:space="0" w:color="auto"/>
            </w:tcBorders>
            <w:shd w:val="clear" w:color="000000" w:fill="D9E1F2"/>
            <w:noWrap/>
            <w:vAlign w:val="bottom"/>
            <w:hideMark/>
          </w:tcPr>
          <w:p w14:paraId="7427FF3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w:t>
            </w:r>
          </w:p>
        </w:tc>
        <w:tc>
          <w:tcPr>
            <w:tcW w:w="252" w:type="pct"/>
            <w:tcBorders>
              <w:top w:val="nil"/>
              <w:left w:val="nil"/>
              <w:bottom w:val="dotted" w:sz="4" w:space="0" w:color="auto"/>
              <w:right w:val="dotted" w:sz="4" w:space="0" w:color="auto"/>
            </w:tcBorders>
            <w:shd w:val="clear" w:color="000000" w:fill="D9E1F2"/>
            <w:noWrap/>
            <w:vAlign w:val="bottom"/>
            <w:hideMark/>
          </w:tcPr>
          <w:p w14:paraId="3D78147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w:t>
            </w:r>
          </w:p>
        </w:tc>
        <w:tc>
          <w:tcPr>
            <w:tcW w:w="252" w:type="pct"/>
            <w:tcBorders>
              <w:top w:val="nil"/>
              <w:left w:val="nil"/>
              <w:bottom w:val="dotted" w:sz="4" w:space="0" w:color="auto"/>
              <w:right w:val="dotted" w:sz="4" w:space="0" w:color="auto"/>
            </w:tcBorders>
            <w:shd w:val="clear" w:color="000000" w:fill="D9E1F2"/>
            <w:noWrap/>
            <w:vAlign w:val="bottom"/>
            <w:hideMark/>
          </w:tcPr>
          <w:p w14:paraId="42B5E76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w:t>
            </w:r>
          </w:p>
        </w:tc>
        <w:tc>
          <w:tcPr>
            <w:tcW w:w="252" w:type="pct"/>
            <w:tcBorders>
              <w:top w:val="nil"/>
              <w:left w:val="nil"/>
              <w:bottom w:val="dotted" w:sz="4" w:space="0" w:color="auto"/>
              <w:right w:val="dotted" w:sz="4" w:space="0" w:color="auto"/>
            </w:tcBorders>
            <w:shd w:val="clear" w:color="000000" w:fill="D9E1F2"/>
            <w:noWrap/>
            <w:vAlign w:val="bottom"/>
            <w:hideMark/>
          </w:tcPr>
          <w:p w14:paraId="577A5F6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w:t>
            </w:r>
          </w:p>
        </w:tc>
        <w:tc>
          <w:tcPr>
            <w:tcW w:w="422" w:type="pct"/>
            <w:tcBorders>
              <w:top w:val="nil"/>
              <w:left w:val="nil"/>
              <w:bottom w:val="dotted" w:sz="4" w:space="0" w:color="auto"/>
              <w:right w:val="single" w:sz="8" w:space="0" w:color="auto"/>
            </w:tcBorders>
            <w:shd w:val="clear" w:color="000000" w:fill="D9E1F2"/>
            <w:noWrap/>
            <w:vAlign w:val="bottom"/>
            <w:hideMark/>
          </w:tcPr>
          <w:p w14:paraId="0CAA291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w:t>
            </w:r>
          </w:p>
        </w:tc>
      </w:tr>
      <w:tr w:rsidR="00CF7396" w:rsidRPr="00CF7396" w14:paraId="44FDE462"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5CE8C0D4"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683A6F56"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D9E1F2"/>
            <w:noWrap/>
            <w:vAlign w:val="bottom"/>
            <w:hideMark/>
          </w:tcPr>
          <w:p w14:paraId="24CE2CC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Terminados </w:t>
            </w:r>
          </w:p>
        </w:tc>
        <w:tc>
          <w:tcPr>
            <w:tcW w:w="252" w:type="pct"/>
            <w:tcBorders>
              <w:top w:val="nil"/>
              <w:left w:val="nil"/>
              <w:bottom w:val="dotted" w:sz="4" w:space="0" w:color="auto"/>
              <w:right w:val="dotted" w:sz="4" w:space="0" w:color="auto"/>
            </w:tcBorders>
            <w:shd w:val="clear" w:color="000000" w:fill="D9E1F2"/>
            <w:noWrap/>
            <w:vAlign w:val="bottom"/>
            <w:hideMark/>
          </w:tcPr>
          <w:p w14:paraId="1498B5C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22</w:t>
            </w:r>
          </w:p>
        </w:tc>
        <w:tc>
          <w:tcPr>
            <w:tcW w:w="252" w:type="pct"/>
            <w:tcBorders>
              <w:top w:val="nil"/>
              <w:left w:val="nil"/>
              <w:bottom w:val="dotted" w:sz="4" w:space="0" w:color="auto"/>
              <w:right w:val="dotted" w:sz="4" w:space="0" w:color="auto"/>
            </w:tcBorders>
            <w:shd w:val="clear" w:color="000000" w:fill="D9E1F2"/>
            <w:noWrap/>
            <w:vAlign w:val="bottom"/>
            <w:hideMark/>
          </w:tcPr>
          <w:p w14:paraId="41821A7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w:t>
            </w:r>
          </w:p>
        </w:tc>
        <w:tc>
          <w:tcPr>
            <w:tcW w:w="252" w:type="pct"/>
            <w:tcBorders>
              <w:top w:val="nil"/>
              <w:left w:val="nil"/>
              <w:bottom w:val="dotted" w:sz="4" w:space="0" w:color="auto"/>
              <w:right w:val="dotted" w:sz="4" w:space="0" w:color="auto"/>
            </w:tcBorders>
            <w:shd w:val="clear" w:color="000000" w:fill="D9E1F2"/>
            <w:noWrap/>
            <w:vAlign w:val="bottom"/>
            <w:hideMark/>
          </w:tcPr>
          <w:p w14:paraId="373EF1A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w:t>
            </w:r>
          </w:p>
        </w:tc>
        <w:tc>
          <w:tcPr>
            <w:tcW w:w="252" w:type="pct"/>
            <w:tcBorders>
              <w:top w:val="nil"/>
              <w:left w:val="nil"/>
              <w:bottom w:val="dotted" w:sz="4" w:space="0" w:color="auto"/>
              <w:right w:val="dotted" w:sz="4" w:space="0" w:color="auto"/>
            </w:tcBorders>
            <w:shd w:val="clear" w:color="000000" w:fill="D9E1F2"/>
            <w:noWrap/>
            <w:vAlign w:val="bottom"/>
            <w:hideMark/>
          </w:tcPr>
          <w:p w14:paraId="04CA192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w:t>
            </w:r>
          </w:p>
        </w:tc>
        <w:tc>
          <w:tcPr>
            <w:tcW w:w="252" w:type="pct"/>
            <w:tcBorders>
              <w:top w:val="nil"/>
              <w:left w:val="nil"/>
              <w:bottom w:val="dotted" w:sz="4" w:space="0" w:color="auto"/>
              <w:right w:val="dotted" w:sz="4" w:space="0" w:color="auto"/>
            </w:tcBorders>
            <w:shd w:val="clear" w:color="000000" w:fill="D9E1F2"/>
            <w:noWrap/>
            <w:vAlign w:val="bottom"/>
            <w:hideMark/>
          </w:tcPr>
          <w:p w14:paraId="58345D9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25</w:t>
            </w:r>
          </w:p>
        </w:tc>
        <w:tc>
          <w:tcPr>
            <w:tcW w:w="252" w:type="pct"/>
            <w:tcBorders>
              <w:top w:val="nil"/>
              <w:left w:val="nil"/>
              <w:bottom w:val="dotted" w:sz="4" w:space="0" w:color="auto"/>
              <w:right w:val="dotted" w:sz="4" w:space="0" w:color="auto"/>
            </w:tcBorders>
            <w:shd w:val="clear" w:color="000000" w:fill="D9E1F2"/>
            <w:noWrap/>
            <w:vAlign w:val="bottom"/>
            <w:hideMark/>
          </w:tcPr>
          <w:p w14:paraId="6BF8257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w:t>
            </w:r>
          </w:p>
        </w:tc>
        <w:tc>
          <w:tcPr>
            <w:tcW w:w="252" w:type="pct"/>
            <w:tcBorders>
              <w:top w:val="nil"/>
              <w:left w:val="nil"/>
              <w:bottom w:val="dotted" w:sz="4" w:space="0" w:color="auto"/>
              <w:right w:val="dotted" w:sz="4" w:space="0" w:color="auto"/>
            </w:tcBorders>
            <w:shd w:val="clear" w:color="000000" w:fill="D9E1F2"/>
            <w:noWrap/>
            <w:vAlign w:val="bottom"/>
            <w:hideMark/>
          </w:tcPr>
          <w:p w14:paraId="29C1AFA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w:t>
            </w:r>
          </w:p>
        </w:tc>
        <w:tc>
          <w:tcPr>
            <w:tcW w:w="252" w:type="pct"/>
            <w:tcBorders>
              <w:top w:val="nil"/>
              <w:left w:val="nil"/>
              <w:bottom w:val="dotted" w:sz="4" w:space="0" w:color="auto"/>
              <w:right w:val="dotted" w:sz="4" w:space="0" w:color="auto"/>
            </w:tcBorders>
            <w:shd w:val="clear" w:color="000000" w:fill="D9E1F2"/>
            <w:noWrap/>
            <w:vAlign w:val="bottom"/>
            <w:hideMark/>
          </w:tcPr>
          <w:p w14:paraId="067D664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w:t>
            </w:r>
          </w:p>
        </w:tc>
        <w:tc>
          <w:tcPr>
            <w:tcW w:w="252" w:type="pct"/>
            <w:tcBorders>
              <w:top w:val="nil"/>
              <w:left w:val="nil"/>
              <w:bottom w:val="dotted" w:sz="4" w:space="0" w:color="auto"/>
              <w:right w:val="dotted" w:sz="4" w:space="0" w:color="auto"/>
            </w:tcBorders>
            <w:shd w:val="clear" w:color="000000" w:fill="D9E1F2"/>
            <w:noWrap/>
            <w:vAlign w:val="bottom"/>
            <w:hideMark/>
          </w:tcPr>
          <w:p w14:paraId="13C970E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w:t>
            </w:r>
          </w:p>
        </w:tc>
        <w:tc>
          <w:tcPr>
            <w:tcW w:w="252" w:type="pct"/>
            <w:tcBorders>
              <w:top w:val="nil"/>
              <w:left w:val="nil"/>
              <w:bottom w:val="dotted" w:sz="4" w:space="0" w:color="auto"/>
              <w:right w:val="dotted" w:sz="4" w:space="0" w:color="auto"/>
            </w:tcBorders>
            <w:shd w:val="clear" w:color="000000" w:fill="D9E1F2"/>
            <w:noWrap/>
            <w:vAlign w:val="bottom"/>
            <w:hideMark/>
          </w:tcPr>
          <w:p w14:paraId="31FC65B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24</w:t>
            </w:r>
          </w:p>
        </w:tc>
        <w:tc>
          <w:tcPr>
            <w:tcW w:w="252" w:type="pct"/>
            <w:tcBorders>
              <w:top w:val="nil"/>
              <w:left w:val="nil"/>
              <w:bottom w:val="dotted" w:sz="4" w:space="0" w:color="auto"/>
              <w:right w:val="dotted" w:sz="4" w:space="0" w:color="auto"/>
            </w:tcBorders>
            <w:shd w:val="clear" w:color="000000" w:fill="D9E1F2"/>
            <w:noWrap/>
            <w:vAlign w:val="bottom"/>
            <w:hideMark/>
          </w:tcPr>
          <w:p w14:paraId="3AD61E1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w:t>
            </w:r>
          </w:p>
        </w:tc>
        <w:tc>
          <w:tcPr>
            <w:tcW w:w="252" w:type="pct"/>
            <w:tcBorders>
              <w:top w:val="nil"/>
              <w:left w:val="nil"/>
              <w:bottom w:val="dotted" w:sz="4" w:space="0" w:color="auto"/>
              <w:right w:val="dotted" w:sz="4" w:space="0" w:color="auto"/>
            </w:tcBorders>
            <w:shd w:val="clear" w:color="000000" w:fill="D9E1F2"/>
            <w:noWrap/>
            <w:vAlign w:val="bottom"/>
            <w:hideMark/>
          </w:tcPr>
          <w:p w14:paraId="434DAD6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w:t>
            </w:r>
          </w:p>
        </w:tc>
        <w:tc>
          <w:tcPr>
            <w:tcW w:w="422" w:type="pct"/>
            <w:tcBorders>
              <w:top w:val="nil"/>
              <w:left w:val="nil"/>
              <w:bottom w:val="dotted" w:sz="4" w:space="0" w:color="auto"/>
              <w:right w:val="single" w:sz="8" w:space="0" w:color="auto"/>
            </w:tcBorders>
            <w:shd w:val="clear" w:color="000000" w:fill="D9E1F2"/>
            <w:noWrap/>
            <w:vAlign w:val="bottom"/>
            <w:hideMark/>
          </w:tcPr>
          <w:p w14:paraId="1601253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w:t>
            </w:r>
          </w:p>
        </w:tc>
      </w:tr>
      <w:tr w:rsidR="00CF7396" w:rsidRPr="00CF7396" w14:paraId="7D00F95A"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5B2F53EC"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41B37A26"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D9E1F2"/>
            <w:noWrap/>
            <w:vAlign w:val="bottom"/>
            <w:hideMark/>
          </w:tcPr>
          <w:p w14:paraId="1D61CF7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Circulante</w:t>
            </w:r>
          </w:p>
        </w:tc>
        <w:tc>
          <w:tcPr>
            <w:tcW w:w="252" w:type="pct"/>
            <w:tcBorders>
              <w:top w:val="nil"/>
              <w:left w:val="nil"/>
              <w:bottom w:val="dotted" w:sz="4" w:space="0" w:color="auto"/>
              <w:right w:val="dotted" w:sz="4" w:space="0" w:color="auto"/>
            </w:tcBorders>
            <w:shd w:val="clear" w:color="000000" w:fill="D9E1F2"/>
            <w:noWrap/>
            <w:vAlign w:val="bottom"/>
            <w:hideMark/>
          </w:tcPr>
          <w:p w14:paraId="4C618D0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127</w:t>
            </w:r>
          </w:p>
        </w:tc>
        <w:tc>
          <w:tcPr>
            <w:tcW w:w="252" w:type="pct"/>
            <w:tcBorders>
              <w:top w:val="nil"/>
              <w:left w:val="nil"/>
              <w:bottom w:val="dotted" w:sz="4" w:space="0" w:color="auto"/>
              <w:right w:val="dotted" w:sz="4" w:space="0" w:color="auto"/>
            </w:tcBorders>
            <w:shd w:val="clear" w:color="000000" w:fill="D9E1F2"/>
            <w:noWrap/>
            <w:vAlign w:val="bottom"/>
            <w:hideMark/>
          </w:tcPr>
          <w:p w14:paraId="556D371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126</w:t>
            </w:r>
          </w:p>
        </w:tc>
        <w:tc>
          <w:tcPr>
            <w:tcW w:w="252" w:type="pct"/>
            <w:tcBorders>
              <w:top w:val="nil"/>
              <w:left w:val="nil"/>
              <w:bottom w:val="dotted" w:sz="4" w:space="0" w:color="auto"/>
              <w:right w:val="dotted" w:sz="4" w:space="0" w:color="auto"/>
            </w:tcBorders>
            <w:shd w:val="clear" w:color="000000" w:fill="D9E1F2"/>
            <w:noWrap/>
            <w:vAlign w:val="bottom"/>
            <w:hideMark/>
          </w:tcPr>
          <w:p w14:paraId="59E7418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127</w:t>
            </w:r>
          </w:p>
        </w:tc>
        <w:tc>
          <w:tcPr>
            <w:tcW w:w="252" w:type="pct"/>
            <w:tcBorders>
              <w:top w:val="nil"/>
              <w:left w:val="nil"/>
              <w:bottom w:val="dotted" w:sz="4" w:space="0" w:color="auto"/>
              <w:right w:val="dotted" w:sz="4" w:space="0" w:color="auto"/>
            </w:tcBorders>
            <w:shd w:val="clear" w:color="000000" w:fill="D9E1F2"/>
            <w:noWrap/>
            <w:vAlign w:val="bottom"/>
            <w:hideMark/>
          </w:tcPr>
          <w:p w14:paraId="17C8A4A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113</w:t>
            </w:r>
          </w:p>
        </w:tc>
        <w:tc>
          <w:tcPr>
            <w:tcW w:w="252" w:type="pct"/>
            <w:tcBorders>
              <w:top w:val="nil"/>
              <w:left w:val="nil"/>
              <w:bottom w:val="dotted" w:sz="4" w:space="0" w:color="auto"/>
              <w:right w:val="dotted" w:sz="4" w:space="0" w:color="auto"/>
            </w:tcBorders>
            <w:shd w:val="clear" w:color="000000" w:fill="D9E1F2"/>
            <w:noWrap/>
            <w:vAlign w:val="bottom"/>
            <w:hideMark/>
          </w:tcPr>
          <w:p w14:paraId="0761ED7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92</w:t>
            </w:r>
          </w:p>
        </w:tc>
        <w:tc>
          <w:tcPr>
            <w:tcW w:w="252" w:type="pct"/>
            <w:tcBorders>
              <w:top w:val="nil"/>
              <w:left w:val="nil"/>
              <w:bottom w:val="dotted" w:sz="4" w:space="0" w:color="auto"/>
              <w:right w:val="dotted" w:sz="4" w:space="0" w:color="auto"/>
            </w:tcBorders>
            <w:shd w:val="clear" w:color="000000" w:fill="D9E1F2"/>
            <w:noWrap/>
            <w:vAlign w:val="bottom"/>
            <w:hideMark/>
          </w:tcPr>
          <w:p w14:paraId="52DEE02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100</w:t>
            </w:r>
          </w:p>
        </w:tc>
        <w:tc>
          <w:tcPr>
            <w:tcW w:w="252" w:type="pct"/>
            <w:tcBorders>
              <w:top w:val="nil"/>
              <w:left w:val="nil"/>
              <w:bottom w:val="dotted" w:sz="4" w:space="0" w:color="auto"/>
              <w:right w:val="dotted" w:sz="4" w:space="0" w:color="auto"/>
            </w:tcBorders>
            <w:shd w:val="clear" w:color="000000" w:fill="D9E1F2"/>
            <w:noWrap/>
            <w:vAlign w:val="bottom"/>
            <w:hideMark/>
          </w:tcPr>
          <w:p w14:paraId="4B4A9C7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108</w:t>
            </w:r>
          </w:p>
        </w:tc>
        <w:tc>
          <w:tcPr>
            <w:tcW w:w="252" w:type="pct"/>
            <w:tcBorders>
              <w:top w:val="nil"/>
              <w:left w:val="nil"/>
              <w:bottom w:val="dotted" w:sz="4" w:space="0" w:color="auto"/>
              <w:right w:val="dotted" w:sz="4" w:space="0" w:color="auto"/>
            </w:tcBorders>
            <w:shd w:val="clear" w:color="000000" w:fill="D9E1F2"/>
            <w:noWrap/>
            <w:vAlign w:val="bottom"/>
            <w:hideMark/>
          </w:tcPr>
          <w:p w14:paraId="0861B96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100</w:t>
            </w:r>
          </w:p>
        </w:tc>
        <w:tc>
          <w:tcPr>
            <w:tcW w:w="252" w:type="pct"/>
            <w:tcBorders>
              <w:top w:val="nil"/>
              <w:left w:val="nil"/>
              <w:bottom w:val="dotted" w:sz="4" w:space="0" w:color="auto"/>
              <w:right w:val="dotted" w:sz="4" w:space="0" w:color="auto"/>
            </w:tcBorders>
            <w:shd w:val="clear" w:color="000000" w:fill="D9E1F2"/>
            <w:noWrap/>
            <w:vAlign w:val="bottom"/>
            <w:hideMark/>
          </w:tcPr>
          <w:p w14:paraId="2812906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102</w:t>
            </w:r>
          </w:p>
        </w:tc>
        <w:tc>
          <w:tcPr>
            <w:tcW w:w="252" w:type="pct"/>
            <w:tcBorders>
              <w:top w:val="nil"/>
              <w:left w:val="nil"/>
              <w:bottom w:val="dotted" w:sz="4" w:space="0" w:color="auto"/>
              <w:right w:val="dotted" w:sz="4" w:space="0" w:color="auto"/>
            </w:tcBorders>
            <w:shd w:val="clear" w:color="000000" w:fill="D9E1F2"/>
            <w:noWrap/>
            <w:vAlign w:val="bottom"/>
            <w:hideMark/>
          </w:tcPr>
          <w:p w14:paraId="6B3A1C5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97</w:t>
            </w:r>
          </w:p>
        </w:tc>
        <w:tc>
          <w:tcPr>
            <w:tcW w:w="252" w:type="pct"/>
            <w:tcBorders>
              <w:top w:val="nil"/>
              <w:left w:val="nil"/>
              <w:bottom w:val="dotted" w:sz="4" w:space="0" w:color="auto"/>
              <w:right w:val="dotted" w:sz="4" w:space="0" w:color="auto"/>
            </w:tcBorders>
            <w:shd w:val="clear" w:color="000000" w:fill="D9E1F2"/>
            <w:noWrap/>
            <w:vAlign w:val="bottom"/>
            <w:hideMark/>
          </w:tcPr>
          <w:p w14:paraId="2F5E823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103</w:t>
            </w:r>
          </w:p>
        </w:tc>
        <w:tc>
          <w:tcPr>
            <w:tcW w:w="252" w:type="pct"/>
            <w:tcBorders>
              <w:top w:val="nil"/>
              <w:left w:val="nil"/>
              <w:bottom w:val="dotted" w:sz="4" w:space="0" w:color="auto"/>
              <w:right w:val="dotted" w:sz="4" w:space="0" w:color="auto"/>
            </w:tcBorders>
            <w:shd w:val="clear" w:color="000000" w:fill="D9E1F2"/>
            <w:noWrap/>
            <w:vAlign w:val="bottom"/>
            <w:hideMark/>
          </w:tcPr>
          <w:p w14:paraId="57B7140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102</w:t>
            </w:r>
          </w:p>
        </w:tc>
        <w:tc>
          <w:tcPr>
            <w:tcW w:w="422" w:type="pct"/>
            <w:tcBorders>
              <w:top w:val="nil"/>
              <w:left w:val="nil"/>
              <w:bottom w:val="dotted" w:sz="4" w:space="0" w:color="auto"/>
              <w:right w:val="single" w:sz="8" w:space="0" w:color="auto"/>
            </w:tcBorders>
            <w:shd w:val="clear" w:color="000000" w:fill="808080"/>
            <w:noWrap/>
            <w:vAlign w:val="bottom"/>
            <w:hideMark/>
          </w:tcPr>
          <w:p w14:paraId="258867C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w:t>
            </w:r>
          </w:p>
        </w:tc>
      </w:tr>
      <w:tr w:rsidR="00CF7396" w:rsidRPr="00CF7396" w14:paraId="5647A5CD"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296AF246" w14:textId="77777777" w:rsidR="00CF7396" w:rsidRPr="00CF7396" w:rsidRDefault="00CF7396" w:rsidP="00CF7396">
            <w:pPr>
              <w:rPr>
                <w:b/>
                <w:bCs/>
                <w:color w:val="000000" w:themeColor="text1"/>
                <w:lang w:val="es-CR" w:eastAsia="es-CR"/>
              </w:rPr>
            </w:pPr>
          </w:p>
        </w:tc>
        <w:tc>
          <w:tcPr>
            <w:tcW w:w="561" w:type="pct"/>
            <w:vMerge w:val="restart"/>
            <w:tcBorders>
              <w:top w:val="nil"/>
              <w:left w:val="dotted" w:sz="4" w:space="0" w:color="auto"/>
              <w:bottom w:val="dotted" w:sz="4" w:space="0" w:color="auto"/>
              <w:right w:val="dotted" w:sz="4" w:space="0" w:color="auto"/>
            </w:tcBorders>
            <w:shd w:val="clear" w:color="000000" w:fill="D9E1F2"/>
            <w:vAlign w:val="center"/>
            <w:hideMark/>
          </w:tcPr>
          <w:p w14:paraId="06DD359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Violencia Doméstica</w:t>
            </w:r>
          </w:p>
        </w:tc>
        <w:tc>
          <w:tcPr>
            <w:tcW w:w="432" w:type="pct"/>
            <w:tcBorders>
              <w:top w:val="nil"/>
              <w:left w:val="nil"/>
              <w:bottom w:val="dotted" w:sz="4" w:space="0" w:color="auto"/>
              <w:right w:val="dotted" w:sz="4" w:space="0" w:color="auto"/>
            </w:tcBorders>
            <w:shd w:val="clear" w:color="000000" w:fill="D9E1F2"/>
            <w:noWrap/>
            <w:vAlign w:val="bottom"/>
            <w:hideMark/>
          </w:tcPr>
          <w:p w14:paraId="6F5D59E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Entrada</w:t>
            </w:r>
          </w:p>
        </w:tc>
        <w:tc>
          <w:tcPr>
            <w:tcW w:w="252" w:type="pct"/>
            <w:tcBorders>
              <w:top w:val="nil"/>
              <w:left w:val="nil"/>
              <w:bottom w:val="dotted" w:sz="4" w:space="0" w:color="auto"/>
              <w:right w:val="dotted" w:sz="4" w:space="0" w:color="auto"/>
            </w:tcBorders>
            <w:shd w:val="clear" w:color="000000" w:fill="D9E1F2"/>
            <w:noWrap/>
            <w:vAlign w:val="bottom"/>
            <w:hideMark/>
          </w:tcPr>
          <w:p w14:paraId="6B4F361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42</w:t>
            </w:r>
          </w:p>
        </w:tc>
        <w:tc>
          <w:tcPr>
            <w:tcW w:w="252" w:type="pct"/>
            <w:tcBorders>
              <w:top w:val="nil"/>
              <w:left w:val="nil"/>
              <w:bottom w:val="dotted" w:sz="4" w:space="0" w:color="auto"/>
              <w:right w:val="dotted" w:sz="4" w:space="0" w:color="auto"/>
            </w:tcBorders>
            <w:shd w:val="clear" w:color="000000" w:fill="D9E1F2"/>
            <w:noWrap/>
            <w:vAlign w:val="bottom"/>
            <w:hideMark/>
          </w:tcPr>
          <w:p w14:paraId="58DB8A6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44</w:t>
            </w:r>
          </w:p>
        </w:tc>
        <w:tc>
          <w:tcPr>
            <w:tcW w:w="252" w:type="pct"/>
            <w:tcBorders>
              <w:top w:val="nil"/>
              <w:left w:val="nil"/>
              <w:bottom w:val="dotted" w:sz="4" w:space="0" w:color="auto"/>
              <w:right w:val="dotted" w:sz="4" w:space="0" w:color="auto"/>
            </w:tcBorders>
            <w:shd w:val="clear" w:color="000000" w:fill="D9E1F2"/>
            <w:noWrap/>
            <w:vAlign w:val="bottom"/>
            <w:hideMark/>
          </w:tcPr>
          <w:p w14:paraId="7958FD6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62</w:t>
            </w:r>
          </w:p>
        </w:tc>
        <w:tc>
          <w:tcPr>
            <w:tcW w:w="252" w:type="pct"/>
            <w:tcBorders>
              <w:top w:val="nil"/>
              <w:left w:val="nil"/>
              <w:bottom w:val="dotted" w:sz="4" w:space="0" w:color="auto"/>
              <w:right w:val="dotted" w:sz="4" w:space="0" w:color="auto"/>
            </w:tcBorders>
            <w:shd w:val="clear" w:color="000000" w:fill="D9E1F2"/>
            <w:noWrap/>
            <w:vAlign w:val="bottom"/>
            <w:hideMark/>
          </w:tcPr>
          <w:p w14:paraId="65FE923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45</w:t>
            </w:r>
          </w:p>
        </w:tc>
        <w:tc>
          <w:tcPr>
            <w:tcW w:w="252" w:type="pct"/>
            <w:tcBorders>
              <w:top w:val="nil"/>
              <w:left w:val="nil"/>
              <w:bottom w:val="dotted" w:sz="4" w:space="0" w:color="auto"/>
              <w:right w:val="dotted" w:sz="4" w:space="0" w:color="auto"/>
            </w:tcBorders>
            <w:shd w:val="clear" w:color="000000" w:fill="D9E1F2"/>
            <w:noWrap/>
            <w:vAlign w:val="bottom"/>
            <w:hideMark/>
          </w:tcPr>
          <w:p w14:paraId="723D19F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48</w:t>
            </w:r>
          </w:p>
        </w:tc>
        <w:tc>
          <w:tcPr>
            <w:tcW w:w="252" w:type="pct"/>
            <w:tcBorders>
              <w:top w:val="nil"/>
              <w:left w:val="nil"/>
              <w:bottom w:val="dotted" w:sz="4" w:space="0" w:color="auto"/>
              <w:right w:val="dotted" w:sz="4" w:space="0" w:color="auto"/>
            </w:tcBorders>
            <w:shd w:val="clear" w:color="000000" w:fill="D9E1F2"/>
            <w:noWrap/>
            <w:vAlign w:val="bottom"/>
            <w:hideMark/>
          </w:tcPr>
          <w:p w14:paraId="2D1A9AA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44</w:t>
            </w:r>
          </w:p>
        </w:tc>
        <w:tc>
          <w:tcPr>
            <w:tcW w:w="252" w:type="pct"/>
            <w:tcBorders>
              <w:top w:val="nil"/>
              <w:left w:val="nil"/>
              <w:bottom w:val="dotted" w:sz="4" w:space="0" w:color="auto"/>
              <w:right w:val="dotted" w:sz="4" w:space="0" w:color="auto"/>
            </w:tcBorders>
            <w:shd w:val="clear" w:color="000000" w:fill="D9E1F2"/>
            <w:noWrap/>
            <w:vAlign w:val="bottom"/>
            <w:hideMark/>
          </w:tcPr>
          <w:p w14:paraId="70AB1AC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45</w:t>
            </w:r>
          </w:p>
        </w:tc>
        <w:tc>
          <w:tcPr>
            <w:tcW w:w="252" w:type="pct"/>
            <w:tcBorders>
              <w:top w:val="nil"/>
              <w:left w:val="nil"/>
              <w:bottom w:val="dotted" w:sz="4" w:space="0" w:color="auto"/>
              <w:right w:val="dotted" w:sz="4" w:space="0" w:color="auto"/>
            </w:tcBorders>
            <w:shd w:val="clear" w:color="000000" w:fill="D9E1F2"/>
            <w:noWrap/>
            <w:vAlign w:val="bottom"/>
            <w:hideMark/>
          </w:tcPr>
          <w:p w14:paraId="6F2F540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71</w:t>
            </w:r>
          </w:p>
        </w:tc>
        <w:tc>
          <w:tcPr>
            <w:tcW w:w="252" w:type="pct"/>
            <w:tcBorders>
              <w:top w:val="nil"/>
              <w:left w:val="nil"/>
              <w:bottom w:val="dotted" w:sz="4" w:space="0" w:color="auto"/>
              <w:right w:val="dotted" w:sz="4" w:space="0" w:color="auto"/>
            </w:tcBorders>
            <w:shd w:val="clear" w:color="000000" w:fill="D9E1F2"/>
            <w:noWrap/>
            <w:vAlign w:val="bottom"/>
            <w:hideMark/>
          </w:tcPr>
          <w:p w14:paraId="05B6933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60</w:t>
            </w:r>
          </w:p>
        </w:tc>
        <w:tc>
          <w:tcPr>
            <w:tcW w:w="252" w:type="pct"/>
            <w:tcBorders>
              <w:top w:val="nil"/>
              <w:left w:val="nil"/>
              <w:bottom w:val="dotted" w:sz="4" w:space="0" w:color="auto"/>
              <w:right w:val="dotted" w:sz="4" w:space="0" w:color="auto"/>
            </w:tcBorders>
            <w:shd w:val="clear" w:color="000000" w:fill="D9E1F2"/>
            <w:noWrap/>
            <w:vAlign w:val="bottom"/>
            <w:hideMark/>
          </w:tcPr>
          <w:p w14:paraId="483976C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59</w:t>
            </w:r>
          </w:p>
        </w:tc>
        <w:tc>
          <w:tcPr>
            <w:tcW w:w="252" w:type="pct"/>
            <w:tcBorders>
              <w:top w:val="nil"/>
              <w:left w:val="nil"/>
              <w:bottom w:val="dotted" w:sz="4" w:space="0" w:color="auto"/>
              <w:right w:val="dotted" w:sz="4" w:space="0" w:color="auto"/>
            </w:tcBorders>
            <w:shd w:val="clear" w:color="000000" w:fill="D9E1F2"/>
            <w:noWrap/>
            <w:vAlign w:val="bottom"/>
            <w:hideMark/>
          </w:tcPr>
          <w:p w14:paraId="5F8E57B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73</w:t>
            </w:r>
          </w:p>
        </w:tc>
        <w:tc>
          <w:tcPr>
            <w:tcW w:w="252" w:type="pct"/>
            <w:tcBorders>
              <w:top w:val="nil"/>
              <w:left w:val="nil"/>
              <w:bottom w:val="dotted" w:sz="4" w:space="0" w:color="auto"/>
              <w:right w:val="dotted" w:sz="4" w:space="0" w:color="auto"/>
            </w:tcBorders>
            <w:shd w:val="clear" w:color="000000" w:fill="D9E1F2"/>
            <w:noWrap/>
            <w:vAlign w:val="bottom"/>
            <w:hideMark/>
          </w:tcPr>
          <w:p w14:paraId="72C7830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56</w:t>
            </w:r>
          </w:p>
        </w:tc>
        <w:tc>
          <w:tcPr>
            <w:tcW w:w="422" w:type="pct"/>
            <w:tcBorders>
              <w:top w:val="nil"/>
              <w:left w:val="nil"/>
              <w:bottom w:val="dotted" w:sz="4" w:space="0" w:color="auto"/>
              <w:right w:val="single" w:sz="8" w:space="0" w:color="auto"/>
            </w:tcBorders>
            <w:shd w:val="clear" w:color="000000" w:fill="D9E1F2"/>
            <w:noWrap/>
            <w:vAlign w:val="bottom"/>
            <w:hideMark/>
          </w:tcPr>
          <w:p w14:paraId="6AFBBB2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56</w:t>
            </w:r>
          </w:p>
        </w:tc>
      </w:tr>
      <w:tr w:rsidR="00CF7396" w:rsidRPr="00CF7396" w14:paraId="7425DC3A"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15B09333"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320BCA52"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D9E1F2"/>
            <w:noWrap/>
            <w:vAlign w:val="bottom"/>
            <w:hideMark/>
          </w:tcPr>
          <w:p w14:paraId="095D678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Terminados </w:t>
            </w:r>
          </w:p>
        </w:tc>
        <w:tc>
          <w:tcPr>
            <w:tcW w:w="252" w:type="pct"/>
            <w:tcBorders>
              <w:top w:val="nil"/>
              <w:left w:val="nil"/>
              <w:bottom w:val="dotted" w:sz="4" w:space="0" w:color="auto"/>
              <w:right w:val="dotted" w:sz="4" w:space="0" w:color="auto"/>
            </w:tcBorders>
            <w:shd w:val="clear" w:color="000000" w:fill="D9E1F2"/>
            <w:noWrap/>
            <w:vAlign w:val="bottom"/>
            <w:hideMark/>
          </w:tcPr>
          <w:p w14:paraId="5F58B72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61</w:t>
            </w:r>
          </w:p>
        </w:tc>
        <w:tc>
          <w:tcPr>
            <w:tcW w:w="252" w:type="pct"/>
            <w:tcBorders>
              <w:top w:val="nil"/>
              <w:left w:val="nil"/>
              <w:bottom w:val="dotted" w:sz="4" w:space="0" w:color="auto"/>
              <w:right w:val="dotted" w:sz="4" w:space="0" w:color="auto"/>
            </w:tcBorders>
            <w:shd w:val="clear" w:color="000000" w:fill="D9E1F2"/>
            <w:noWrap/>
            <w:vAlign w:val="bottom"/>
            <w:hideMark/>
          </w:tcPr>
          <w:p w14:paraId="69770D3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34</w:t>
            </w:r>
          </w:p>
        </w:tc>
        <w:tc>
          <w:tcPr>
            <w:tcW w:w="252" w:type="pct"/>
            <w:tcBorders>
              <w:top w:val="nil"/>
              <w:left w:val="nil"/>
              <w:bottom w:val="dotted" w:sz="4" w:space="0" w:color="auto"/>
              <w:right w:val="dotted" w:sz="4" w:space="0" w:color="auto"/>
            </w:tcBorders>
            <w:shd w:val="clear" w:color="000000" w:fill="D9E1F2"/>
            <w:noWrap/>
            <w:vAlign w:val="bottom"/>
            <w:hideMark/>
          </w:tcPr>
          <w:p w14:paraId="1743AE3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71</w:t>
            </w:r>
          </w:p>
        </w:tc>
        <w:tc>
          <w:tcPr>
            <w:tcW w:w="252" w:type="pct"/>
            <w:tcBorders>
              <w:top w:val="nil"/>
              <w:left w:val="nil"/>
              <w:bottom w:val="dotted" w:sz="4" w:space="0" w:color="auto"/>
              <w:right w:val="dotted" w:sz="4" w:space="0" w:color="auto"/>
            </w:tcBorders>
            <w:shd w:val="clear" w:color="000000" w:fill="D9E1F2"/>
            <w:noWrap/>
            <w:vAlign w:val="bottom"/>
            <w:hideMark/>
          </w:tcPr>
          <w:p w14:paraId="1A7FFBC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63</w:t>
            </w:r>
          </w:p>
        </w:tc>
        <w:tc>
          <w:tcPr>
            <w:tcW w:w="252" w:type="pct"/>
            <w:tcBorders>
              <w:top w:val="nil"/>
              <w:left w:val="nil"/>
              <w:bottom w:val="dotted" w:sz="4" w:space="0" w:color="auto"/>
              <w:right w:val="dotted" w:sz="4" w:space="0" w:color="auto"/>
            </w:tcBorders>
            <w:shd w:val="clear" w:color="000000" w:fill="D9E1F2"/>
            <w:noWrap/>
            <w:vAlign w:val="bottom"/>
            <w:hideMark/>
          </w:tcPr>
          <w:p w14:paraId="3AEBD6A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33</w:t>
            </w:r>
          </w:p>
        </w:tc>
        <w:tc>
          <w:tcPr>
            <w:tcW w:w="252" w:type="pct"/>
            <w:tcBorders>
              <w:top w:val="nil"/>
              <w:left w:val="nil"/>
              <w:bottom w:val="dotted" w:sz="4" w:space="0" w:color="auto"/>
              <w:right w:val="dotted" w:sz="4" w:space="0" w:color="auto"/>
            </w:tcBorders>
            <w:shd w:val="clear" w:color="000000" w:fill="D9E1F2"/>
            <w:noWrap/>
            <w:vAlign w:val="bottom"/>
            <w:hideMark/>
          </w:tcPr>
          <w:p w14:paraId="049726E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w:t>
            </w:r>
          </w:p>
        </w:tc>
        <w:tc>
          <w:tcPr>
            <w:tcW w:w="252" w:type="pct"/>
            <w:tcBorders>
              <w:top w:val="nil"/>
              <w:left w:val="nil"/>
              <w:bottom w:val="dotted" w:sz="4" w:space="0" w:color="auto"/>
              <w:right w:val="dotted" w:sz="4" w:space="0" w:color="auto"/>
            </w:tcBorders>
            <w:shd w:val="clear" w:color="000000" w:fill="D9E1F2"/>
            <w:noWrap/>
            <w:vAlign w:val="bottom"/>
            <w:hideMark/>
          </w:tcPr>
          <w:p w14:paraId="35BB478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67</w:t>
            </w:r>
          </w:p>
        </w:tc>
        <w:tc>
          <w:tcPr>
            <w:tcW w:w="252" w:type="pct"/>
            <w:tcBorders>
              <w:top w:val="nil"/>
              <w:left w:val="nil"/>
              <w:bottom w:val="dotted" w:sz="4" w:space="0" w:color="auto"/>
              <w:right w:val="dotted" w:sz="4" w:space="0" w:color="auto"/>
            </w:tcBorders>
            <w:shd w:val="clear" w:color="000000" w:fill="D9E1F2"/>
            <w:noWrap/>
            <w:vAlign w:val="bottom"/>
            <w:hideMark/>
          </w:tcPr>
          <w:p w14:paraId="6CB3CBF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33</w:t>
            </w:r>
          </w:p>
        </w:tc>
        <w:tc>
          <w:tcPr>
            <w:tcW w:w="252" w:type="pct"/>
            <w:tcBorders>
              <w:top w:val="nil"/>
              <w:left w:val="nil"/>
              <w:bottom w:val="dotted" w:sz="4" w:space="0" w:color="auto"/>
              <w:right w:val="dotted" w:sz="4" w:space="0" w:color="auto"/>
            </w:tcBorders>
            <w:shd w:val="clear" w:color="000000" w:fill="D9E1F2"/>
            <w:noWrap/>
            <w:vAlign w:val="bottom"/>
            <w:hideMark/>
          </w:tcPr>
          <w:p w14:paraId="48A4152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72</w:t>
            </w:r>
          </w:p>
        </w:tc>
        <w:tc>
          <w:tcPr>
            <w:tcW w:w="252" w:type="pct"/>
            <w:tcBorders>
              <w:top w:val="nil"/>
              <w:left w:val="nil"/>
              <w:bottom w:val="dotted" w:sz="4" w:space="0" w:color="auto"/>
              <w:right w:val="dotted" w:sz="4" w:space="0" w:color="auto"/>
            </w:tcBorders>
            <w:shd w:val="clear" w:color="000000" w:fill="D9E1F2"/>
            <w:noWrap/>
            <w:vAlign w:val="bottom"/>
            <w:hideMark/>
          </w:tcPr>
          <w:p w14:paraId="59CD286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65</w:t>
            </w:r>
          </w:p>
        </w:tc>
        <w:tc>
          <w:tcPr>
            <w:tcW w:w="252" w:type="pct"/>
            <w:tcBorders>
              <w:top w:val="nil"/>
              <w:left w:val="nil"/>
              <w:bottom w:val="dotted" w:sz="4" w:space="0" w:color="auto"/>
              <w:right w:val="dotted" w:sz="4" w:space="0" w:color="auto"/>
            </w:tcBorders>
            <w:shd w:val="clear" w:color="000000" w:fill="D9E1F2"/>
            <w:noWrap/>
            <w:vAlign w:val="bottom"/>
            <w:hideMark/>
          </w:tcPr>
          <w:p w14:paraId="2E93D51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58</w:t>
            </w:r>
          </w:p>
        </w:tc>
        <w:tc>
          <w:tcPr>
            <w:tcW w:w="252" w:type="pct"/>
            <w:tcBorders>
              <w:top w:val="nil"/>
              <w:left w:val="nil"/>
              <w:bottom w:val="dotted" w:sz="4" w:space="0" w:color="auto"/>
              <w:right w:val="dotted" w:sz="4" w:space="0" w:color="auto"/>
            </w:tcBorders>
            <w:shd w:val="clear" w:color="000000" w:fill="D9E1F2"/>
            <w:noWrap/>
            <w:vAlign w:val="bottom"/>
            <w:hideMark/>
          </w:tcPr>
          <w:p w14:paraId="78623C0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38</w:t>
            </w:r>
          </w:p>
        </w:tc>
        <w:tc>
          <w:tcPr>
            <w:tcW w:w="422" w:type="pct"/>
            <w:tcBorders>
              <w:top w:val="nil"/>
              <w:left w:val="nil"/>
              <w:bottom w:val="dotted" w:sz="4" w:space="0" w:color="auto"/>
              <w:right w:val="single" w:sz="8" w:space="0" w:color="auto"/>
            </w:tcBorders>
            <w:shd w:val="clear" w:color="000000" w:fill="D9E1F2"/>
            <w:noWrap/>
            <w:vAlign w:val="bottom"/>
            <w:hideMark/>
          </w:tcPr>
          <w:p w14:paraId="6BA6AC1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54</w:t>
            </w:r>
          </w:p>
        </w:tc>
      </w:tr>
      <w:tr w:rsidR="00CF7396" w:rsidRPr="00CF7396" w14:paraId="19ABFA49"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6B7E9B79"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731F5B47"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D9E1F2"/>
            <w:noWrap/>
            <w:vAlign w:val="bottom"/>
            <w:hideMark/>
          </w:tcPr>
          <w:p w14:paraId="14FDA96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Circulante</w:t>
            </w:r>
          </w:p>
        </w:tc>
        <w:tc>
          <w:tcPr>
            <w:tcW w:w="252" w:type="pct"/>
            <w:tcBorders>
              <w:top w:val="nil"/>
              <w:left w:val="nil"/>
              <w:bottom w:val="dotted" w:sz="4" w:space="0" w:color="auto"/>
              <w:right w:val="dotted" w:sz="4" w:space="0" w:color="auto"/>
            </w:tcBorders>
            <w:shd w:val="clear" w:color="000000" w:fill="D9E1F2"/>
            <w:noWrap/>
            <w:vAlign w:val="bottom"/>
            <w:hideMark/>
          </w:tcPr>
          <w:p w14:paraId="6258C2E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564</w:t>
            </w:r>
          </w:p>
        </w:tc>
        <w:tc>
          <w:tcPr>
            <w:tcW w:w="252" w:type="pct"/>
            <w:tcBorders>
              <w:top w:val="nil"/>
              <w:left w:val="nil"/>
              <w:bottom w:val="dotted" w:sz="4" w:space="0" w:color="auto"/>
              <w:right w:val="dotted" w:sz="4" w:space="0" w:color="auto"/>
            </w:tcBorders>
            <w:shd w:val="clear" w:color="000000" w:fill="D9E1F2"/>
            <w:noWrap/>
            <w:vAlign w:val="bottom"/>
            <w:hideMark/>
          </w:tcPr>
          <w:p w14:paraId="023B47F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575</w:t>
            </w:r>
          </w:p>
        </w:tc>
        <w:tc>
          <w:tcPr>
            <w:tcW w:w="252" w:type="pct"/>
            <w:tcBorders>
              <w:top w:val="nil"/>
              <w:left w:val="nil"/>
              <w:bottom w:val="dotted" w:sz="4" w:space="0" w:color="auto"/>
              <w:right w:val="dotted" w:sz="4" w:space="0" w:color="auto"/>
            </w:tcBorders>
            <w:shd w:val="clear" w:color="000000" w:fill="D9E1F2"/>
            <w:noWrap/>
            <w:vAlign w:val="bottom"/>
            <w:hideMark/>
          </w:tcPr>
          <w:p w14:paraId="3744428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566</w:t>
            </w:r>
          </w:p>
        </w:tc>
        <w:tc>
          <w:tcPr>
            <w:tcW w:w="252" w:type="pct"/>
            <w:tcBorders>
              <w:top w:val="nil"/>
              <w:left w:val="nil"/>
              <w:bottom w:val="dotted" w:sz="4" w:space="0" w:color="auto"/>
              <w:right w:val="dotted" w:sz="4" w:space="0" w:color="auto"/>
            </w:tcBorders>
            <w:shd w:val="clear" w:color="000000" w:fill="D9E1F2"/>
            <w:noWrap/>
            <w:vAlign w:val="bottom"/>
            <w:hideMark/>
          </w:tcPr>
          <w:p w14:paraId="50B8AAD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549</w:t>
            </w:r>
          </w:p>
        </w:tc>
        <w:tc>
          <w:tcPr>
            <w:tcW w:w="252" w:type="pct"/>
            <w:tcBorders>
              <w:top w:val="nil"/>
              <w:left w:val="nil"/>
              <w:bottom w:val="dotted" w:sz="4" w:space="0" w:color="auto"/>
              <w:right w:val="dotted" w:sz="4" w:space="0" w:color="auto"/>
            </w:tcBorders>
            <w:shd w:val="clear" w:color="000000" w:fill="D9E1F2"/>
            <w:noWrap/>
            <w:vAlign w:val="bottom"/>
            <w:hideMark/>
          </w:tcPr>
          <w:p w14:paraId="577F696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564</w:t>
            </w:r>
          </w:p>
        </w:tc>
        <w:tc>
          <w:tcPr>
            <w:tcW w:w="252" w:type="pct"/>
            <w:tcBorders>
              <w:top w:val="nil"/>
              <w:left w:val="nil"/>
              <w:bottom w:val="dotted" w:sz="4" w:space="0" w:color="auto"/>
              <w:right w:val="dotted" w:sz="4" w:space="0" w:color="auto"/>
            </w:tcBorders>
            <w:shd w:val="clear" w:color="000000" w:fill="D9E1F2"/>
            <w:noWrap/>
            <w:vAlign w:val="bottom"/>
            <w:hideMark/>
          </w:tcPr>
          <w:p w14:paraId="4DFC5A9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580</w:t>
            </w:r>
          </w:p>
        </w:tc>
        <w:tc>
          <w:tcPr>
            <w:tcW w:w="252" w:type="pct"/>
            <w:tcBorders>
              <w:top w:val="nil"/>
              <w:left w:val="nil"/>
              <w:bottom w:val="dotted" w:sz="4" w:space="0" w:color="auto"/>
              <w:right w:val="dotted" w:sz="4" w:space="0" w:color="auto"/>
            </w:tcBorders>
            <w:shd w:val="clear" w:color="000000" w:fill="D9E1F2"/>
            <w:noWrap/>
            <w:vAlign w:val="bottom"/>
            <w:hideMark/>
          </w:tcPr>
          <w:p w14:paraId="652BD3C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560</w:t>
            </w:r>
          </w:p>
        </w:tc>
        <w:tc>
          <w:tcPr>
            <w:tcW w:w="252" w:type="pct"/>
            <w:tcBorders>
              <w:top w:val="nil"/>
              <w:left w:val="nil"/>
              <w:bottom w:val="dotted" w:sz="4" w:space="0" w:color="auto"/>
              <w:right w:val="dotted" w:sz="4" w:space="0" w:color="auto"/>
            </w:tcBorders>
            <w:shd w:val="clear" w:color="000000" w:fill="D9E1F2"/>
            <w:noWrap/>
            <w:vAlign w:val="bottom"/>
            <w:hideMark/>
          </w:tcPr>
          <w:p w14:paraId="5D6773D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599</w:t>
            </w:r>
          </w:p>
        </w:tc>
        <w:tc>
          <w:tcPr>
            <w:tcW w:w="252" w:type="pct"/>
            <w:tcBorders>
              <w:top w:val="nil"/>
              <w:left w:val="nil"/>
              <w:bottom w:val="dotted" w:sz="4" w:space="0" w:color="auto"/>
              <w:right w:val="dotted" w:sz="4" w:space="0" w:color="auto"/>
            </w:tcBorders>
            <w:shd w:val="clear" w:color="000000" w:fill="D9E1F2"/>
            <w:noWrap/>
            <w:vAlign w:val="bottom"/>
            <w:hideMark/>
          </w:tcPr>
          <w:p w14:paraId="64D4126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587</w:t>
            </w:r>
          </w:p>
        </w:tc>
        <w:tc>
          <w:tcPr>
            <w:tcW w:w="252" w:type="pct"/>
            <w:tcBorders>
              <w:top w:val="nil"/>
              <w:left w:val="nil"/>
              <w:bottom w:val="dotted" w:sz="4" w:space="0" w:color="auto"/>
              <w:right w:val="dotted" w:sz="4" w:space="0" w:color="auto"/>
            </w:tcBorders>
            <w:shd w:val="clear" w:color="000000" w:fill="D9E1F2"/>
            <w:noWrap/>
            <w:vAlign w:val="bottom"/>
            <w:hideMark/>
          </w:tcPr>
          <w:p w14:paraId="36D34A6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581</w:t>
            </w:r>
          </w:p>
        </w:tc>
        <w:tc>
          <w:tcPr>
            <w:tcW w:w="252" w:type="pct"/>
            <w:tcBorders>
              <w:top w:val="nil"/>
              <w:left w:val="nil"/>
              <w:bottom w:val="dotted" w:sz="4" w:space="0" w:color="auto"/>
              <w:right w:val="dotted" w:sz="4" w:space="0" w:color="auto"/>
            </w:tcBorders>
            <w:shd w:val="clear" w:color="000000" w:fill="D9E1F2"/>
            <w:noWrap/>
            <w:vAlign w:val="bottom"/>
            <w:hideMark/>
          </w:tcPr>
          <w:p w14:paraId="62D9CF0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597</w:t>
            </w:r>
          </w:p>
        </w:tc>
        <w:tc>
          <w:tcPr>
            <w:tcW w:w="252" w:type="pct"/>
            <w:tcBorders>
              <w:top w:val="nil"/>
              <w:left w:val="nil"/>
              <w:bottom w:val="dotted" w:sz="4" w:space="0" w:color="auto"/>
              <w:right w:val="dotted" w:sz="4" w:space="0" w:color="auto"/>
            </w:tcBorders>
            <w:shd w:val="clear" w:color="000000" w:fill="D9E1F2"/>
            <w:noWrap/>
            <w:vAlign w:val="bottom"/>
            <w:hideMark/>
          </w:tcPr>
          <w:p w14:paraId="58E7D3D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616</w:t>
            </w:r>
          </w:p>
        </w:tc>
        <w:tc>
          <w:tcPr>
            <w:tcW w:w="422" w:type="pct"/>
            <w:tcBorders>
              <w:top w:val="nil"/>
              <w:left w:val="nil"/>
              <w:bottom w:val="dotted" w:sz="4" w:space="0" w:color="auto"/>
              <w:right w:val="single" w:sz="8" w:space="0" w:color="auto"/>
            </w:tcBorders>
            <w:shd w:val="clear" w:color="000000" w:fill="808080"/>
            <w:noWrap/>
            <w:vAlign w:val="bottom"/>
            <w:hideMark/>
          </w:tcPr>
          <w:p w14:paraId="50B70E4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w:t>
            </w:r>
          </w:p>
        </w:tc>
      </w:tr>
      <w:tr w:rsidR="00CF7396" w:rsidRPr="00CF7396" w14:paraId="70766EA4" w14:textId="77777777" w:rsidTr="00AF369B">
        <w:trPr>
          <w:trHeight w:val="290"/>
        </w:trPr>
        <w:tc>
          <w:tcPr>
            <w:tcW w:w="561" w:type="pct"/>
            <w:vMerge w:val="restart"/>
            <w:tcBorders>
              <w:top w:val="nil"/>
              <w:left w:val="single" w:sz="8" w:space="0" w:color="auto"/>
              <w:bottom w:val="dotted" w:sz="4" w:space="0" w:color="auto"/>
              <w:right w:val="dotted" w:sz="4" w:space="0" w:color="auto"/>
            </w:tcBorders>
            <w:shd w:val="clear" w:color="000000" w:fill="FFF2CC"/>
            <w:vAlign w:val="center"/>
            <w:hideMark/>
          </w:tcPr>
          <w:p w14:paraId="75AD8E5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Juzgado Contravencional de Matina</w:t>
            </w:r>
          </w:p>
        </w:tc>
        <w:tc>
          <w:tcPr>
            <w:tcW w:w="561" w:type="pct"/>
            <w:vMerge w:val="restart"/>
            <w:tcBorders>
              <w:top w:val="nil"/>
              <w:left w:val="dotted" w:sz="4" w:space="0" w:color="auto"/>
              <w:bottom w:val="dotted" w:sz="4" w:space="0" w:color="auto"/>
              <w:right w:val="dotted" w:sz="4" w:space="0" w:color="auto"/>
            </w:tcBorders>
            <w:shd w:val="clear" w:color="000000" w:fill="FFF2CC"/>
            <w:vAlign w:val="center"/>
            <w:hideMark/>
          </w:tcPr>
          <w:p w14:paraId="1E3ABF4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Faltas y Contravenciones</w:t>
            </w:r>
          </w:p>
        </w:tc>
        <w:tc>
          <w:tcPr>
            <w:tcW w:w="432" w:type="pct"/>
            <w:tcBorders>
              <w:top w:val="nil"/>
              <w:left w:val="nil"/>
              <w:bottom w:val="dotted" w:sz="4" w:space="0" w:color="auto"/>
              <w:right w:val="dotted" w:sz="4" w:space="0" w:color="auto"/>
            </w:tcBorders>
            <w:shd w:val="clear" w:color="000000" w:fill="FFF2CC"/>
            <w:noWrap/>
            <w:vAlign w:val="bottom"/>
            <w:hideMark/>
          </w:tcPr>
          <w:p w14:paraId="4EC8E3A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Entrada</w:t>
            </w:r>
          </w:p>
        </w:tc>
        <w:tc>
          <w:tcPr>
            <w:tcW w:w="252" w:type="pct"/>
            <w:tcBorders>
              <w:top w:val="nil"/>
              <w:left w:val="nil"/>
              <w:bottom w:val="dotted" w:sz="4" w:space="0" w:color="auto"/>
              <w:right w:val="dotted" w:sz="4" w:space="0" w:color="auto"/>
            </w:tcBorders>
            <w:shd w:val="clear" w:color="000000" w:fill="FFF2CC"/>
            <w:noWrap/>
            <w:vAlign w:val="bottom"/>
            <w:hideMark/>
          </w:tcPr>
          <w:p w14:paraId="0BD1735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54</w:t>
            </w:r>
          </w:p>
        </w:tc>
        <w:tc>
          <w:tcPr>
            <w:tcW w:w="252" w:type="pct"/>
            <w:tcBorders>
              <w:top w:val="nil"/>
              <w:left w:val="nil"/>
              <w:bottom w:val="dotted" w:sz="4" w:space="0" w:color="auto"/>
              <w:right w:val="dotted" w:sz="4" w:space="0" w:color="auto"/>
            </w:tcBorders>
            <w:shd w:val="clear" w:color="000000" w:fill="FFF2CC"/>
            <w:noWrap/>
            <w:vAlign w:val="bottom"/>
            <w:hideMark/>
          </w:tcPr>
          <w:p w14:paraId="7D4311B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45</w:t>
            </w:r>
          </w:p>
        </w:tc>
        <w:tc>
          <w:tcPr>
            <w:tcW w:w="252" w:type="pct"/>
            <w:tcBorders>
              <w:top w:val="nil"/>
              <w:left w:val="nil"/>
              <w:bottom w:val="dotted" w:sz="4" w:space="0" w:color="auto"/>
              <w:right w:val="dotted" w:sz="4" w:space="0" w:color="auto"/>
            </w:tcBorders>
            <w:shd w:val="clear" w:color="000000" w:fill="FFF2CC"/>
            <w:noWrap/>
            <w:vAlign w:val="bottom"/>
            <w:hideMark/>
          </w:tcPr>
          <w:p w14:paraId="110AB6E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40</w:t>
            </w:r>
          </w:p>
        </w:tc>
        <w:tc>
          <w:tcPr>
            <w:tcW w:w="252" w:type="pct"/>
            <w:tcBorders>
              <w:top w:val="nil"/>
              <w:left w:val="nil"/>
              <w:bottom w:val="dotted" w:sz="4" w:space="0" w:color="auto"/>
              <w:right w:val="dotted" w:sz="4" w:space="0" w:color="auto"/>
            </w:tcBorders>
            <w:shd w:val="clear" w:color="000000" w:fill="FFF2CC"/>
            <w:noWrap/>
            <w:vAlign w:val="bottom"/>
            <w:hideMark/>
          </w:tcPr>
          <w:p w14:paraId="631687B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48</w:t>
            </w:r>
          </w:p>
        </w:tc>
        <w:tc>
          <w:tcPr>
            <w:tcW w:w="252" w:type="pct"/>
            <w:tcBorders>
              <w:top w:val="nil"/>
              <w:left w:val="nil"/>
              <w:bottom w:val="dotted" w:sz="4" w:space="0" w:color="auto"/>
              <w:right w:val="dotted" w:sz="4" w:space="0" w:color="auto"/>
            </w:tcBorders>
            <w:shd w:val="clear" w:color="000000" w:fill="FFF2CC"/>
            <w:noWrap/>
            <w:vAlign w:val="bottom"/>
            <w:hideMark/>
          </w:tcPr>
          <w:p w14:paraId="7261573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29</w:t>
            </w:r>
          </w:p>
        </w:tc>
        <w:tc>
          <w:tcPr>
            <w:tcW w:w="252" w:type="pct"/>
            <w:tcBorders>
              <w:top w:val="nil"/>
              <w:left w:val="nil"/>
              <w:bottom w:val="dotted" w:sz="4" w:space="0" w:color="auto"/>
              <w:right w:val="dotted" w:sz="4" w:space="0" w:color="auto"/>
            </w:tcBorders>
            <w:shd w:val="clear" w:color="000000" w:fill="FFF2CC"/>
            <w:noWrap/>
            <w:vAlign w:val="bottom"/>
            <w:hideMark/>
          </w:tcPr>
          <w:p w14:paraId="1B5C9E3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75</w:t>
            </w:r>
          </w:p>
        </w:tc>
        <w:tc>
          <w:tcPr>
            <w:tcW w:w="252" w:type="pct"/>
            <w:tcBorders>
              <w:top w:val="nil"/>
              <w:left w:val="nil"/>
              <w:bottom w:val="dotted" w:sz="4" w:space="0" w:color="auto"/>
              <w:right w:val="dotted" w:sz="4" w:space="0" w:color="auto"/>
            </w:tcBorders>
            <w:shd w:val="clear" w:color="000000" w:fill="FFF2CC"/>
            <w:noWrap/>
            <w:vAlign w:val="bottom"/>
            <w:hideMark/>
          </w:tcPr>
          <w:p w14:paraId="4B2F9DB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64</w:t>
            </w:r>
          </w:p>
        </w:tc>
        <w:tc>
          <w:tcPr>
            <w:tcW w:w="252" w:type="pct"/>
            <w:tcBorders>
              <w:top w:val="nil"/>
              <w:left w:val="nil"/>
              <w:bottom w:val="dotted" w:sz="4" w:space="0" w:color="auto"/>
              <w:right w:val="dotted" w:sz="4" w:space="0" w:color="auto"/>
            </w:tcBorders>
            <w:shd w:val="clear" w:color="000000" w:fill="FFF2CC"/>
            <w:noWrap/>
            <w:vAlign w:val="bottom"/>
            <w:hideMark/>
          </w:tcPr>
          <w:p w14:paraId="7CC1821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74</w:t>
            </w:r>
          </w:p>
        </w:tc>
        <w:tc>
          <w:tcPr>
            <w:tcW w:w="252" w:type="pct"/>
            <w:tcBorders>
              <w:top w:val="nil"/>
              <w:left w:val="nil"/>
              <w:bottom w:val="dotted" w:sz="4" w:space="0" w:color="auto"/>
              <w:right w:val="dotted" w:sz="4" w:space="0" w:color="auto"/>
            </w:tcBorders>
            <w:shd w:val="clear" w:color="000000" w:fill="FFF2CC"/>
            <w:noWrap/>
            <w:vAlign w:val="bottom"/>
            <w:hideMark/>
          </w:tcPr>
          <w:p w14:paraId="26A890B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68</w:t>
            </w:r>
          </w:p>
        </w:tc>
        <w:tc>
          <w:tcPr>
            <w:tcW w:w="252" w:type="pct"/>
            <w:tcBorders>
              <w:top w:val="nil"/>
              <w:left w:val="nil"/>
              <w:bottom w:val="dotted" w:sz="4" w:space="0" w:color="auto"/>
              <w:right w:val="dotted" w:sz="4" w:space="0" w:color="auto"/>
            </w:tcBorders>
            <w:shd w:val="clear" w:color="000000" w:fill="FFF2CC"/>
            <w:noWrap/>
            <w:vAlign w:val="bottom"/>
            <w:hideMark/>
          </w:tcPr>
          <w:p w14:paraId="2BC36BC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48</w:t>
            </w:r>
          </w:p>
        </w:tc>
        <w:tc>
          <w:tcPr>
            <w:tcW w:w="252" w:type="pct"/>
            <w:tcBorders>
              <w:top w:val="nil"/>
              <w:left w:val="nil"/>
              <w:bottom w:val="dotted" w:sz="4" w:space="0" w:color="auto"/>
              <w:right w:val="dotted" w:sz="4" w:space="0" w:color="auto"/>
            </w:tcBorders>
            <w:shd w:val="clear" w:color="000000" w:fill="FFF2CC"/>
            <w:noWrap/>
            <w:vAlign w:val="bottom"/>
            <w:hideMark/>
          </w:tcPr>
          <w:p w14:paraId="030B9CB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34</w:t>
            </w:r>
          </w:p>
        </w:tc>
        <w:tc>
          <w:tcPr>
            <w:tcW w:w="252" w:type="pct"/>
            <w:tcBorders>
              <w:top w:val="nil"/>
              <w:left w:val="nil"/>
              <w:bottom w:val="dotted" w:sz="4" w:space="0" w:color="auto"/>
              <w:right w:val="dotted" w:sz="4" w:space="0" w:color="auto"/>
            </w:tcBorders>
            <w:shd w:val="clear" w:color="000000" w:fill="FFF2CC"/>
            <w:noWrap/>
            <w:vAlign w:val="bottom"/>
            <w:hideMark/>
          </w:tcPr>
          <w:p w14:paraId="6F8730D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43</w:t>
            </w:r>
          </w:p>
        </w:tc>
        <w:tc>
          <w:tcPr>
            <w:tcW w:w="422" w:type="pct"/>
            <w:tcBorders>
              <w:top w:val="nil"/>
              <w:left w:val="nil"/>
              <w:bottom w:val="dotted" w:sz="4" w:space="0" w:color="auto"/>
              <w:right w:val="single" w:sz="8" w:space="0" w:color="auto"/>
            </w:tcBorders>
            <w:shd w:val="clear" w:color="000000" w:fill="FFF2CC"/>
            <w:noWrap/>
            <w:vAlign w:val="bottom"/>
            <w:hideMark/>
          </w:tcPr>
          <w:p w14:paraId="306A136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54</w:t>
            </w:r>
          </w:p>
        </w:tc>
      </w:tr>
      <w:tr w:rsidR="00CF7396" w:rsidRPr="00CF7396" w14:paraId="71A05F8E"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0A7F73D4"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568B555F"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FFF2CC"/>
            <w:noWrap/>
            <w:vAlign w:val="bottom"/>
            <w:hideMark/>
          </w:tcPr>
          <w:p w14:paraId="3A56F0A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Terminados </w:t>
            </w:r>
          </w:p>
        </w:tc>
        <w:tc>
          <w:tcPr>
            <w:tcW w:w="252" w:type="pct"/>
            <w:tcBorders>
              <w:top w:val="nil"/>
              <w:left w:val="nil"/>
              <w:bottom w:val="dotted" w:sz="4" w:space="0" w:color="auto"/>
              <w:right w:val="dotted" w:sz="4" w:space="0" w:color="auto"/>
            </w:tcBorders>
            <w:shd w:val="clear" w:color="000000" w:fill="FFF2CC"/>
            <w:noWrap/>
            <w:vAlign w:val="bottom"/>
            <w:hideMark/>
          </w:tcPr>
          <w:p w14:paraId="345C34E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0</w:t>
            </w:r>
          </w:p>
        </w:tc>
        <w:tc>
          <w:tcPr>
            <w:tcW w:w="252" w:type="pct"/>
            <w:tcBorders>
              <w:top w:val="nil"/>
              <w:left w:val="nil"/>
              <w:bottom w:val="dotted" w:sz="4" w:space="0" w:color="auto"/>
              <w:right w:val="dotted" w:sz="4" w:space="0" w:color="auto"/>
            </w:tcBorders>
            <w:shd w:val="clear" w:color="000000" w:fill="FFF2CC"/>
            <w:noWrap/>
            <w:vAlign w:val="bottom"/>
            <w:hideMark/>
          </w:tcPr>
          <w:p w14:paraId="5065644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w:t>
            </w:r>
          </w:p>
        </w:tc>
        <w:tc>
          <w:tcPr>
            <w:tcW w:w="252" w:type="pct"/>
            <w:tcBorders>
              <w:top w:val="nil"/>
              <w:left w:val="nil"/>
              <w:bottom w:val="dotted" w:sz="4" w:space="0" w:color="auto"/>
              <w:right w:val="dotted" w:sz="4" w:space="0" w:color="auto"/>
            </w:tcBorders>
            <w:shd w:val="clear" w:color="000000" w:fill="FFF2CC"/>
            <w:noWrap/>
            <w:vAlign w:val="bottom"/>
            <w:hideMark/>
          </w:tcPr>
          <w:p w14:paraId="5CC47E4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77</w:t>
            </w:r>
          </w:p>
        </w:tc>
        <w:tc>
          <w:tcPr>
            <w:tcW w:w="252" w:type="pct"/>
            <w:tcBorders>
              <w:top w:val="nil"/>
              <w:left w:val="nil"/>
              <w:bottom w:val="dotted" w:sz="4" w:space="0" w:color="auto"/>
              <w:right w:val="dotted" w:sz="4" w:space="0" w:color="auto"/>
            </w:tcBorders>
            <w:shd w:val="clear" w:color="000000" w:fill="FFF2CC"/>
            <w:noWrap/>
            <w:vAlign w:val="bottom"/>
            <w:hideMark/>
          </w:tcPr>
          <w:p w14:paraId="792E955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w:t>
            </w:r>
          </w:p>
        </w:tc>
        <w:tc>
          <w:tcPr>
            <w:tcW w:w="252" w:type="pct"/>
            <w:tcBorders>
              <w:top w:val="nil"/>
              <w:left w:val="nil"/>
              <w:bottom w:val="dotted" w:sz="4" w:space="0" w:color="auto"/>
              <w:right w:val="dotted" w:sz="4" w:space="0" w:color="auto"/>
            </w:tcBorders>
            <w:shd w:val="clear" w:color="000000" w:fill="FFF2CC"/>
            <w:noWrap/>
            <w:vAlign w:val="bottom"/>
            <w:hideMark/>
          </w:tcPr>
          <w:p w14:paraId="0B23C8A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0</w:t>
            </w:r>
          </w:p>
        </w:tc>
        <w:tc>
          <w:tcPr>
            <w:tcW w:w="252" w:type="pct"/>
            <w:tcBorders>
              <w:top w:val="nil"/>
              <w:left w:val="nil"/>
              <w:bottom w:val="dotted" w:sz="4" w:space="0" w:color="auto"/>
              <w:right w:val="dotted" w:sz="4" w:space="0" w:color="auto"/>
            </w:tcBorders>
            <w:shd w:val="clear" w:color="000000" w:fill="FFF2CC"/>
            <w:noWrap/>
            <w:vAlign w:val="bottom"/>
            <w:hideMark/>
          </w:tcPr>
          <w:p w14:paraId="76D5825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146</w:t>
            </w:r>
          </w:p>
        </w:tc>
        <w:tc>
          <w:tcPr>
            <w:tcW w:w="252" w:type="pct"/>
            <w:tcBorders>
              <w:top w:val="nil"/>
              <w:left w:val="nil"/>
              <w:bottom w:val="dotted" w:sz="4" w:space="0" w:color="auto"/>
              <w:right w:val="dotted" w:sz="4" w:space="0" w:color="auto"/>
            </w:tcBorders>
            <w:shd w:val="clear" w:color="000000" w:fill="FFF2CC"/>
            <w:noWrap/>
            <w:vAlign w:val="bottom"/>
            <w:hideMark/>
          </w:tcPr>
          <w:p w14:paraId="77F6FF8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76</w:t>
            </w:r>
          </w:p>
        </w:tc>
        <w:tc>
          <w:tcPr>
            <w:tcW w:w="252" w:type="pct"/>
            <w:tcBorders>
              <w:top w:val="nil"/>
              <w:left w:val="nil"/>
              <w:bottom w:val="dotted" w:sz="4" w:space="0" w:color="auto"/>
              <w:right w:val="dotted" w:sz="4" w:space="0" w:color="auto"/>
            </w:tcBorders>
            <w:shd w:val="clear" w:color="000000" w:fill="FFF2CC"/>
            <w:noWrap/>
            <w:vAlign w:val="bottom"/>
            <w:hideMark/>
          </w:tcPr>
          <w:p w14:paraId="59B4C9E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57</w:t>
            </w:r>
          </w:p>
        </w:tc>
        <w:tc>
          <w:tcPr>
            <w:tcW w:w="252" w:type="pct"/>
            <w:tcBorders>
              <w:top w:val="nil"/>
              <w:left w:val="nil"/>
              <w:bottom w:val="dotted" w:sz="4" w:space="0" w:color="auto"/>
              <w:right w:val="dotted" w:sz="4" w:space="0" w:color="auto"/>
            </w:tcBorders>
            <w:shd w:val="clear" w:color="000000" w:fill="FFF2CC"/>
            <w:noWrap/>
            <w:vAlign w:val="bottom"/>
            <w:hideMark/>
          </w:tcPr>
          <w:p w14:paraId="07B2C59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56</w:t>
            </w:r>
          </w:p>
        </w:tc>
        <w:tc>
          <w:tcPr>
            <w:tcW w:w="252" w:type="pct"/>
            <w:tcBorders>
              <w:top w:val="nil"/>
              <w:left w:val="nil"/>
              <w:bottom w:val="dotted" w:sz="4" w:space="0" w:color="auto"/>
              <w:right w:val="dotted" w:sz="4" w:space="0" w:color="auto"/>
            </w:tcBorders>
            <w:shd w:val="clear" w:color="000000" w:fill="FFF2CC"/>
            <w:noWrap/>
            <w:vAlign w:val="bottom"/>
            <w:hideMark/>
          </w:tcPr>
          <w:p w14:paraId="7052F27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53</w:t>
            </w:r>
          </w:p>
        </w:tc>
        <w:tc>
          <w:tcPr>
            <w:tcW w:w="252" w:type="pct"/>
            <w:tcBorders>
              <w:top w:val="nil"/>
              <w:left w:val="nil"/>
              <w:bottom w:val="dotted" w:sz="4" w:space="0" w:color="auto"/>
              <w:right w:val="dotted" w:sz="4" w:space="0" w:color="auto"/>
            </w:tcBorders>
            <w:shd w:val="clear" w:color="000000" w:fill="FFF2CC"/>
            <w:noWrap/>
            <w:vAlign w:val="bottom"/>
            <w:hideMark/>
          </w:tcPr>
          <w:p w14:paraId="392BC8E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63</w:t>
            </w:r>
          </w:p>
        </w:tc>
        <w:tc>
          <w:tcPr>
            <w:tcW w:w="252" w:type="pct"/>
            <w:tcBorders>
              <w:top w:val="nil"/>
              <w:left w:val="nil"/>
              <w:bottom w:val="dotted" w:sz="4" w:space="0" w:color="auto"/>
              <w:right w:val="dotted" w:sz="4" w:space="0" w:color="auto"/>
            </w:tcBorders>
            <w:shd w:val="clear" w:color="000000" w:fill="FFF2CC"/>
            <w:noWrap/>
            <w:vAlign w:val="bottom"/>
            <w:hideMark/>
          </w:tcPr>
          <w:p w14:paraId="5FC7C08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48</w:t>
            </w:r>
          </w:p>
        </w:tc>
        <w:tc>
          <w:tcPr>
            <w:tcW w:w="422" w:type="pct"/>
            <w:tcBorders>
              <w:top w:val="nil"/>
              <w:left w:val="nil"/>
              <w:bottom w:val="dotted" w:sz="4" w:space="0" w:color="auto"/>
              <w:right w:val="single" w:sz="8" w:space="0" w:color="auto"/>
            </w:tcBorders>
            <w:shd w:val="clear" w:color="000000" w:fill="FFF2CC"/>
            <w:noWrap/>
            <w:vAlign w:val="bottom"/>
            <w:hideMark/>
          </w:tcPr>
          <w:p w14:paraId="0D32D19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51</w:t>
            </w:r>
          </w:p>
        </w:tc>
      </w:tr>
      <w:tr w:rsidR="00CF7396" w:rsidRPr="00CF7396" w14:paraId="7C5070DA"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307EBD87"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0939B019"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FFF2CC"/>
            <w:noWrap/>
            <w:vAlign w:val="bottom"/>
            <w:hideMark/>
          </w:tcPr>
          <w:p w14:paraId="0525709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Circulante</w:t>
            </w:r>
          </w:p>
        </w:tc>
        <w:tc>
          <w:tcPr>
            <w:tcW w:w="252" w:type="pct"/>
            <w:tcBorders>
              <w:top w:val="nil"/>
              <w:left w:val="nil"/>
              <w:bottom w:val="dotted" w:sz="4" w:space="0" w:color="auto"/>
              <w:right w:val="dotted" w:sz="4" w:space="0" w:color="auto"/>
            </w:tcBorders>
            <w:shd w:val="clear" w:color="000000" w:fill="FFF2CC"/>
            <w:noWrap/>
            <w:vAlign w:val="bottom"/>
            <w:hideMark/>
          </w:tcPr>
          <w:p w14:paraId="085C617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361</w:t>
            </w:r>
          </w:p>
        </w:tc>
        <w:tc>
          <w:tcPr>
            <w:tcW w:w="252" w:type="pct"/>
            <w:tcBorders>
              <w:top w:val="nil"/>
              <w:left w:val="nil"/>
              <w:bottom w:val="dotted" w:sz="4" w:space="0" w:color="auto"/>
              <w:right w:val="dotted" w:sz="4" w:space="0" w:color="auto"/>
            </w:tcBorders>
            <w:shd w:val="clear" w:color="000000" w:fill="FFF2CC"/>
            <w:noWrap/>
            <w:vAlign w:val="bottom"/>
            <w:hideMark/>
          </w:tcPr>
          <w:p w14:paraId="5B12DBB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406</w:t>
            </w:r>
          </w:p>
        </w:tc>
        <w:tc>
          <w:tcPr>
            <w:tcW w:w="252" w:type="pct"/>
            <w:tcBorders>
              <w:top w:val="nil"/>
              <w:left w:val="nil"/>
              <w:bottom w:val="dotted" w:sz="4" w:space="0" w:color="auto"/>
              <w:right w:val="dotted" w:sz="4" w:space="0" w:color="auto"/>
            </w:tcBorders>
            <w:shd w:val="clear" w:color="000000" w:fill="FFF2CC"/>
            <w:noWrap/>
            <w:vAlign w:val="bottom"/>
            <w:hideMark/>
          </w:tcPr>
          <w:p w14:paraId="7D83764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370</w:t>
            </w:r>
          </w:p>
        </w:tc>
        <w:tc>
          <w:tcPr>
            <w:tcW w:w="252" w:type="pct"/>
            <w:tcBorders>
              <w:top w:val="nil"/>
              <w:left w:val="nil"/>
              <w:bottom w:val="dotted" w:sz="4" w:space="0" w:color="auto"/>
              <w:right w:val="dotted" w:sz="4" w:space="0" w:color="auto"/>
            </w:tcBorders>
            <w:shd w:val="clear" w:color="000000" w:fill="FFF2CC"/>
            <w:noWrap/>
            <w:vAlign w:val="bottom"/>
            <w:hideMark/>
          </w:tcPr>
          <w:p w14:paraId="375EA07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415</w:t>
            </w:r>
          </w:p>
        </w:tc>
        <w:tc>
          <w:tcPr>
            <w:tcW w:w="252" w:type="pct"/>
            <w:tcBorders>
              <w:top w:val="nil"/>
              <w:left w:val="nil"/>
              <w:bottom w:val="dotted" w:sz="4" w:space="0" w:color="auto"/>
              <w:right w:val="dotted" w:sz="4" w:space="0" w:color="auto"/>
            </w:tcBorders>
            <w:shd w:val="clear" w:color="000000" w:fill="FFF2CC"/>
            <w:noWrap/>
            <w:vAlign w:val="bottom"/>
            <w:hideMark/>
          </w:tcPr>
          <w:p w14:paraId="443E170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445</w:t>
            </w:r>
          </w:p>
        </w:tc>
        <w:tc>
          <w:tcPr>
            <w:tcW w:w="252" w:type="pct"/>
            <w:tcBorders>
              <w:top w:val="nil"/>
              <w:left w:val="nil"/>
              <w:bottom w:val="dotted" w:sz="4" w:space="0" w:color="auto"/>
              <w:right w:val="dotted" w:sz="4" w:space="0" w:color="auto"/>
            </w:tcBorders>
            <w:shd w:val="clear" w:color="000000" w:fill="FFF2CC"/>
            <w:noWrap/>
            <w:vAlign w:val="bottom"/>
            <w:hideMark/>
          </w:tcPr>
          <w:p w14:paraId="1D06F4D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374</w:t>
            </w:r>
          </w:p>
        </w:tc>
        <w:tc>
          <w:tcPr>
            <w:tcW w:w="252" w:type="pct"/>
            <w:tcBorders>
              <w:top w:val="nil"/>
              <w:left w:val="nil"/>
              <w:bottom w:val="dotted" w:sz="4" w:space="0" w:color="auto"/>
              <w:right w:val="dotted" w:sz="4" w:space="0" w:color="auto"/>
            </w:tcBorders>
            <w:shd w:val="clear" w:color="000000" w:fill="FFF2CC"/>
            <w:noWrap/>
            <w:vAlign w:val="bottom"/>
            <w:hideMark/>
          </w:tcPr>
          <w:p w14:paraId="2EEB888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362</w:t>
            </w:r>
          </w:p>
        </w:tc>
        <w:tc>
          <w:tcPr>
            <w:tcW w:w="252" w:type="pct"/>
            <w:tcBorders>
              <w:top w:val="nil"/>
              <w:left w:val="nil"/>
              <w:bottom w:val="dotted" w:sz="4" w:space="0" w:color="auto"/>
              <w:right w:val="dotted" w:sz="4" w:space="0" w:color="auto"/>
            </w:tcBorders>
            <w:shd w:val="clear" w:color="000000" w:fill="FFF2CC"/>
            <w:noWrap/>
            <w:vAlign w:val="bottom"/>
            <w:hideMark/>
          </w:tcPr>
          <w:p w14:paraId="1CE1E4F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379</w:t>
            </w:r>
          </w:p>
        </w:tc>
        <w:tc>
          <w:tcPr>
            <w:tcW w:w="252" w:type="pct"/>
            <w:tcBorders>
              <w:top w:val="nil"/>
              <w:left w:val="nil"/>
              <w:bottom w:val="dotted" w:sz="4" w:space="0" w:color="auto"/>
              <w:right w:val="dotted" w:sz="4" w:space="0" w:color="auto"/>
            </w:tcBorders>
            <w:shd w:val="clear" w:color="000000" w:fill="FFF2CC"/>
            <w:noWrap/>
            <w:vAlign w:val="bottom"/>
            <w:hideMark/>
          </w:tcPr>
          <w:p w14:paraId="2119682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391</w:t>
            </w:r>
          </w:p>
        </w:tc>
        <w:tc>
          <w:tcPr>
            <w:tcW w:w="252" w:type="pct"/>
            <w:tcBorders>
              <w:top w:val="nil"/>
              <w:left w:val="nil"/>
              <w:bottom w:val="dotted" w:sz="4" w:space="0" w:color="auto"/>
              <w:right w:val="dotted" w:sz="4" w:space="0" w:color="auto"/>
            </w:tcBorders>
            <w:shd w:val="clear" w:color="000000" w:fill="FFF2CC"/>
            <w:noWrap/>
            <w:vAlign w:val="bottom"/>
            <w:hideMark/>
          </w:tcPr>
          <w:p w14:paraId="66BCFE7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387</w:t>
            </w:r>
          </w:p>
        </w:tc>
        <w:tc>
          <w:tcPr>
            <w:tcW w:w="252" w:type="pct"/>
            <w:tcBorders>
              <w:top w:val="nil"/>
              <w:left w:val="nil"/>
              <w:bottom w:val="dotted" w:sz="4" w:space="0" w:color="auto"/>
              <w:right w:val="dotted" w:sz="4" w:space="0" w:color="auto"/>
            </w:tcBorders>
            <w:shd w:val="clear" w:color="000000" w:fill="FFF2CC"/>
            <w:noWrap/>
            <w:vAlign w:val="bottom"/>
            <w:hideMark/>
          </w:tcPr>
          <w:p w14:paraId="7B7A65A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360</w:t>
            </w:r>
          </w:p>
        </w:tc>
        <w:tc>
          <w:tcPr>
            <w:tcW w:w="252" w:type="pct"/>
            <w:tcBorders>
              <w:top w:val="nil"/>
              <w:left w:val="nil"/>
              <w:bottom w:val="dotted" w:sz="4" w:space="0" w:color="auto"/>
              <w:right w:val="dotted" w:sz="4" w:space="0" w:color="auto"/>
            </w:tcBorders>
            <w:shd w:val="clear" w:color="000000" w:fill="FFF2CC"/>
            <w:noWrap/>
            <w:vAlign w:val="bottom"/>
            <w:hideMark/>
          </w:tcPr>
          <w:p w14:paraId="219ABCB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356</w:t>
            </w:r>
          </w:p>
        </w:tc>
        <w:tc>
          <w:tcPr>
            <w:tcW w:w="422" w:type="pct"/>
            <w:tcBorders>
              <w:top w:val="nil"/>
              <w:left w:val="nil"/>
              <w:bottom w:val="dotted" w:sz="4" w:space="0" w:color="auto"/>
              <w:right w:val="single" w:sz="8" w:space="0" w:color="auto"/>
            </w:tcBorders>
            <w:shd w:val="clear" w:color="000000" w:fill="808080"/>
            <w:noWrap/>
            <w:vAlign w:val="bottom"/>
            <w:hideMark/>
          </w:tcPr>
          <w:p w14:paraId="48478F4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w:t>
            </w:r>
          </w:p>
        </w:tc>
      </w:tr>
      <w:tr w:rsidR="00CF7396" w:rsidRPr="00CF7396" w14:paraId="7A379B76"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35066823" w14:textId="77777777" w:rsidR="00CF7396" w:rsidRPr="00CF7396" w:rsidRDefault="00CF7396" w:rsidP="00CF7396">
            <w:pPr>
              <w:rPr>
                <w:b/>
                <w:bCs/>
                <w:color w:val="000000" w:themeColor="text1"/>
                <w:lang w:val="es-CR" w:eastAsia="es-CR"/>
              </w:rPr>
            </w:pPr>
          </w:p>
        </w:tc>
        <w:tc>
          <w:tcPr>
            <w:tcW w:w="561" w:type="pct"/>
            <w:vMerge w:val="restart"/>
            <w:tcBorders>
              <w:top w:val="nil"/>
              <w:left w:val="dotted" w:sz="4" w:space="0" w:color="auto"/>
              <w:bottom w:val="dotted" w:sz="4" w:space="0" w:color="auto"/>
              <w:right w:val="dotted" w:sz="4" w:space="0" w:color="auto"/>
            </w:tcBorders>
            <w:shd w:val="clear" w:color="000000" w:fill="FFF2CC"/>
            <w:vAlign w:val="center"/>
            <w:hideMark/>
          </w:tcPr>
          <w:p w14:paraId="51D5D3D1"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Laboral</w:t>
            </w:r>
          </w:p>
        </w:tc>
        <w:tc>
          <w:tcPr>
            <w:tcW w:w="432" w:type="pct"/>
            <w:tcBorders>
              <w:top w:val="nil"/>
              <w:left w:val="nil"/>
              <w:bottom w:val="dotted" w:sz="4" w:space="0" w:color="auto"/>
              <w:right w:val="dotted" w:sz="4" w:space="0" w:color="auto"/>
            </w:tcBorders>
            <w:shd w:val="clear" w:color="000000" w:fill="FFF2CC"/>
            <w:noWrap/>
            <w:vAlign w:val="bottom"/>
            <w:hideMark/>
          </w:tcPr>
          <w:p w14:paraId="132BCF3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Entrada</w:t>
            </w:r>
          </w:p>
        </w:tc>
        <w:tc>
          <w:tcPr>
            <w:tcW w:w="252" w:type="pct"/>
            <w:tcBorders>
              <w:top w:val="nil"/>
              <w:left w:val="nil"/>
              <w:bottom w:val="dotted" w:sz="4" w:space="0" w:color="auto"/>
              <w:right w:val="dotted" w:sz="4" w:space="0" w:color="auto"/>
            </w:tcBorders>
            <w:shd w:val="clear" w:color="000000" w:fill="FFF2CC"/>
            <w:noWrap/>
            <w:vAlign w:val="bottom"/>
            <w:hideMark/>
          </w:tcPr>
          <w:p w14:paraId="12BA60F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w:t>
            </w:r>
          </w:p>
        </w:tc>
        <w:tc>
          <w:tcPr>
            <w:tcW w:w="252" w:type="pct"/>
            <w:tcBorders>
              <w:top w:val="nil"/>
              <w:left w:val="nil"/>
              <w:bottom w:val="dotted" w:sz="4" w:space="0" w:color="auto"/>
              <w:right w:val="dotted" w:sz="4" w:space="0" w:color="auto"/>
            </w:tcBorders>
            <w:shd w:val="clear" w:color="000000" w:fill="FFF2CC"/>
            <w:noWrap/>
            <w:vAlign w:val="bottom"/>
            <w:hideMark/>
          </w:tcPr>
          <w:p w14:paraId="13264BE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w:t>
            </w:r>
          </w:p>
        </w:tc>
        <w:tc>
          <w:tcPr>
            <w:tcW w:w="252" w:type="pct"/>
            <w:tcBorders>
              <w:top w:val="nil"/>
              <w:left w:val="nil"/>
              <w:bottom w:val="dotted" w:sz="4" w:space="0" w:color="auto"/>
              <w:right w:val="dotted" w:sz="4" w:space="0" w:color="auto"/>
            </w:tcBorders>
            <w:shd w:val="clear" w:color="000000" w:fill="FFF2CC"/>
            <w:noWrap/>
            <w:vAlign w:val="bottom"/>
            <w:hideMark/>
          </w:tcPr>
          <w:p w14:paraId="3F3ABFE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w:t>
            </w:r>
          </w:p>
        </w:tc>
        <w:tc>
          <w:tcPr>
            <w:tcW w:w="252" w:type="pct"/>
            <w:tcBorders>
              <w:top w:val="nil"/>
              <w:left w:val="nil"/>
              <w:bottom w:val="dotted" w:sz="4" w:space="0" w:color="auto"/>
              <w:right w:val="dotted" w:sz="4" w:space="0" w:color="auto"/>
            </w:tcBorders>
            <w:shd w:val="clear" w:color="000000" w:fill="FFF2CC"/>
            <w:noWrap/>
            <w:vAlign w:val="bottom"/>
            <w:hideMark/>
          </w:tcPr>
          <w:p w14:paraId="4BE0B25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w:t>
            </w:r>
          </w:p>
        </w:tc>
        <w:tc>
          <w:tcPr>
            <w:tcW w:w="252" w:type="pct"/>
            <w:tcBorders>
              <w:top w:val="nil"/>
              <w:left w:val="nil"/>
              <w:bottom w:val="dotted" w:sz="4" w:space="0" w:color="auto"/>
              <w:right w:val="dotted" w:sz="4" w:space="0" w:color="auto"/>
            </w:tcBorders>
            <w:shd w:val="clear" w:color="000000" w:fill="FFF2CC"/>
            <w:noWrap/>
            <w:vAlign w:val="bottom"/>
            <w:hideMark/>
          </w:tcPr>
          <w:p w14:paraId="0627BBD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w:t>
            </w:r>
          </w:p>
        </w:tc>
        <w:tc>
          <w:tcPr>
            <w:tcW w:w="252" w:type="pct"/>
            <w:tcBorders>
              <w:top w:val="nil"/>
              <w:left w:val="nil"/>
              <w:bottom w:val="dotted" w:sz="4" w:space="0" w:color="auto"/>
              <w:right w:val="dotted" w:sz="4" w:space="0" w:color="auto"/>
            </w:tcBorders>
            <w:shd w:val="clear" w:color="000000" w:fill="FFF2CC"/>
            <w:noWrap/>
            <w:vAlign w:val="bottom"/>
            <w:hideMark/>
          </w:tcPr>
          <w:p w14:paraId="3D5E962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w:t>
            </w:r>
          </w:p>
        </w:tc>
        <w:tc>
          <w:tcPr>
            <w:tcW w:w="252" w:type="pct"/>
            <w:tcBorders>
              <w:top w:val="nil"/>
              <w:left w:val="nil"/>
              <w:bottom w:val="dotted" w:sz="4" w:space="0" w:color="auto"/>
              <w:right w:val="dotted" w:sz="4" w:space="0" w:color="auto"/>
            </w:tcBorders>
            <w:shd w:val="clear" w:color="000000" w:fill="FFF2CC"/>
            <w:noWrap/>
            <w:vAlign w:val="bottom"/>
            <w:hideMark/>
          </w:tcPr>
          <w:p w14:paraId="70B2341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w:t>
            </w:r>
          </w:p>
        </w:tc>
        <w:tc>
          <w:tcPr>
            <w:tcW w:w="252" w:type="pct"/>
            <w:tcBorders>
              <w:top w:val="nil"/>
              <w:left w:val="nil"/>
              <w:bottom w:val="dotted" w:sz="4" w:space="0" w:color="auto"/>
              <w:right w:val="dotted" w:sz="4" w:space="0" w:color="auto"/>
            </w:tcBorders>
            <w:shd w:val="clear" w:color="000000" w:fill="FFF2CC"/>
            <w:noWrap/>
            <w:vAlign w:val="bottom"/>
            <w:hideMark/>
          </w:tcPr>
          <w:p w14:paraId="7F85813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w:t>
            </w:r>
          </w:p>
        </w:tc>
        <w:tc>
          <w:tcPr>
            <w:tcW w:w="252" w:type="pct"/>
            <w:tcBorders>
              <w:top w:val="nil"/>
              <w:left w:val="nil"/>
              <w:bottom w:val="dotted" w:sz="4" w:space="0" w:color="auto"/>
              <w:right w:val="dotted" w:sz="4" w:space="0" w:color="auto"/>
            </w:tcBorders>
            <w:shd w:val="clear" w:color="000000" w:fill="FFF2CC"/>
            <w:noWrap/>
            <w:vAlign w:val="bottom"/>
            <w:hideMark/>
          </w:tcPr>
          <w:p w14:paraId="3FBA140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21</w:t>
            </w:r>
          </w:p>
        </w:tc>
        <w:tc>
          <w:tcPr>
            <w:tcW w:w="252" w:type="pct"/>
            <w:tcBorders>
              <w:top w:val="nil"/>
              <w:left w:val="nil"/>
              <w:bottom w:val="dotted" w:sz="4" w:space="0" w:color="auto"/>
              <w:right w:val="dotted" w:sz="4" w:space="0" w:color="auto"/>
            </w:tcBorders>
            <w:shd w:val="clear" w:color="000000" w:fill="FFF2CC"/>
            <w:noWrap/>
            <w:vAlign w:val="bottom"/>
            <w:hideMark/>
          </w:tcPr>
          <w:p w14:paraId="609F720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w:t>
            </w:r>
          </w:p>
        </w:tc>
        <w:tc>
          <w:tcPr>
            <w:tcW w:w="252" w:type="pct"/>
            <w:tcBorders>
              <w:top w:val="nil"/>
              <w:left w:val="nil"/>
              <w:bottom w:val="dotted" w:sz="4" w:space="0" w:color="auto"/>
              <w:right w:val="dotted" w:sz="4" w:space="0" w:color="auto"/>
            </w:tcBorders>
            <w:shd w:val="clear" w:color="000000" w:fill="FFF2CC"/>
            <w:noWrap/>
            <w:vAlign w:val="bottom"/>
            <w:hideMark/>
          </w:tcPr>
          <w:p w14:paraId="5FE5C7A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w:t>
            </w:r>
          </w:p>
        </w:tc>
        <w:tc>
          <w:tcPr>
            <w:tcW w:w="252" w:type="pct"/>
            <w:tcBorders>
              <w:top w:val="nil"/>
              <w:left w:val="nil"/>
              <w:bottom w:val="dotted" w:sz="4" w:space="0" w:color="auto"/>
              <w:right w:val="dotted" w:sz="4" w:space="0" w:color="auto"/>
            </w:tcBorders>
            <w:shd w:val="clear" w:color="000000" w:fill="FFF2CC"/>
            <w:noWrap/>
            <w:vAlign w:val="bottom"/>
            <w:hideMark/>
          </w:tcPr>
          <w:p w14:paraId="0D289D4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w:t>
            </w:r>
          </w:p>
        </w:tc>
        <w:tc>
          <w:tcPr>
            <w:tcW w:w="422" w:type="pct"/>
            <w:tcBorders>
              <w:top w:val="nil"/>
              <w:left w:val="nil"/>
              <w:bottom w:val="dotted" w:sz="4" w:space="0" w:color="auto"/>
              <w:right w:val="single" w:sz="8" w:space="0" w:color="auto"/>
            </w:tcBorders>
            <w:shd w:val="clear" w:color="000000" w:fill="FFF2CC"/>
            <w:noWrap/>
            <w:vAlign w:val="bottom"/>
            <w:hideMark/>
          </w:tcPr>
          <w:p w14:paraId="6A27215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w:t>
            </w:r>
          </w:p>
        </w:tc>
      </w:tr>
      <w:tr w:rsidR="00CF7396" w:rsidRPr="00CF7396" w14:paraId="5462F288"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4254044A"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2C355FA1"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FFF2CC"/>
            <w:noWrap/>
            <w:vAlign w:val="bottom"/>
            <w:hideMark/>
          </w:tcPr>
          <w:p w14:paraId="16A267A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Terminados </w:t>
            </w:r>
          </w:p>
        </w:tc>
        <w:tc>
          <w:tcPr>
            <w:tcW w:w="252" w:type="pct"/>
            <w:tcBorders>
              <w:top w:val="nil"/>
              <w:left w:val="nil"/>
              <w:bottom w:val="dotted" w:sz="4" w:space="0" w:color="auto"/>
              <w:right w:val="dotted" w:sz="4" w:space="0" w:color="auto"/>
            </w:tcBorders>
            <w:shd w:val="clear" w:color="000000" w:fill="FFF2CC"/>
            <w:noWrap/>
            <w:vAlign w:val="bottom"/>
            <w:hideMark/>
          </w:tcPr>
          <w:p w14:paraId="6F70168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w:t>
            </w:r>
          </w:p>
        </w:tc>
        <w:tc>
          <w:tcPr>
            <w:tcW w:w="252" w:type="pct"/>
            <w:tcBorders>
              <w:top w:val="nil"/>
              <w:left w:val="nil"/>
              <w:bottom w:val="dotted" w:sz="4" w:space="0" w:color="auto"/>
              <w:right w:val="dotted" w:sz="4" w:space="0" w:color="auto"/>
            </w:tcBorders>
            <w:shd w:val="clear" w:color="000000" w:fill="FFF2CC"/>
            <w:noWrap/>
            <w:vAlign w:val="bottom"/>
            <w:hideMark/>
          </w:tcPr>
          <w:p w14:paraId="3A1E6D6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w:t>
            </w:r>
          </w:p>
        </w:tc>
        <w:tc>
          <w:tcPr>
            <w:tcW w:w="252" w:type="pct"/>
            <w:tcBorders>
              <w:top w:val="nil"/>
              <w:left w:val="nil"/>
              <w:bottom w:val="dotted" w:sz="4" w:space="0" w:color="auto"/>
              <w:right w:val="dotted" w:sz="4" w:space="0" w:color="auto"/>
            </w:tcBorders>
            <w:shd w:val="clear" w:color="000000" w:fill="FFF2CC"/>
            <w:noWrap/>
            <w:vAlign w:val="bottom"/>
            <w:hideMark/>
          </w:tcPr>
          <w:p w14:paraId="3C58C3A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w:t>
            </w:r>
          </w:p>
        </w:tc>
        <w:tc>
          <w:tcPr>
            <w:tcW w:w="252" w:type="pct"/>
            <w:tcBorders>
              <w:top w:val="nil"/>
              <w:left w:val="nil"/>
              <w:bottom w:val="dotted" w:sz="4" w:space="0" w:color="auto"/>
              <w:right w:val="dotted" w:sz="4" w:space="0" w:color="auto"/>
            </w:tcBorders>
            <w:shd w:val="clear" w:color="000000" w:fill="FFF2CC"/>
            <w:noWrap/>
            <w:vAlign w:val="bottom"/>
            <w:hideMark/>
          </w:tcPr>
          <w:p w14:paraId="34564AA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w:t>
            </w:r>
          </w:p>
        </w:tc>
        <w:tc>
          <w:tcPr>
            <w:tcW w:w="252" w:type="pct"/>
            <w:tcBorders>
              <w:top w:val="nil"/>
              <w:left w:val="nil"/>
              <w:bottom w:val="dotted" w:sz="4" w:space="0" w:color="auto"/>
              <w:right w:val="dotted" w:sz="4" w:space="0" w:color="auto"/>
            </w:tcBorders>
            <w:shd w:val="clear" w:color="000000" w:fill="FFF2CC"/>
            <w:noWrap/>
            <w:vAlign w:val="bottom"/>
            <w:hideMark/>
          </w:tcPr>
          <w:p w14:paraId="6D7A23C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0</w:t>
            </w:r>
          </w:p>
        </w:tc>
        <w:tc>
          <w:tcPr>
            <w:tcW w:w="252" w:type="pct"/>
            <w:tcBorders>
              <w:top w:val="nil"/>
              <w:left w:val="nil"/>
              <w:bottom w:val="dotted" w:sz="4" w:space="0" w:color="auto"/>
              <w:right w:val="dotted" w:sz="4" w:space="0" w:color="auto"/>
            </w:tcBorders>
            <w:shd w:val="clear" w:color="000000" w:fill="FFF2CC"/>
            <w:noWrap/>
            <w:vAlign w:val="bottom"/>
            <w:hideMark/>
          </w:tcPr>
          <w:p w14:paraId="01BC98D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w:t>
            </w:r>
          </w:p>
        </w:tc>
        <w:tc>
          <w:tcPr>
            <w:tcW w:w="252" w:type="pct"/>
            <w:tcBorders>
              <w:top w:val="nil"/>
              <w:left w:val="nil"/>
              <w:bottom w:val="dotted" w:sz="4" w:space="0" w:color="auto"/>
              <w:right w:val="dotted" w:sz="4" w:space="0" w:color="auto"/>
            </w:tcBorders>
            <w:shd w:val="clear" w:color="000000" w:fill="FFF2CC"/>
            <w:noWrap/>
            <w:vAlign w:val="bottom"/>
            <w:hideMark/>
          </w:tcPr>
          <w:p w14:paraId="3B3F2A8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w:t>
            </w:r>
          </w:p>
        </w:tc>
        <w:tc>
          <w:tcPr>
            <w:tcW w:w="252" w:type="pct"/>
            <w:tcBorders>
              <w:top w:val="nil"/>
              <w:left w:val="nil"/>
              <w:bottom w:val="dotted" w:sz="4" w:space="0" w:color="auto"/>
              <w:right w:val="dotted" w:sz="4" w:space="0" w:color="auto"/>
            </w:tcBorders>
            <w:shd w:val="clear" w:color="000000" w:fill="FFF2CC"/>
            <w:noWrap/>
            <w:vAlign w:val="bottom"/>
            <w:hideMark/>
          </w:tcPr>
          <w:p w14:paraId="014F0AB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w:t>
            </w:r>
          </w:p>
        </w:tc>
        <w:tc>
          <w:tcPr>
            <w:tcW w:w="252" w:type="pct"/>
            <w:tcBorders>
              <w:top w:val="nil"/>
              <w:left w:val="nil"/>
              <w:bottom w:val="dotted" w:sz="4" w:space="0" w:color="auto"/>
              <w:right w:val="dotted" w:sz="4" w:space="0" w:color="auto"/>
            </w:tcBorders>
            <w:shd w:val="clear" w:color="000000" w:fill="FFF2CC"/>
            <w:noWrap/>
            <w:vAlign w:val="bottom"/>
            <w:hideMark/>
          </w:tcPr>
          <w:p w14:paraId="5059A84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w:t>
            </w:r>
          </w:p>
        </w:tc>
        <w:tc>
          <w:tcPr>
            <w:tcW w:w="252" w:type="pct"/>
            <w:tcBorders>
              <w:top w:val="nil"/>
              <w:left w:val="nil"/>
              <w:bottom w:val="dotted" w:sz="4" w:space="0" w:color="auto"/>
              <w:right w:val="dotted" w:sz="4" w:space="0" w:color="auto"/>
            </w:tcBorders>
            <w:shd w:val="clear" w:color="000000" w:fill="FFF2CC"/>
            <w:noWrap/>
            <w:vAlign w:val="bottom"/>
            <w:hideMark/>
          </w:tcPr>
          <w:p w14:paraId="1A9A6BD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w:t>
            </w:r>
          </w:p>
        </w:tc>
        <w:tc>
          <w:tcPr>
            <w:tcW w:w="252" w:type="pct"/>
            <w:tcBorders>
              <w:top w:val="nil"/>
              <w:left w:val="nil"/>
              <w:bottom w:val="dotted" w:sz="4" w:space="0" w:color="auto"/>
              <w:right w:val="dotted" w:sz="4" w:space="0" w:color="auto"/>
            </w:tcBorders>
            <w:shd w:val="clear" w:color="000000" w:fill="FFF2CC"/>
            <w:noWrap/>
            <w:vAlign w:val="bottom"/>
            <w:hideMark/>
          </w:tcPr>
          <w:p w14:paraId="3126E7B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w:t>
            </w:r>
          </w:p>
        </w:tc>
        <w:tc>
          <w:tcPr>
            <w:tcW w:w="252" w:type="pct"/>
            <w:tcBorders>
              <w:top w:val="nil"/>
              <w:left w:val="nil"/>
              <w:bottom w:val="dotted" w:sz="4" w:space="0" w:color="auto"/>
              <w:right w:val="dotted" w:sz="4" w:space="0" w:color="auto"/>
            </w:tcBorders>
            <w:shd w:val="clear" w:color="000000" w:fill="FFF2CC"/>
            <w:noWrap/>
            <w:vAlign w:val="bottom"/>
            <w:hideMark/>
          </w:tcPr>
          <w:p w14:paraId="3C938F6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w:t>
            </w:r>
          </w:p>
        </w:tc>
        <w:tc>
          <w:tcPr>
            <w:tcW w:w="422" w:type="pct"/>
            <w:tcBorders>
              <w:top w:val="nil"/>
              <w:left w:val="nil"/>
              <w:bottom w:val="dotted" w:sz="4" w:space="0" w:color="auto"/>
              <w:right w:val="single" w:sz="8" w:space="0" w:color="auto"/>
            </w:tcBorders>
            <w:shd w:val="clear" w:color="000000" w:fill="FFF2CC"/>
            <w:noWrap/>
            <w:vAlign w:val="bottom"/>
            <w:hideMark/>
          </w:tcPr>
          <w:p w14:paraId="03F11FF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w:t>
            </w:r>
          </w:p>
        </w:tc>
      </w:tr>
      <w:tr w:rsidR="00CF7396" w:rsidRPr="00CF7396" w14:paraId="22C87347"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72FF3C05"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44AE8C3E"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FFF2CC"/>
            <w:noWrap/>
            <w:vAlign w:val="bottom"/>
            <w:hideMark/>
          </w:tcPr>
          <w:p w14:paraId="77470D3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Circulante</w:t>
            </w:r>
          </w:p>
        </w:tc>
        <w:tc>
          <w:tcPr>
            <w:tcW w:w="252" w:type="pct"/>
            <w:tcBorders>
              <w:top w:val="nil"/>
              <w:left w:val="nil"/>
              <w:bottom w:val="dotted" w:sz="4" w:space="0" w:color="auto"/>
              <w:right w:val="dotted" w:sz="4" w:space="0" w:color="auto"/>
            </w:tcBorders>
            <w:shd w:val="clear" w:color="000000" w:fill="FFF2CC"/>
            <w:noWrap/>
            <w:vAlign w:val="bottom"/>
            <w:hideMark/>
          </w:tcPr>
          <w:p w14:paraId="7BD42B3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152</w:t>
            </w:r>
          </w:p>
        </w:tc>
        <w:tc>
          <w:tcPr>
            <w:tcW w:w="252" w:type="pct"/>
            <w:tcBorders>
              <w:top w:val="nil"/>
              <w:left w:val="nil"/>
              <w:bottom w:val="dotted" w:sz="4" w:space="0" w:color="auto"/>
              <w:right w:val="dotted" w:sz="4" w:space="0" w:color="auto"/>
            </w:tcBorders>
            <w:shd w:val="clear" w:color="000000" w:fill="FFF2CC"/>
            <w:noWrap/>
            <w:vAlign w:val="bottom"/>
            <w:hideMark/>
          </w:tcPr>
          <w:p w14:paraId="158AA43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148</w:t>
            </w:r>
          </w:p>
        </w:tc>
        <w:tc>
          <w:tcPr>
            <w:tcW w:w="252" w:type="pct"/>
            <w:tcBorders>
              <w:top w:val="nil"/>
              <w:left w:val="nil"/>
              <w:bottom w:val="dotted" w:sz="4" w:space="0" w:color="auto"/>
              <w:right w:val="dotted" w:sz="4" w:space="0" w:color="auto"/>
            </w:tcBorders>
            <w:shd w:val="clear" w:color="000000" w:fill="FFF2CC"/>
            <w:noWrap/>
            <w:vAlign w:val="bottom"/>
            <w:hideMark/>
          </w:tcPr>
          <w:p w14:paraId="02CB881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154</w:t>
            </w:r>
          </w:p>
        </w:tc>
        <w:tc>
          <w:tcPr>
            <w:tcW w:w="252" w:type="pct"/>
            <w:tcBorders>
              <w:top w:val="nil"/>
              <w:left w:val="nil"/>
              <w:bottom w:val="dotted" w:sz="4" w:space="0" w:color="auto"/>
              <w:right w:val="dotted" w:sz="4" w:space="0" w:color="auto"/>
            </w:tcBorders>
            <w:shd w:val="clear" w:color="000000" w:fill="FFF2CC"/>
            <w:noWrap/>
            <w:vAlign w:val="bottom"/>
            <w:hideMark/>
          </w:tcPr>
          <w:p w14:paraId="55316CB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164</w:t>
            </w:r>
          </w:p>
        </w:tc>
        <w:tc>
          <w:tcPr>
            <w:tcW w:w="252" w:type="pct"/>
            <w:tcBorders>
              <w:top w:val="nil"/>
              <w:left w:val="nil"/>
              <w:bottom w:val="dotted" w:sz="4" w:space="0" w:color="auto"/>
              <w:right w:val="dotted" w:sz="4" w:space="0" w:color="auto"/>
            </w:tcBorders>
            <w:shd w:val="clear" w:color="000000" w:fill="FFF2CC"/>
            <w:noWrap/>
            <w:vAlign w:val="bottom"/>
            <w:hideMark/>
          </w:tcPr>
          <w:p w14:paraId="6425954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171</w:t>
            </w:r>
          </w:p>
        </w:tc>
        <w:tc>
          <w:tcPr>
            <w:tcW w:w="252" w:type="pct"/>
            <w:tcBorders>
              <w:top w:val="nil"/>
              <w:left w:val="nil"/>
              <w:bottom w:val="dotted" w:sz="4" w:space="0" w:color="auto"/>
              <w:right w:val="dotted" w:sz="4" w:space="0" w:color="auto"/>
            </w:tcBorders>
            <w:shd w:val="clear" w:color="000000" w:fill="FFF2CC"/>
            <w:noWrap/>
            <w:vAlign w:val="bottom"/>
            <w:hideMark/>
          </w:tcPr>
          <w:p w14:paraId="10DDD1D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182</w:t>
            </w:r>
          </w:p>
        </w:tc>
        <w:tc>
          <w:tcPr>
            <w:tcW w:w="252" w:type="pct"/>
            <w:tcBorders>
              <w:top w:val="nil"/>
              <w:left w:val="nil"/>
              <w:bottom w:val="dotted" w:sz="4" w:space="0" w:color="auto"/>
              <w:right w:val="dotted" w:sz="4" w:space="0" w:color="auto"/>
            </w:tcBorders>
            <w:shd w:val="clear" w:color="000000" w:fill="FFF2CC"/>
            <w:noWrap/>
            <w:vAlign w:val="bottom"/>
            <w:hideMark/>
          </w:tcPr>
          <w:p w14:paraId="28C7EC4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185</w:t>
            </w:r>
          </w:p>
        </w:tc>
        <w:tc>
          <w:tcPr>
            <w:tcW w:w="252" w:type="pct"/>
            <w:tcBorders>
              <w:top w:val="nil"/>
              <w:left w:val="nil"/>
              <w:bottom w:val="dotted" w:sz="4" w:space="0" w:color="auto"/>
              <w:right w:val="dotted" w:sz="4" w:space="0" w:color="auto"/>
            </w:tcBorders>
            <w:shd w:val="clear" w:color="000000" w:fill="FFF2CC"/>
            <w:noWrap/>
            <w:vAlign w:val="bottom"/>
            <w:hideMark/>
          </w:tcPr>
          <w:p w14:paraId="18C09BC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185</w:t>
            </w:r>
          </w:p>
        </w:tc>
        <w:tc>
          <w:tcPr>
            <w:tcW w:w="252" w:type="pct"/>
            <w:tcBorders>
              <w:top w:val="nil"/>
              <w:left w:val="nil"/>
              <w:bottom w:val="dotted" w:sz="4" w:space="0" w:color="auto"/>
              <w:right w:val="dotted" w:sz="4" w:space="0" w:color="auto"/>
            </w:tcBorders>
            <w:shd w:val="clear" w:color="000000" w:fill="FFF2CC"/>
            <w:noWrap/>
            <w:vAlign w:val="bottom"/>
            <w:hideMark/>
          </w:tcPr>
          <w:p w14:paraId="3025641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190</w:t>
            </w:r>
          </w:p>
        </w:tc>
        <w:tc>
          <w:tcPr>
            <w:tcW w:w="252" w:type="pct"/>
            <w:tcBorders>
              <w:top w:val="nil"/>
              <w:left w:val="nil"/>
              <w:bottom w:val="dotted" w:sz="4" w:space="0" w:color="auto"/>
              <w:right w:val="dotted" w:sz="4" w:space="0" w:color="auto"/>
            </w:tcBorders>
            <w:shd w:val="clear" w:color="000000" w:fill="FFF2CC"/>
            <w:noWrap/>
            <w:vAlign w:val="bottom"/>
            <w:hideMark/>
          </w:tcPr>
          <w:p w14:paraId="257E43D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185</w:t>
            </w:r>
          </w:p>
        </w:tc>
        <w:tc>
          <w:tcPr>
            <w:tcW w:w="252" w:type="pct"/>
            <w:tcBorders>
              <w:top w:val="nil"/>
              <w:left w:val="nil"/>
              <w:bottom w:val="dotted" w:sz="4" w:space="0" w:color="auto"/>
              <w:right w:val="dotted" w:sz="4" w:space="0" w:color="auto"/>
            </w:tcBorders>
            <w:shd w:val="clear" w:color="000000" w:fill="FFF2CC"/>
            <w:noWrap/>
            <w:vAlign w:val="bottom"/>
            <w:hideMark/>
          </w:tcPr>
          <w:p w14:paraId="77FD556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182</w:t>
            </w:r>
          </w:p>
        </w:tc>
        <w:tc>
          <w:tcPr>
            <w:tcW w:w="252" w:type="pct"/>
            <w:tcBorders>
              <w:top w:val="nil"/>
              <w:left w:val="nil"/>
              <w:bottom w:val="dotted" w:sz="4" w:space="0" w:color="auto"/>
              <w:right w:val="dotted" w:sz="4" w:space="0" w:color="auto"/>
            </w:tcBorders>
            <w:shd w:val="clear" w:color="000000" w:fill="FFF2CC"/>
            <w:noWrap/>
            <w:vAlign w:val="bottom"/>
            <w:hideMark/>
          </w:tcPr>
          <w:p w14:paraId="4CC19F5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183</w:t>
            </w:r>
          </w:p>
        </w:tc>
        <w:tc>
          <w:tcPr>
            <w:tcW w:w="422" w:type="pct"/>
            <w:tcBorders>
              <w:top w:val="nil"/>
              <w:left w:val="nil"/>
              <w:bottom w:val="dotted" w:sz="4" w:space="0" w:color="auto"/>
              <w:right w:val="single" w:sz="8" w:space="0" w:color="auto"/>
            </w:tcBorders>
            <w:shd w:val="clear" w:color="000000" w:fill="808080"/>
            <w:noWrap/>
            <w:vAlign w:val="bottom"/>
            <w:hideMark/>
          </w:tcPr>
          <w:p w14:paraId="3B0AA77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w:t>
            </w:r>
          </w:p>
        </w:tc>
      </w:tr>
      <w:tr w:rsidR="00CF7396" w:rsidRPr="00CF7396" w14:paraId="0F3738B5"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7EFB30D9" w14:textId="77777777" w:rsidR="00CF7396" w:rsidRPr="00CF7396" w:rsidRDefault="00CF7396" w:rsidP="00CF7396">
            <w:pPr>
              <w:rPr>
                <w:b/>
                <w:bCs/>
                <w:color w:val="000000" w:themeColor="text1"/>
                <w:lang w:val="es-CR" w:eastAsia="es-CR"/>
              </w:rPr>
            </w:pPr>
          </w:p>
        </w:tc>
        <w:tc>
          <w:tcPr>
            <w:tcW w:w="561" w:type="pct"/>
            <w:vMerge w:val="restart"/>
            <w:tcBorders>
              <w:top w:val="nil"/>
              <w:left w:val="dotted" w:sz="4" w:space="0" w:color="auto"/>
              <w:bottom w:val="dotted" w:sz="4" w:space="0" w:color="auto"/>
              <w:right w:val="dotted" w:sz="4" w:space="0" w:color="auto"/>
            </w:tcBorders>
            <w:shd w:val="clear" w:color="000000" w:fill="FFF2CC"/>
            <w:vAlign w:val="center"/>
            <w:hideMark/>
          </w:tcPr>
          <w:p w14:paraId="058DEEA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Pensiones Alimentarias</w:t>
            </w:r>
          </w:p>
        </w:tc>
        <w:tc>
          <w:tcPr>
            <w:tcW w:w="432" w:type="pct"/>
            <w:tcBorders>
              <w:top w:val="nil"/>
              <w:left w:val="nil"/>
              <w:bottom w:val="dotted" w:sz="4" w:space="0" w:color="auto"/>
              <w:right w:val="dotted" w:sz="4" w:space="0" w:color="auto"/>
            </w:tcBorders>
            <w:shd w:val="clear" w:color="000000" w:fill="FFF2CC"/>
            <w:noWrap/>
            <w:vAlign w:val="bottom"/>
            <w:hideMark/>
          </w:tcPr>
          <w:p w14:paraId="3109D71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Entrada</w:t>
            </w:r>
          </w:p>
        </w:tc>
        <w:tc>
          <w:tcPr>
            <w:tcW w:w="252" w:type="pct"/>
            <w:tcBorders>
              <w:top w:val="nil"/>
              <w:left w:val="nil"/>
              <w:bottom w:val="dotted" w:sz="4" w:space="0" w:color="auto"/>
              <w:right w:val="dotted" w:sz="4" w:space="0" w:color="auto"/>
            </w:tcBorders>
            <w:shd w:val="clear" w:color="000000" w:fill="FFF2CC"/>
            <w:noWrap/>
            <w:vAlign w:val="bottom"/>
            <w:hideMark/>
          </w:tcPr>
          <w:p w14:paraId="618D2CF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37</w:t>
            </w:r>
          </w:p>
        </w:tc>
        <w:tc>
          <w:tcPr>
            <w:tcW w:w="252" w:type="pct"/>
            <w:tcBorders>
              <w:top w:val="nil"/>
              <w:left w:val="nil"/>
              <w:bottom w:val="dotted" w:sz="4" w:space="0" w:color="auto"/>
              <w:right w:val="dotted" w:sz="4" w:space="0" w:color="auto"/>
            </w:tcBorders>
            <w:shd w:val="clear" w:color="000000" w:fill="FFF2CC"/>
            <w:noWrap/>
            <w:vAlign w:val="bottom"/>
            <w:hideMark/>
          </w:tcPr>
          <w:p w14:paraId="00033F5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36</w:t>
            </w:r>
          </w:p>
        </w:tc>
        <w:tc>
          <w:tcPr>
            <w:tcW w:w="252" w:type="pct"/>
            <w:tcBorders>
              <w:top w:val="nil"/>
              <w:left w:val="nil"/>
              <w:bottom w:val="dotted" w:sz="4" w:space="0" w:color="auto"/>
              <w:right w:val="dotted" w:sz="4" w:space="0" w:color="auto"/>
            </w:tcBorders>
            <w:shd w:val="clear" w:color="000000" w:fill="FFF2CC"/>
            <w:noWrap/>
            <w:vAlign w:val="bottom"/>
            <w:hideMark/>
          </w:tcPr>
          <w:p w14:paraId="17A1181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37</w:t>
            </w:r>
          </w:p>
        </w:tc>
        <w:tc>
          <w:tcPr>
            <w:tcW w:w="252" w:type="pct"/>
            <w:tcBorders>
              <w:top w:val="nil"/>
              <w:left w:val="nil"/>
              <w:bottom w:val="dotted" w:sz="4" w:space="0" w:color="auto"/>
              <w:right w:val="dotted" w:sz="4" w:space="0" w:color="auto"/>
            </w:tcBorders>
            <w:shd w:val="clear" w:color="000000" w:fill="FFF2CC"/>
            <w:noWrap/>
            <w:vAlign w:val="bottom"/>
            <w:hideMark/>
          </w:tcPr>
          <w:p w14:paraId="1A25E20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60</w:t>
            </w:r>
          </w:p>
        </w:tc>
        <w:tc>
          <w:tcPr>
            <w:tcW w:w="252" w:type="pct"/>
            <w:tcBorders>
              <w:top w:val="nil"/>
              <w:left w:val="nil"/>
              <w:bottom w:val="dotted" w:sz="4" w:space="0" w:color="auto"/>
              <w:right w:val="dotted" w:sz="4" w:space="0" w:color="auto"/>
            </w:tcBorders>
            <w:shd w:val="clear" w:color="000000" w:fill="FFF2CC"/>
            <w:noWrap/>
            <w:vAlign w:val="bottom"/>
            <w:hideMark/>
          </w:tcPr>
          <w:p w14:paraId="3A5D0CA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34</w:t>
            </w:r>
          </w:p>
        </w:tc>
        <w:tc>
          <w:tcPr>
            <w:tcW w:w="252" w:type="pct"/>
            <w:tcBorders>
              <w:top w:val="nil"/>
              <w:left w:val="nil"/>
              <w:bottom w:val="dotted" w:sz="4" w:space="0" w:color="auto"/>
              <w:right w:val="dotted" w:sz="4" w:space="0" w:color="auto"/>
            </w:tcBorders>
            <w:shd w:val="clear" w:color="000000" w:fill="FFF2CC"/>
            <w:noWrap/>
            <w:vAlign w:val="bottom"/>
            <w:hideMark/>
          </w:tcPr>
          <w:p w14:paraId="1EBA7C2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43</w:t>
            </w:r>
          </w:p>
        </w:tc>
        <w:tc>
          <w:tcPr>
            <w:tcW w:w="252" w:type="pct"/>
            <w:tcBorders>
              <w:top w:val="nil"/>
              <w:left w:val="nil"/>
              <w:bottom w:val="dotted" w:sz="4" w:space="0" w:color="auto"/>
              <w:right w:val="dotted" w:sz="4" w:space="0" w:color="auto"/>
            </w:tcBorders>
            <w:shd w:val="clear" w:color="000000" w:fill="FFF2CC"/>
            <w:noWrap/>
            <w:vAlign w:val="bottom"/>
            <w:hideMark/>
          </w:tcPr>
          <w:p w14:paraId="7338D4E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37</w:t>
            </w:r>
          </w:p>
        </w:tc>
        <w:tc>
          <w:tcPr>
            <w:tcW w:w="252" w:type="pct"/>
            <w:tcBorders>
              <w:top w:val="nil"/>
              <w:left w:val="nil"/>
              <w:bottom w:val="dotted" w:sz="4" w:space="0" w:color="auto"/>
              <w:right w:val="dotted" w:sz="4" w:space="0" w:color="auto"/>
            </w:tcBorders>
            <w:shd w:val="clear" w:color="000000" w:fill="FFF2CC"/>
            <w:noWrap/>
            <w:vAlign w:val="bottom"/>
            <w:hideMark/>
          </w:tcPr>
          <w:p w14:paraId="664C96B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39</w:t>
            </w:r>
          </w:p>
        </w:tc>
        <w:tc>
          <w:tcPr>
            <w:tcW w:w="252" w:type="pct"/>
            <w:tcBorders>
              <w:top w:val="nil"/>
              <w:left w:val="nil"/>
              <w:bottom w:val="dotted" w:sz="4" w:space="0" w:color="auto"/>
              <w:right w:val="dotted" w:sz="4" w:space="0" w:color="auto"/>
            </w:tcBorders>
            <w:shd w:val="clear" w:color="000000" w:fill="FFF2CC"/>
            <w:noWrap/>
            <w:vAlign w:val="bottom"/>
            <w:hideMark/>
          </w:tcPr>
          <w:p w14:paraId="233F64A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31</w:t>
            </w:r>
          </w:p>
        </w:tc>
        <w:tc>
          <w:tcPr>
            <w:tcW w:w="252" w:type="pct"/>
            <w:tcBorders>
              <w:top w:val="nil"/>
              <w:left w:val="nil"/>
              <w:bottom w:val="dotted" w:sz="4" w:space="0" w:color="auto"/>
              <w:right w:val="dotted" w:sz="4" w:space="0" w:color="auto"/>
            </w:tcBorders>
            <w:shd w:val="clear" w:color="000000" w:fill="FFF2CC"/>
            <w:noWrap/>
            <w:vAlign w:val="bottom"/>
            <w:hideMark/>
          </w:tcPr>
          <w:p w14:paraId="5205BAB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45</w:t>
            </w:r>
          </w:p>
        </w:tc>
        <w:tc>
          <w:tcPr>
            <w:tcW w:w="252" w:type="pct"/>
            <w:tcBorders>
              <w:top w:val="nil"/>
              <w:left w:val="nil"/>
              <w:bottom w:val="dotted" w:sz="4" w:space="0" w:color="auto"/>
              <w:right w:val="dotted" w:sz="4" w:space="0" w:color="auto"/>
            </w:tcBorders>
            <w:shd w:val="clear" w:color="000000" w:fill="FFF2CC"/>
            <w:noWrap/>
            <w:vAlign w:val="bottom"/>
            <w:hideMark/>
          </w:tcPr>
          <w:p w14:paraId="40D8694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51</w:t>
            </w:r>
          </w:p>
        </w:tc>
        <w:tc>
          <w:tcPr>
            <w:tcW w:w="252" w:type="pct"/>
            <w:tcBorders>
              <w:top w:val="nil"/>
              <w:left w:val="nil"/>
              <w:bottom w:val="dotted" w:sz="4" w:space="0" w:color="auto"/>
              <w:right w:val="dotted" w:sz="4" w:space="0" w:color="auto"/>
            </w:tcBorders>
            <w:shd w:val="clear" w:color="000000" w:fill="FFF2CC"/>
            <w:noWrap/>
            <w:vAlign w:val="bottom"/>
            <w:hideMark/>
          </w:tcPr>
          <w:p w14:paraId="494B931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w:t>
            </w:r>
          </w:p>
        </w:tc>
        <w:tc>
          <w:tcPr>
            <w:tcW w:w="422" w:type="pct"/>
            <w:tcBorders>
              <w:top w:val="nil"/>
              <w:left w:val="nil"/>
              <w:bottom w:val="dotted" w:sz="4" w:space="0" w:color="auto"/>
              <w:right w:val="single" w:sz="8" w:space="0" w:color="auto"/>
            </w:tcBorders>
            <w:shd w:val="clear" w:color="000000" w:fill="FFF2CC"/>
            <w:noWrap/>
            <w:vAlign w:val="bottom"/>
            <w:hideMark/>
          </w:tcPr>
          <w:p w14:paraId="7357ED4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41</w:t>
            </w:r>
          </w:p>
        </w:tc>
      </w:tr>
      <w:tr w:rsidR="00CF7396" w:rsidRPr="00CF7396" w14:paraId="62141157"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54871EF1"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5EBADD50"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FFF2CC"/>
            <w:noWrap/>
            <w:vAlign w:val="bottom"/>
            <w:hideMark/>
          </w:tcPr>
          <w:p w14:paraId="41C9372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Terminados </w:t>
            </w:r>
          </w:p>
        </w:tc>
        <w:tc>
          <w:tcPr>
            <w:tcW w:w="252" w:type="pct"/>
            <w:tcBorders>
              <w:top w:val="nil"/>
              <w:left w:val="nil"/>
              <w:bottom w:val="dotted" w:sz="4" w:space="0" w:color="auto"/>
              <w:right w:val="dotted" w:sz="4" w:space="0" w:color="auto"/>
            </w:tcBorders>
            <w:shd w:val="clear" w:color="000000" w:fill="FFF2CC"/>
            <w:noWrap/>
            <w:vAlign w:val="bottom"/>
            <w:hideMark/>
          </w:tcPr>
          <w:p w14:paraId="5F54CA7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w:t>
            </w:r>
          </w:p>
        </w:tc>
        <w:tc>
          <w:tcPr>
            <w:tcW w:w="252" w:type="pct"/>
            <w:tcBorders>
              <w:top w:val="nil"/>
              <w:left w:val="nil"/>
              <w:bottom w:val="dotted" w:sz="4" w:space="0" w:color="auto"/>
              <w:right w:val="dotted" w:sz="4" w:space="0" w:color="auto"/>
            </w:tcBorders>
            <w:shd w:val="clear" w:color="000000" w:fill="FFF2CC"/>
            <w:noWrap/>
            <w:vAlign w:val="bottom"/>
            <w:hideMark/>
          </w:tcPr>
          <w:p w14:paraId="52E95E5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65</w:t>
            </w:r>
          </w:p>
        </w:tc>
        <w:tc>
          <w:tcPr>
            <w:tcW w:w="252" w:type="pct"/>
            <w:tcBorders>
              <w:top w:val="nil"/>
              <w:left w:val="nil"/>
              <w:bottom w:val="dotted" w:sz="4" w:space="0" w:color="auto"/>
              <w:right w:val="dotted" w:sz="4" w:space="0" w:color="auto"/>
            </w:tcBorders>
            <w:shd w:val="clear" w:color="000000" w:fill="FFF2CC"/>
            <w:noWrap/>
            <w:vAlign w:val="bottom"/>
            <w:hideMark/>
          </w:tcPr>
          <w:p w14:paraId="5DD571F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53</w:t>
            </w:r>
          </w:p>
        </w:tc>
        <w:tc>
          <w:tcPr>
            <w:tcW w:w="252" w:type="pct"/>
            <w:tcBorders>
              <w:top w:val="nil"/>
              <w:left w:val="nil"/>
              <w:bottom w:val="dotted" w:sz="4" w:space="0" w:color="auto"/>
              <w:right w:val="dotted" w:sz="4" w:space="0" w:color="auto"/>
            </w:tcBorders>
            <w:shd w:val="clear" w:color="000000" w:fill="FFF2CC"/>
            <w:noWrap/>
            <w:vAlign w:val="bottom"/>
            <w:hideMark/>
          </w:tcPr>
          <w:p w14:paraId="608217A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27</w:t>
            </w:r>
          </w:p>
        </w:tc>
        <w:tc>
          <w:tcPr>
            <w:tcW w:w="252" w:type="pct"/>
            <w:tcBorders>
              <w:top w:val="nil"/>
              <w:left w:val="nil"/>
              <w:bottom w:val="dotted" w:sz="4" w:space="0" w:color="auto"/>
              <w:right w:val="dotted" w:sz="4" w:space="0" w:color="auto"/>
            </w:tcBorders>
            <w:shd w:val="clear" w:color="000000" w:fill="FFF2CC"/>
            <w:noWrap/>
            <w:vAlign w:val="bottom"/>
            <w:hideMark/>
          </w:tcPr>
          <w:p w14:paraId="79D326D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w:t>
            </w:r>
          </w:p>
        </w:tc>
        <w:tc>
          <w:tcPr>
            <w:tcW w:w="252" w:type="pct"/>
            <w:tcBorders>
              <w:top w:val="nil"/>
              <w:left w:val="nil"/>
              <w:bottom w:val="dotted" w:sz="4" w:space="0" w:color="auto"/>
              <w:right w:val="dotted" w:sz="4" w:space="0" w:color="auto"/>
            </w:tcBorders>
            <w:shd w:val="clear" w:color="000000" w:fill="FFF2CC"/>
            <w:noWrap/>
            <w:vAlign w:val="bottom"/>
            <w:hideMark/>
          </w:tcPr>
          <w:p w14:paraId="348685B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99</w:t>
            </w:r>
          </w:p>
        </w:tc>
        <w:tc>
          <w:tcPr>
            <w:tcW w:w="252" w:type="pct"/>
            <w:tcBorders>
              <w:top w:val="nil"/>
              <w:left w:val="nil"/>
              <w:bottom w:val="dotted" w:sz="4" w:space="0" w:color="auto"/>
              <w:right w:val="dotted" w:sz="4" w:space="0" w:color="auto"/>
            </w:tcBorders>
            <w:shd w:val="clear" w:color="000000" w:fill="FFF2CC"/>
            <w:noWrap/>
            <w:vAlign w:val="bottom"/>
            <w:hideMark/>
          </w:tcPr>
          <w:p w14:paraId="27C37A9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39</w:t>
            </w:r>
          </w:p>
        </w:tc>
        <w:tc>
          <w:tcPr>
            <w:tcW w:w="252" w:type="pct"/>
            <w:tcBorders>
              <w:top w:val="nil"/>
              <w:left w:val="nil"/>
              <w:bottom w:val="dotted" w:sz="4" w:space="0" w:color="auto"/>
              <w:right w:val="dotted" w:sz="4" w:space="0" w:color="auto"/>
            </w:tcBorders>
            <w:shd w:val="clear" w:color="000000" w:fill="FFF2CC"/>
            <w:noWrap/>
            <w:vAlign w:val="bottom"/>
            <w:hideMark/>
          </w:tcPr>
          <w:p w14:paraId="1142E1E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62</w:t>
            </w:r>
          </w:p>
        </w:tc>
        <w:tc>
          <w:tcPr>
            <w:tcW w:w="252" w:type="pct"/>
            <w:tcBorders>
              <w:top w:val="nil"/>
              <w:left w:val="nil"/>
              <w:bottom w:val="dotted" w:sz="4" w:space="0" w:color="auto"/>
              <w:right w:val="dotted" w:sz="4" w:space="0" w:color="auto"/>
            </w:tcBorders>
            <w:shd w:val="clear" w:color="000000" w:fill="FFF2CC"/>
            <w:noWrap/>
            <w:vAlign w:val="bottom"/>
            <w:hideMark/>
          </w:tcPr>
          <w:p w14:paraId="4DE115B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24</w:t>
            </w:r>
          </w:p>
        </w:tc>
        <w:tc>
          <w:tcPr>
            <w:tcW w:w="252" w:type="pct"/>
            <w:tcBorders>
              <w:top w:val="nil"/>
              <w:left w:val="nil"/>
              <w:bottom w:val="dotted" w:sz="4" w:space="0" w:color="auto"/>
              <w:right w:val="dotted" w:sz="4" w:space="0" w:color="auto"/>
            </w:tcBorders>
            <w:shd w:val="clear" w:color="000000" w:fill="FFF2CC"/>
            <w:noWrap/>
            <w:vAlign w:val="bottom"/>
            <w:hideMark/>
          </w:tcPr>
          <w:p w14:paraId="4F0BBDB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22</w:t>
            </w:r>
          </w:p>
        </w:tc>
        <w:tc>
          <w:tcPr>
            <w:tcW w:w="252" w:type="pct"/>
            <w:tcBorders>
              <w:top w:val="nil"/>
              <w:left w:val="nil"/>
              <w:bottom w:val="dotted" w:sz="4" w:space="0" w:color="auto"/>
              <w:right w:val="dotted" w:sz="4" w:space="0" w:color="auto"/>
            </w:tcBorders>
            <w:shd w:val="clear" w:color="000000" w:fill="FFF2CC"/>
            <w:noWrap/>
            <w:vAlign w:val="bottom"/>
            <w:hideMark/>
          </w:tcPr>
          <w:p w14:paraId="1078F47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80</w:t>
            </w:r>
          </w:p>
        </w:tc>
        <w:tc>
          <w:tcPr>
            <w:tcW w:w="252" w:type="pct"/>
            <w:tcBorders>
              <w:top w:val="nil"/>
              <w:left w:val="nil"/>
              <w:bottom w:val="dotted" w:sz="4" w:space="0" w:color="auto"/>
              <w:right w:val="dotted" w:sz="4" w:space="0" w:color="auto"/>
            </w:tcBorders>
            <w:shd w:val="clear" w:color="000000" w:fill="FFF2CC"/>
            <w:noWrap/>
            <w:vAlign w:val="bottom"/>
            <w:hideMark/>
          </w:tcPr>
          <w:p w14:paraId="0B471F7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52</w:t>
            </w:r>
          </w:p>
        </w:tc>
        <w:tc>
          <w:tcPr>
            <w:tcW w:w="422" w:type="pct"/>
            <w:tcBorders>
              <w:top w:val="nil"/>
              <w:left w:val="nil"/>
              <w:bottom w:val="dotted" w:sz="4" w:space="0" w:color="auto"/>
              <w:right w:val="single" w:sz="8" w:space="0" w:color="auto"/>
            </w:tcBorders>
            <w:shd w:val="clear" w:color="000000" w:fill="FFF2CC"/>
            <w:noWrap/>
            <w:vAlign w:val="bottom"/>
            <w:hideMark/>
          </w:tcPr>
          <w:p w14:paraId="428E245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47</w:t>
            </w:r>
          </w:p>
        </w:tc>
      </w:tr>
      <w:tr w:rsidR="00CF7396" w:rsidRPr="00CF7396" w14:paraId="4DEA6134"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36EA0F3F"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4C57B928"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FFF2CC"/>
            <w:noWrap/>
            <w:vAlign w:val="bottom"/>
            <w:hideMark/>
          </w:tcPr>
          <w:p w14:paraId="5C67022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Circulante</w:t>
            </w:r>
          </w:p>
        </w:tc>
        <w:tc>
          <w:tcPr>
            <w:tcW w:w="252" w:type="pct"/>
            <w:tcBorders>
              <w:top w:val="nil"/>
              <w:left w:val="nil"/>
              <w:bottom w:val="dotted" w:sz="4" w:space="0" w:color="auto"/>
              <w:right w:val="dotted" w:sz="4" w:space="0" w:color="auto"/>
            </w:tcBorders>
            <w:shd w:val="clear" w:color="000000" w:fill="FFF2CC"/>
            <w:noWrap/>
            <w:vAlign w:val="bottom"/>
            <w:hideMark/>
          </w:tcPr>
          <w:p w14:paraId="76C99A9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1621</w:t>
            </w:r>
          </w:p>
        </w:tc>
        <w:tc>
          <w:tcPr>
            <w:tcW w:w="252" w:type="pct"/>
            <w:tcBorders>
              <w:top w:val="nil"/>
              <w:left w:val="nil"/>
              <w:bottom w:val="dotted" w:sz="4" w:space="0" w:color="auto"/>
              <w:right w:val="dotted" w:sz="4" w:space="0" w:color="auto"/>
            </w:tcBorders>
            <w:shd w:val="clear" w:color="000000" w:fill="FFF2CC"/>
            <w:noWrap/>
            <w:vAlign w:val="bottom"/>
            <w:hideMark/>
          </w:tcPr>
          <w:p w14:paraId="2F3C23D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1593</w:t>
            </w:r>
          </w:p>
        </w:tc>
        <w:tc>
          <w:tcPr>
            <w:tcW w:w="252" w:type="pct"/>
            <w:tcBorders>
              <w:top w:val="nil"/>
              <w:left w:val="nil"/>
              <w:bottom w:val="dotted" w:sz="4" w:space="0" w:color="auto"/>
              <w:right w:val="dotted" w:sz="4" w:space="0" w:color="auto"/>
            </w:tcBorders>
            <w:shd w:val="clear" w:color="000000" w:fill="FFF2CC"/>
            <w:noWrap/>
            <w:vAlign w:val="bottom"/>
            <w:hideMark/>
          </w:tcPr>
          <w:p w14:paraId="3138B81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1605</w:t>
            </w:r>
          </w:p>
        </w:tc>
        <w:tc>
          <w:tcPr>
            <w:tcW w:w="252" w:type="pct"/>
            <w:tcBorders>
              <w:top w:val="nil"/>
              <w:left w:val="nil"/>
              <w:bottom w:val="dotted" w:sz="4" w:space="0" w:color="auto"/>
              <w:right w:val="dotted" w:sz="4" w:space="0" w:color="auto"/>
            </w:tcBorders>
            <w:shd w:val="clear" w:color="000000" w:fill="FFF2CC"/>
            <w:noWrap/>
            <w:vAlign w:val="bottom"/>
            <w:hideMark/>
          </w:tcPr>
          <w:p w14:paraId="67FC20C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1665</w:t>
            </w:r>
          </w:p>
        </w:tc>
        <w:tc>
          <w:tcPr>
            <w:tcW w:w="252" w:type="pct"/>
            <w:tcBorders>
              <w:top w:val="nil"/>
              <w:left w:val="nil"/>
              <w:bottom w:val="dotted" w:sz="4" w:space="0" w:color="auto"/>
              <w:right w:val="dotted" w:sz="4" w:space="0" w:color="auto"/>
            </w:tcBorders>
            <w:shd w:val="clear" w:color="000000" w:fill="FFF2CC"/>
            <w:noWrap/>
            <w:vAlign w:val="bottom"/>
            <w:hideMark/>
          </w:tcPr>
          <w:p w14:paraId="4E824FE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1401</w:t>
            </w:r>
          </w:p>
        </w:tc>
        <w:tc>
          <w:tcPr>
            <w:tcW w:w="252" w:type="pct"/>
            <w:tcBorders>
              <w:top w:val="nil"/>
              <w:left w:val="nil"/>
              <w:bottom w:val="dotted" w:sz="4" w:space="0" w:color="auto"/>
              <w:right w:val="dotted" w:sz="4" w:space="0" w:color="auto"/>
            </w:tcBorders>
            <w:shd w:val="clear" w:color="000000" w:fill="FFF2CC"/>
            <w:noWrap/>
            <w:vAlign w:val="bottom"/>
            <w:hideMark/>
          </w:tcPr>
          <w:p w14:paraId="783F3F8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1368</w:t>
            </w:r>
          </w:p>
        </w:tc>
        <w:tc>
          <w:tcPr>
            <w:tcW w:w="252" w:type="pct"/>
            <w:tcBorders>
              <w:top w:val="nil"/>
              <w:left w:val="nil"/>
              <w:bottom w:val="dotted" w:sz="4" w:space="0" w:color="auto"/>
              <w:right w:val="dotted" w:sz="4" w:space="0" w:color="auto"/>
            </w:tcBorders>
            <w:shd w:val="clear" w:color="000000" w:fill="FFF2CC"/>
            <w:noWrap/>
            <w:vAlign w:val="bottom"/>
            <w:hideMark/>
          </w:tcPr>
          <w:p w14:paraId="2D761C1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1380</w:t>
            </w:r>
          </w:p>
        </w:tc>
        <w:tc>
          <w:tcPr>
            <w:tcW w:w="252" w:type="pct"/>
            <w:tcBorders>
              <w:top w:val="nil"/>
              <w:left w:val="nil"/>
              <w:bottom w:val="dotted" w:sz="4" w:space="0" w:color="auto"/>
              <w:right w:val="dotted" w:sz="4" w:space="0" w:color="auto"/>
            </w:tcBorders>
            <w:shd w:val="clear" w:color="000000" w:fill="FFF2CC"/>
            <w:noWrap/>
            <w:vAlign w:val="bottom"/>
            <w:hideMark/>
          </w:tcPr>
          <w:p w14:paraId="2720F27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1359</w:t>
            </w:r>
          </w:p>
        </w:tc>
        <w:tc>
          <w:tcPr>
            <w:tcW w:w="252" w:type="pct"/>
            <w:tcBorders>
              <w:top w:val="nil"/>
              <w:left w:val="nil"/>
              <w:bottom w:val="dotted" w:sz="4" w:space="0" w:color="auto"/>
              <w:right w:val="dotted" w:sz="4" w:space="0" w:color="auto"/>
            </w:tcBorders>
            <w:shd w:val="clear" w:color="000000" w:fill="FFF2CC"/>
            <w:noWrap/>
            <w:vAlign w:val="bottom"/>
            <w:hideMark/>
          </w:tcPr>
          <w:p w14:paraId="360314C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1392</w:t>
            </w:r>
          </w:p>
        </w:tc>
        <w:tc>
          <w:tcPr>
            <w:tcW w:w="252" w:type="pct"/>
            <w:tcBorders>
              <w:top w:val="nil"/>
              <w:left w:val="nil"/>
              <w:bottom w:val="dotted" w:sz="4" w:space="0" w:color="auto"/>
              <w:right w:val="dotted" w:sz="4" w:space="0" w:color="auto"/>
            </w:tcBorders>
            <w:shd w:val="clear" w:color="000000" w:fill="FFF2CC"/>
            <w:noWrap/>
            <w:vAlign w:val="bottom"/>
            <w:hideMark/>
          </w:tcPr>
          <w:p w14:paraId="2F40E3B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1446</w:t>
            </w:r>
          </w:p>
        </w:tc>
        <w:tc>
          <w:tcPr>
            <w:tcW w:w="252" w:type="pct"/>
            <w:tcBorders>
              <w:top w:val="nil"/>
              <w:left w:val="nil"/>
              <w:bottom w:val="dotted" w:sz="4" w:space="0" w:color="auto"/>
              <w:right w:val="dotted" w:sz="4" w:space="0" w:color="auto"/>
            </w:tcBorders>
            <w:shd w:val="clear" w:color="000000" w:fill="FFF2CC"/>
            <w:noWrap/>
            <w:vAlign w:val="bottom"/>
            <w:hideMark/>
          </w:tcPr>
          <w:p w14:paraId="676BEF7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1452</w:t>
            </w:r>
          </w:p>
        </w:tc>
        <w:tc>
          <w:tcPr>
            <w:tcW w:w="252" w:type="pct"/>
            <w:tcBorders>
              <w:top w:val="nil"/>
              <w:left w:val="nil"/>
              <w:bottom w:val="dotted" w:sz="4" w:space="0" w:color="auto"/>
              <w:right w:val="dotted" w:sz="4" w:space="0" w:color="auto"/>
            </w:tcBorders>
            <w:shd w:val="clear" w:color="000000" w:fill="FFF2CC"/>
            <w:noWrap/>
            <w:vAlign w:val="bottom"/>
            <w:hideMark/>
          </w:tcPr>
          <w:p w14:paraId="32CF87B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1436</w:t>
            </w:r>
          </w:p>
        </w:tc>
        <w:tc>
          <w:tcPr>
            <w:tcW w:w="422" w:type="pct"/>
            <w:tcBorders>
              <w:top w:val="nil"/>
              <w:left w:val="nil"/>
              <w:bottom w:val="dotted" w:sz="4" w:space="0" w:color="auto"/>
              <w:right w:val="single" w:sz="8" w:space="0" w:color="auto"/>
            </w:tcBorders>
            <w:shd w:val="clear" w:color="000000" w:fill="808080"/>
            <w:noWrap/>
            <w:vAlign w:val="bottom"/>
            <w:hideMark/>
          </w:tcPr>
          <w:p w14:paraId="5E967A9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w:t>
            </w:r>
          </w:p>
        </w:tc>
      </w:tr>
      <w:tr w:rsidR="00CF7396" w:rsidRPr="00CF7396" w14:paraId="30A1E86E"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339FDA03" w14:textId="77777777" w:rsidR="00CF7396" w:rsidRPr="00CF7396" w:rsidRDefault="00CF7396" w:rsidP="00CF7396">
            <w:pPr>
              <w:rPr>
                <w:b/>
                <w:bCs/>
                <w:color w:val="000000" w:themeColor="text1"/>
                <w:lang w:val="es-CR" w:eastAsia="es-CR"/>
              </w:rPr>
            </w:pPr>
          </w:p>
        </w:tc>
        <w:tc>
          <w:tcPr>
            <w:tcW w:w="561" w:type="pct"/>
            <w:vMerge w:val="restart"/>
            <w:tcBorders>
              <w:top w:val="nil"/>
              <w:left w:val="dotted" w:sz="4" w:space="0" w:color="auto"/>
              <w:bottom w:val="dotted" w:sz="4" w:space="0" w:color="auto"/>
              <w:right w:val="dotted" w:sz="4" w:space="0" w:color="auto"/>
            </w:tcBorders>
            <w:shd w:val="clear" w:color="000000" w:fill="FFF2CC"/>
            <w:vAlign w:val="center"/>
            <w:hideMark/>
          </w:tcPr>
          <w:p w14:paraId="167B81E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Violencia Doméstica</w:t>
            </w:r>
          </w:p>
        </w:tc>
        <w:tc>
          <w:tcPr>
            <w:tcW w:w="432" w:type="pct"/>
            <w:tcBorders>
              <w:top w:val="nil"/>
              <w:left w:val="nil"/>
              <w:bottom w:val="dotted" w:sz="4" w:space="0" w:color="auto"/>
              <w:right w:val="dotted" w:sz="4" w:space="0" w:color="auto"/>
            </w:tcBorders>
            <w:shd w:val="clear" w:color="000000" w:fill="FFF2CC"/>
            <w:noWrap/>
            <w:vAlign w:val="bottom"/>
            <w:hideMark/>
          </w:tcPr>
          <w:p w14:paraId="1B343CF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Entrada</w:t>
            </w:r>
          </w:p>
        </w:tc>
        <w:tc>
          <w:tcPr>
            <w:tcW w:w="252" w:type="pct"/>
            <w:tcBorders>
              <w:top w:val="nil"/>
              <w:left w:val="nil"/>
              <w:bottom w:val="dotted" w:sz="4" w:space="0" w:color="auto"/>
              <w:right w:val="dotted" w:sz="4" w:space="0" w:color="auto"/>
            </w:tcBorders>
            <w:shd w:val="clear" w:color="000000" w:fill="FFF2CC"/>
            <w:noWrap/>
            <w:vAlign w:val="bottom"/>
            <w:hideMark/>
          </w:tcPr>
          <w:p w14:paraId="3E13775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56</w:t>
            </w:r>
          </w:p>
        </w:tc>
        <w:tc>
          <w:tcPr>
            <w:tcW w:w="252" w:type="pct"/>
            <w:tcBorders>
              <w:top w:val="nil"/>
              <w:left w:val="nil"/>
              <w:bottom w:val="dotted" w:sz="4" w:space="0" w:color="auto"/>
              <w:right w:val="dotted" w:sz="4" w:space="0" w:color="auto"/>
            </w:tcBorders>
            <w:shd w:val="clear" w:color="000000" w:fill="FFF2CC"/>
            <w:noWrap/>
            <w:vAlign w:val="bottom"/>
            <w:hideMark/>
          </w:tcPr>
          <w:p w14:paraId="0BD72E5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48</w:t>
            </w:r>
          </w:p>
        </w:tc>
        <w:tc>
          <w:tcPr>
            <w:tcW w:w="252" w:type="pct"/>
            <w:tcBorders>
              <w:top w:val="nil"/>
              <w:left w:val="nil"/>
              <w:bottom w:val="dotted" w:sz="4" w:space="0" w:color="auto"/>
              <w:right w:val="dotted" w:sz="4" w:space="0" w:color="auto"/>
            </w:tcBorders>
            <w:shd w:val="clear" w:color="000000" w:fill="FFF2CC"/>
            <w:noWrap/>
            <w:vAlign w:val="bottom"/>
            <w:hideMark/>
          </w:tcPr>
          <w:p w14:paraId="591A57C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64</w:t>
            </w:r>
          </w:p>
        </w:tc>
        <w:tc>
          <w:tcPr>
            <w:tcW w:w="252" w:type="pct"/>
            <w:tcBorders>
              <w:top w:val="nil"/>
              <w:left w:val="nil"/>
              <w:bottom w:val="dotted" w:sz="4" w:space="0" w:color="auto"/>
              <w:right w:val="dotted" w:sz="4" w:space="0" w:color="auto"/>
            </w:tcBorders>
            <w:shd w:val="clear" w:color="000000" w:fill="FFF2CC"/>
            <w:noWrap/>
            <w:vAlign w:val="bottom"/>
            <w:hideMark/>
          </w:tcPr>
          <w:p w14:paraId="62A5B39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41</w:t>
            </w:r>
          </w:p>
        </w:tc>
        <w:tc>
          <w:tcPr>
            <w:tcW w:w="252" w:type="pct"/>
            <w:tcBorders>
              <w:top w:val="nil"/>
              <w:left w:val="nil"/>
              <w:bottom w:val="dotted" w:sz="4" w:space="0" w:color="auto"/>
              <w:right w:val="dotted" w:sz="4" w:space="0" w:color="auto"/>
            </w:tcBorders>
            <w:shd w:val="clear" w:color="000000" w:fill="FFF2CC"/>
            <w:noWrap/>
            <w:vAlign w:val="bottom"/>
            <w:hideMark/>
          </w:tcPr>
          <w:p w14:paraId="09E7D3A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31</w:t>
            </w:r>
          </w:p>
        </w:tc>
        <w:tc>
          <w:tcPr>
            <w:tcW w:w="252" w:type="pct"/>
            <w:tcBorders>
              <w:top w:val="nil"/>
              <w:left w:val="nil"/>
              <w:bottom w:val="dotted" w:sz="4" w:space="0" w:color="auto"/>
              <w:right w:val="dotted" w:sz="4" w:space="0" w:color="auto"/>
            </w:tcBorders>
            <w:shd w:val="clear" w:color="000000" w:fill="FFF2CC"/>
            <w:noWrap/>
            <w:vAlign w:val="bottom"/>
            <w:hideMark/>
          </w:tcPr>
          <w:p w14:paraId="1DB00DD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54</w:t>
            </w:r>
          </w:p>
        </w:tc>
        <w:tc>
          <w:tcPr>
            <w:tcW w:w="252" w:type="pct"/>
            <w:tcBorders>
              <w:top w:val="nil"/>
              <w:left w:val="nil"/>
              <w:bottom w:val="dotted" w:sz="4" w:space="0" w:color="auto"/>
              <w:right w:val="dotted" w:sz="4" w:space="0" w:color="auto"/>
            </w:tcBorders>
            <w:shd w:val="clear" w:color="000000" w:fill="FFF2CC"/>
            <w:noWrap/>
            <w:vAlign w:val="bottom"/>
            <w:hideMark/>
          </w:tcPr>
          <w:p w14:paraId="0610500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47</w:t>
            </w:r>
          </w:p>
        </w:tc>
        <w:tc>
          <w:tcPr>
            <w:tcW w:w="252" w:type="pct"/>
            <w:tcBorders>
              <w:top w:val="nil"/>
              <w:left w:val="nil"/>
              <w:bottom w:val="dotted" w:sz="4" w:space="0" w:color="auto"/>
              <w:right w:val="dotted" w:sz="4" w:space="0" w:color="auto"/>
            </w:tcBorders>
            <w:shd w:val="clear" w:color="000000" w:fill="FFF2CC"/>
            <w:noWrap/>
            <w:vAlign w:val="bottom"/>
            <w:hideMark/>
          </w:tcPr>
          <w:p w14:paraId="3ADA91E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50</w:t>
            </w:r>
          </w:p>
        </w:tc>
        <w:tc>
          <w:tcPr>
            <w:tcW w:w="252" w:type="pct"/>
            <w:tcBorders>
              <w:top w:val="nil"/>
              <w:left w:val="nil"/>
              <w:bottom w:val="dotted" w:sz="4" w:space="0" w:color="auto"/>
              <w:right w:val="dotted" w:sz="4" w:space="0" w:color="auto"/>
            </w:tcBorders>
            <w:shd w:val="clear" w:color="000000" w:fill="FFF2CC"/>
            <w:noWrap/>
            <w:vAlign w:val="bottom"/>
            <w:hideMark/>
          </w:tcPr>
          <w:p w14:paraId="6E1C2CB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42</w:t>
            </w:r>
          </w:p>
        </w:tc>
        <w:tc>
          <w:tcPr>
            <w:tcW w:w="252" w:type="pct"/>
            <w:tcBorders>
              <w:top w:val="nil"/>
              <w:left w:val="nil"/>
              <w:bottom w:val="dotted" w:sz="4" w:space="0" w:color="auto"/>
              <w:right w:val="dotted" w:sz="4" w:space="0" w:color="auto"/>
            </w:tcBorders>
            <w:shd w:val="clear" w:color="000000" w:fill="FFF2CC"/>
            <w:noWrap/>
            <w:vAlign w:val="bottom"/>
            <w:hideMark/>
          </w:tcPr>
          <w:p w14:paraId="49EBAA7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55</w:t>
            </w:r>
          </w:p>
        </w:tc>
        <w:tc>
          <w:tcPr>
            <w:tcW w:w="252" w:type="pct"/>
            <w:tcBorders>
              <w:top w:val="nil"/>
              <w:left w:val="nil"/>
              <w:bottom w:val="dotted" w:sz="4" w:space="0" w:color="auto"/>
              <w:right w:val="dotted" w:sz="4" w:space="0" w:color="auto"/>
            </w:tcBorders>
            <w:shd w:val="clear" w:color="000000" w:fill="FFF2CC"/>
            <w:noWrap/>
            <w:vAlign w:val="bottom"/>
            <w:hideMark/>
          </w:tcPr>
          <w:p w14:paraId="70F67B9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49</w:t>
            </w:r>
          </w:p>
        </w:tc>
        <w:tc>
          <w:tcPr>
            <w:tcW w:w="252" w:type="pct"/>
            <w:tcBorders>
              <w:top w:val="nil"/>
              <w:left w:val="nil"/>
              <w:bottom w:val="dotted" w:sz="4" w:space="0" w:color="auto"/>
              <w:right w:val="dotted" w:sz="4" w:space="0" w:color="auto"/>
            </w:tcBorders>
            <w:shd w:val="clear" w:color="000000" w:fill="FFF2CC"/>
            <w:noWrap/>
            <w:vAlign w:val="bottom"/>
            <w:hideMark/>
          </w:tcPr>
          <w:p w14:paraId="3AF0B8E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49</w:t>
            </w:r>
          </w:p>
        </w:tc>
        <w:tc>
          <w:tcPr>
            <w:tcW w:w="422" w:type="pct"/>
            <w:tcBorders>
              <w:top w:val="nil"/>
              <w:left w:val="nil"/>
              <w:bottom w:val="dotted" w:sz="4" w:space="0" w:color="auto"/>
              <w:right w:val="single" w:sz="8" w:space="0" w:color="auto"/>
            </w:tcBorders>
            <w:shd w:val="clear" w:color="000000" w:fill="FFF2CC"/>
            <w:noWrap/>
            <w:vAlign w:val="bottom"/>
            <w:hideMark/>
          </w:tcPr>
          <w:p w14:paraId="3FF18C5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51</w:t>
            </w:r>
          </w:p>
        </w:tc>
      </w:tr>
      <w:tr w:rsidR="00CF7396" w:rsidRPr="00CF7396" w14:paraId="06CDB079"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4E5EA358"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1FAD4994"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FFF2CC"/>
            <w:noWrap/>
            <w:vAlign w:val="bottom"/>
            <w:hideMark/>
          </w:tcPr>
          <w:p w14:paraId="55EC67B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Terminados </w:t>
            </w:r>
          </w:p>
        </w:tc>
        <w:tc>
          <w:tcPr>
            <w:tcW w:w="252" w:type="pct"/>
            <w:tcBorders>
              <w:top w:val="nil"/>
              <w:left w:val="nil"/>
              <w:bottom w:val="dotted" w:sz="4" w:space="0" w:color="auto"/>
              <w:right w:val="dotted" w:sz="4" w:space="0" w:color="auto"/>
            </w:tcBorders>
            <w:shd w:val="clear" w:color="000000" w:fill="FFF2CC"/>
            <w:noWrap/>
            <w:vAlign w:val="bottom"/>
            <w:hideMark/>
          </w:tcPr>
          <w:p w14:paraId="6954A79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w:t>
            </w:r>
          </w:p>
        </w:tc>
        <w:tc>
          <w:tcPr>
            <w:tcW w:w="252" w:type="pct"/>
            <w:tcBorders>
              <w:top w:val="nil"/>
              <w:left w:val="nil"/>
              <w:bottom w:val="dotted" w:sz="4" w:space="0" w:color="auto"/>
              <w:right w:val="dotted" w:sz="4" w:space="0" w:color="auto"/>
            </w:tcBorders>
            <w:shd w:val="clear" w:color="000000" w:fill="FFF2CC"/>
            <w:noWrap/>
            <w:vAlign w:val="bottom"/>
            <w:hideMark/>
          </w:tcPr>
          <w:p w14:paraId="6FAEDF5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w:t>
            </w:r>
          </w:p>
        </w:tc>
        <w:tc>
          <w:tcPr>
            <w:tcW w:w="252" w:type="pct"/>
            <w:tcBorders>
              <w:top w:val="nil"/>
              <w:left w:val="nil"/>
              <w:bottom w:val="dotted" w:sz="4" w:space="0" w:color="auto"/>
              <w:right w:val="dotted" w:sz="4" w:space="0" w:color="auto"/>
            </w:tcBorders>
            <w:shd w:val="clear" w:color="000000" w:fill="FFF2CC"/>
            <w:noWrap/>
            <w:vAlign w:val="bottom"/>
            <w:hideMark/>
          </w:tcPr>
          <w:p w14:paraId="22BBEED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124</w:t>
            </w:r>
          </w:p>
        </w:tc>
        <w:tc>
          <w:tcPr>
            <w:tcW w:w="252" w:type="pct"/>
            <w:tcBorders>
              <w:top w:val="nil"/>
              <w:left w:val="nil"/>
              <w:bottom w:val="dotted" w:sz="4" w:space="0" w:color="auto"/>
              <w:right w:val="dotted" w:sz="4" w:space="0" w:color="auto"/>
            </w:tcBorders>
            <w:shd w:val="clear" w:color="000000" w:fill="FFF2CC"/>
            <w:noWrap/>
            <w:vAlign w:val="bottom"/>
            <w:hideMark/>
          </w:tcPr>
          <w:p w14:paraId="1EC78CB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47</w:t>
            </w:r>
          </w:p>
        </w:tc>
        <w:tc>
          <w:tcPr>
            <w:tcW w:w="252" w:type="pct"/>
            <w:tcBorders>
              <w:top w:val="nil"/>
              <w:left w:val="nil"/>
              <w:bottom w:val="dotted" w:sz="4" w:space="0" w:color="auto"/>
              <w:right w:val="dotted" w:sz="4" w:space="0" w:color="auto"/>
            </w:tcBorders>
            <w:shd w:val="clear" w:color="000000" w:fill="FFF2CC"/>
            <w:noWrap/>
            <w:vAlign w:val="bottom"/>
            <w:hideMark/>
          </w:tcPr>
          <w:p w14:paraId="686D5E8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w:t>
            </w:r>
          </w:p>
        </w:tc>
        <w:tc>
          <w:tcPr>
            <w:tcW w:w="252" w:type="pct"/>
            <w:tcBorders>
              <w:top w:val="nil"/>
              <w:left w:val="nil"/>
              <w:bottom w:val="dotted" w:sz="4" w:space="0" w:color="auto"/>
              <w:right w:val="dotted" w:sz="4" w:space="0" w:color="auto"/>
            </w:tcBorders>
            <w:shd w:val="clear" w:color="000000" w:fill="FFF2CC"/>
            <w:noWrap/>
            <w:vAlign w:val="bottom"/>
            <w:hideMark/>
          </w:tcPr>
          <w:p w14:paraId="46D0676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124</w:t>
            </w:r>
          </w:p>
        </w:tc>
        <w:tc>
          <w:tcPr>
            <w:tcW w:w="252" w:type="pct"/>
            <w:tcBorders>
              <w:top w:val="nil"/>
              <w:left w:val="nil"/>
              <w:bottom w:val="dotted" w:sz="4" w:space="0" w:color="auto"/>
              <w:right w:val="dotted" w:sz="4" w:space="0" w:color="auto"/>
            </w:tcBorders>
            <w:shd w:val="clear" w:color="000000" w:fill="FFF2CC"/>
            <w:noWrap/>
            <w:vAlign w:val="bottom"/>
            <w:hideMark/>
          </w:tcPr>
          <w:p w14:paraId="441B34F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58</w:t>
            </w:r>
          </w:p>
        </w:tc>
        <w:tc>
          <w:tcPr>
            <w:tcW w:w="252" w:type="pct"/>
            <w:tcBorders>
              <w:top w:val="nil"/>
              <w:left w:val="nil"/>
              <w:bottom w:val="dotted" w:sz="4" w:space="0" w:color="auto"/>
              <w:right w:val="dotted" w:sz="4" w:space="0" w:color="auto"/>
            </w:tcBorders>
            <w:shd w:val="clear" w:color="000000" w:fill="FFF2CC"/>
            <w:noWrap/>
            <w:vAlign w:val="bottom"/>
            <w:hideMark/>
          </w:tcPr>
          <w:p w14:paraId="62CB555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57</w:t>
            </w:r>
          </w:p>
        </w:tc>
        <w:tc>
          <w:tcPr>
            <w:tcW w:w="252" w:type="pct"/>
            <w:tcBorders>
              <w:top w:val="nil"/>
              <w:left w:val="nil"/>
              <w:bottom w:val="dotted" w:sz="4" w:space="0" w:color="auto"/>
              <w:right w:val="dotted" w:sz="4" w:space="0" w:color="auto"/>
            </w:tcBorders>
            <w:shd w:val="clear" w:color="000000" w:fill="FFF2CC"/>
            <w:noWrap/>
            <w:vAlign w:val="bottom"/>
            <w:hideMark/>
          </w:tcPr>
          <w:p w14:paraId="2D970A7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44</w:t>
            </w:r>
          </w:p>
        </w:tc>
        <w:tc>
          <w:tcPr>
            <w:tcW w:w="252" w:type="pct"/>
            <w:tcBorders>
              <w:top w:val="nil"/>
              <w:left w:val="nil"/>
              <w:bottom w:val="dotted" w:sz="4" w:space="0" w:color="auto"/>
              <w:right w:val="dotted" w:sz="4" w:space="0" w:color="auto"/>
            </w:tcBorders>
            <w:shd w:val="clear" w:color="000000" w:fill="FFF2CC"/>
            <w:noWrap/>
            <w:vAlign w:val="bottom"/>
            <w:hideMark/>
          </w:tcPr>
          <w:p w14:paraId="1679086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104</w:t>
            </w:r>
          </w:p>
        </w:tc>
        <w:tc>
          <w:tcPr>
            <w:tcW w:w="252" w:type="pct"/>
            <w:tcBorders>
              <w:top w:val="nil"/>
              <w:left w:val="nil"/>
              <w:bottom w:val="dotted" w:sz="4" w:space="0" w:color="auto"/>
              <w:right w:val="dotted" w:sz="4" w:space="0" w:color="auto"/>
            </w:tcBorders>
            <w:shd w:val="clear" w:color="000000" w:fill="FFF2CC"/>
            <w:noWrap/>
            <w:vAlign w:val="bottom"/>
            <w:hideMark/>
          </w:tcPr>
          <w:p w14:paraId="3C43AEA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33</w:t>
            </w:r>
          </w:p>
        </w:tc>
        <w:tc>
          <w:tcPr>
            <w:tcW w:w="252" w:type="pct"/>
            <w:tcBorders>
              <w:top w:val="nil"/>
              <w:left w:val="nil"/>
              <w:bottom w:val="dotted" w:sz="4" w:space="0" w:color="auto"/>
              <w:right w:val="dotted" w:sz="4" w:space="0" w:color="auto"/>
            </w:tcBorders>
            <w:shd w:val="clear" w:color="000000" w:fill="FFF2CC"/>
            <w:noWrap/>
            <w:vAlign w:val="bottom"/>
            <w:hideMark/>
          </w:tcPr>
          <w:p w14:paraId="0B90441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25</w:t>
            </w:r>
          </w:p>
        </w:tc>
        <w:tc>
          <w:tcPr>
            <w:tcW w:w="422" w:type="pct"/>
            <w:tcBorders>
              <w:top w:val="nil"/>
              <w:left w:val="nil"/>
              <w:bottom w:val="dotted" w:sz="4" w:space="0" w:color="auto"/>
              <w:right w:val="single" w:sz="8" w:space="0" w:color="auto"/>
            </w:tcBorders>
            <w:shd w:val="clear" w:color="000000" w:fill="FFF2CC"/>
            <w:noWrap/>
            <w:vAlign w:val="bottom"/>
            <w:hideMark/>
          </w:tcPr>
          <w:p w14:paraId="388FFC4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55</w:t>
            </w:r>
          </w:p>
        </w:tc>
      </w:tr>
      <w:tr w:rsidR="00CF7396" w:rsidRPr="00CF7396" w14:paraId="30CFAB1C" w14:textId="77777777" w:rsidTr="00AF369B">
        <w:trPr>
          <w:trHeight w:val="290"/>
        </w:trPr>
        <w:tc>
          <w:tcPr>
            <w:tcW w:w="561" w:type="pct"/>
            <w:vMerge/>
            <w:tcBorders>
              <w:top w:val="nil"/>
              <w:left w:val="single" w:sz="8" w:space="0" w:color="auto"/>
              <w:bottom w:val="dotted" w:sz="4" w:space="0" w:color="auto"/>
              <w:right w:val="dotted" w:sz="4" w:space="0" w:color="auto"/>
            </w:tcBorders>
            <w:vAlign w:val="center"/>
            <w:hideMark/>
          </w:tcPr>
          <w:p w14:paraId="1BF7B76C"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09447D2F"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FFF2CC"/>
            <w:noWrap/>
            <w:vAlign w:val="bottom"/>
            <w:hideMark/>
          </w:tcPr>
          <w:p w14:paraId="23832A7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Circulante</w:t>
            </w:r>
          </w:p>
        </w:tc>
        <w:tc>
          <w:tcPr>
            <w:tcW w:w="252" w:type="pct"/>
            <w:tcBorders>
              <w:top w:val="nil"/>
              <w:left w:val="nil"/>
              <w:bottom w:val="dotted" w:sz="4" w:space="0" w:color="auto"/>
              <w:right w:val="dotted" w:sz="4" w:space="0" w:color="auto"/>
            </w:tcBorders>
            <w:shd w:val="clear" w:color="000000" w:fill="FFF2CC"/>
            <w:noWrap/>
            <w:vAlign w:val="bottom"/>
            <w:hideMark/>
          </w:tcPr>
          <w:p w14:paraId="7A0138D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543</w:t>
            </w:r>
          </w:p>
        </w:tc>
        <w:tc>
          <w:tcPr>
            <w:tcW w:w="252" w:type="pct"/>
            <w:tcBorders>
              <w:top w:val="nil"/>
              <w:left w:val="nil"/>
              <w:bottom w:val="dotted" w:sz="4" w:space="0" w:color="auto"/>
              <w:right w:val="dotted" w:sz="4" w:space="0" w:color="auto"/>
            </w:tcBorders>
            <w:shd w:val="clear" w:color="000000" w:fill="FFF2CC"/>
            <w:noWrap/>
            <w:vAlign w:val="bottom"/>
            <w:hideMark/>
          </w:tcPr>
          <w:p w14:paraId="1BEED55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588</w:t>
            </w:r>
          </w:p>
        </w:tc>
        <w:tc>
          <w:tcPr>
            <w:tcW w:w="252" w:type="pct"/>
            <w:tcBorders>
              <w:top w:val="nil"/>
              <w:left w:val="nil"/>
              <w:bottom w:val="dotted" w:sz="4" w:space="0" w:color="auto"/>
              <w:right w:val="dotted" w:sz="4" w:space="0" w:color="auto"/>
            </w:tcBorders>
            <w:shd w:val="clear" w:color="000000" w:fill="FFF2CC"/>
            <w:noWrap/>
            <w:vAlign w:val="bottom"/>
            <w:hideMark/>
          </w:tcPr>
          <w:p w14:paraId="347A614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529</w:t>
            </w:r>
          </w:p>
        </w:tc>
        <w:tc>
          <w:tcPr>
            <w:tcW w:w="252" w:type="pct"/>
            <w:tcBorders>
              <w:top w:val="nil"/>
              <w:left w:val="nil"/>
              <w:bottom w:val="dotted" w:sz="4" w:space="0" w:color="auto"/>
              <w:right w:val="dotted" w:sz="4" w:space="0" w:color="auto"/>
            </w:tcBorders>
            <w:shd w:val="clear" w:color="000000" w:fill="FFF2CC"/>
            <w:noWrap/>
            <w:vAlign w:val="bottom"/>
            <w:hideMark/>
          </w:tcPr>
          <w:p w14:paraId="55F2233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523</w:t>
            </w:r>
          </w:p>
        </w:tc>
        <w:tc>
          <w:tcPr>
            <w:tcW w:w="252" w:type="pct"/>
            <w:tcBorders>
              <w:top w:val="nil"/>
              <w:left w:val="nil"/>
              <w:bottom w:val="dotted" w:sz="4" w:space="0" w:color="auto"/>
              <w:right w:val="dotted" w:sz="4" w:space="0" w:color="auto"/>
            </w:tcBorders>
            <w:shd w:val="clear" w:color="000000" w:fill="FFF2CC"/>
            <w:noWrap/>
            <w:vAlign w:val="bottom"/>
            <w:hideMark/>
          </w:tcPr>
          <w:p w14:paraId="453D4FE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547</w:t>
            </w:r>
          </w:p>
        </w:tc>
        <w:tc>
          <w:tcPr>
            <w:tcW w:w="252" w:type="pct"/>
            <w:tcBorders>
              <w:top w:val="nil"/>
              <w:left w:val="nil"/>
              <w:bottom w:val="dotted" w:sz="4" w:space="0" w:color="auto"/>
              <w:right w:val="dotted" w:sz="4" w:space="0" w:color="auto"/>
            </w:tcBorders>
            <w:shd w:val="clear" w:color="000000" w:fill="FFF2CC"/>
            <w:noWrap/>
            <w:vAlign w:val="bottom"/>
            <w:hideMark/>
          </w:tcPr>
          <w:p w14:paraId="5C2EBB0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477</w:t>
            </w:r>
          </w:p>
        </w:tc>
        <w:tc>
          <w:tcPr>
            <w:tcW w:w="252" w:type="pct"/>
            <w:tcBorders>
              <w:top w:val="nil"/>
              <w:left w:val="nil"/>
              <w:bottom w:val="dotted" w:sz="4" w:space="0" w:color="auto"/>
              <w:right w:val="dotted" w:sz="4" w:space="0" w:color="auto"/>
            </w:tcBorders>
            <w:shd w:val="clear" w:color="000000" w:fill="FFF2CC"/>
            <w:noWrap/>
            <w:vAlign w:val="bottom"/>
            <w:hideMark/>
          </w:tcPr>
          <w:p w14:paraId="07CA46F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466</w:t>
            </w:r>
          </w:p>
        </w:tc>
        <w:tc>
          <w:tcPr>
            <w:tcW w:w="252" w:type="pct"/>
            <w:tcBorders>
              <w:top w:val="nil"/>
              <w:left w:val="nil"/>
              <w:bottom w:val="dotted" w:sz="4" w:space="0" w:color="auto"/>
              <w:right w:val="dotted" w:sz="4" w:space="0" w:color="auto"/>
            </w:tcBorders>
            <w:shd w:val="clear" w:color="000000" w:fill="FFF2CC"/>
            <w:noWrap/>
            <w:vAlign w:val="bottom"/>
            <w:hideMark/>
          </w:tcPr>
          <w:p w14:paraId="76119E3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459</w:t>
            </w:r>
          </w:p>
        </w:tc>
        <w:tc>
          <w:tcPr>
            <w:tcW w:w="252" w:type="pct"/>
            <w:tcBorders>
              <w:top w:val="nil"/>
              <w:left w:val="nil"/>
              <w:bottom w:val="dotted" w:sz="4" w:space="0" w:color="auto"/>
              <w:right w:val="dotted" w:sz="4" w:space="0" w:color="auto"/>
            </w:tcBorders>
            <w:shd w:val="clear" w:color="000000" w:fill="FFF2CC"/>
            <w:noWrap/>
            <w:vAlign w:val="bottom"/>
            <w:hideMark/>
          </w:tcPr>
          <w:p w14:paraId="1CEF831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457</w:t>
            </w:r>
          </w:p>
        </w:tc>
        <w:tc>
          <w:tcPr>
            <w:tcW w:w="252" w:type="pct"/>
            <w:tcBorders>
              <w:top w:val="nil"/>
              <w:left w:val="nil"/>
              <w:bottom w:val="dotted" w:sz="4" w:space="0" w:color="auto"/>
              <w:right w:val="dotted" w:sz="4" w:space="0" w:color="auto"/>
            </w:tcBorders>
            <w:shd w:val="clear" w:color="000000" w:fill="FFF2CC"/>
            <w:noWrap/>
            <w:vAlign w:val="bottom"/>
            <w:hideMark/>
          </w:tcPr>
          <w:p w14:paraId="2B83E9F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408</w:t>
            </w:r>
          </w:p>
        </w:tc>
        <w:tc>
          <w:tcPr>
            <w:tcW w:w="252" w:type="pct"/>
            <w:tcBorders>
              <w:top w:val="nil"/>
              <w:left w:val="nil"/>
              <w:bottom w:val="dotted" w:sz="4" w:space="0" w:color="auto"/>
              <w:right w:val="dotted" w:sz="4" w:space="0" w:color="auto"/>
            </w:tcBorders>
            <w:shd w:val="clear" w:color="000000" w:fill="FFF2CC"/>
            <w:noWrap/>
            <w:vAlign w:val="bottom"/>
            <w:hideMark/>
          </w:tcPr>
          <w:p w14:paraId="7EB434F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424</w:t>
            </w:r>
          </w:p>
        </w:tc>
        <w:tc>
          <w:tcPr>
            <w:tcW w:w="252" w:type="pct"/>
            <w:tcBorders>
              <w:top w:val="nil"/>
              <w:left w:val="nil"/>
              <w:bottom w:val="dotted" w:sz="4" w:space="0" w:color="auto"/>
              <w:right w:val="dotted" w:sz="4" w:space="0" w:color="auto"/>
            </w:tcBorders>
            <w:shd w:val="clear" w:color="000000" w:fill="FFF2CC"/>
            <w:noWrap/>
            <w:vAlign w:val="bottom"/>
            <w:hideMark/>
          </w:tcPr>
          <w:p w14:paraId="626118C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448</w:t>
            </w:r>
          </w:p>
        </w:tc>
        <w:tc>
          <w:tcPr>
            <w:tcW w:w="422" w:type="pct"/>
            <w:tcBorders>
              <w:top w:val="nil"/>
              <w:left w:val="nil"/>
              <w:bottom w:val="dotted" w:sz="4" w:space="0" w:color="auto"/>
              <w:right w:val="single" w:sz="8" w:space="0" w:color="auto"/>
            </w:tcBorders>
            <w:shd w:val="clear" w:color="000000" w:fill="808080"/>
            <w:noWrap/>
            <w:vAlign w:val="bottom"/>
            <w:hideMark/>
          </w:tcPr>
          <w:p w14:paraId="4200B94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w:t>
            </w:r>
          </w:p>
        </w:tc>
      </w:tr>
      <w:tr w:rsidR="00CF7396" w:rsidRPr="00CF7396" w14:paraId="7FB9AF0F" w14:textId="77777777" w:rsidTr="00AF369B">
        <w:trPr>
          <w:trHeight w:val="290"/>
        </w:trPr>
        <w:tc>
          <w:tcPr>
            <w:tcW w:w="561" w:type="pct"/>
            <w:vMerge w:val="restart"/>
            <w:tcBorders>
              <w:top w:val="nil"/>
              <w:left w:val="single" w:sz="8" w:space="0" w:color="auto"/>
              <w:bottom w:val="single" w:sz="8" w:space="0" w:color="000000"/>
              <w:right w:val="dotted" w:sz="4" w:space="0" w:color="auto"/>
            </w:tcBorders>
            <w:shd w:val="clear" w:color="000000" w:fill="F2F2F2"/>
            <w:vAlign w:val="center"/>
            <w:hideMark/>
          </w:tcPr>
          <w:p w14:paraId="29E4295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Tribunal de Apelación Civil y de Trabajo del ICJ Zona Atlántica</w:t>
            </w:r>
          </w:p>
        </w:tc>
        <w:tc>
          <w:tcPr>
            <w:tcW w:w="561" w:type="pct"/>
            <w:vMerge w:val="restart"/>
            <w:tcBorders>
              <w:top w:val="nil"/>
              <w:left w:val="dotted" w:sz="4" w:space="0" w:color="auto"/>
              <w:bottom w:val="dotted" w:sz="4" w:space="0" w:color="auto"/>
              <w:right w:val="dotted" w:sz="4" w:space="0" w:color="auto"/>
            </w:tcBorders>
            <w:shd w:val="clear" w:color="000000" w:fill="F2F2F2"/>
            <w:vAlign w:val="center"/>
            <w:hideMark/>
          </w:tcPr>
          <w:p w14:paraId="3113A69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Civil</w:t>
            </w:r>
          </w:p>
        </w:tc>
        <w:tc>
          <w:tcPr>
            <w:tcW w:w="432" w:type="pct"/>
            <w:tcBorders>
              <w:top w:val="nil"/>
              <w:left w:val="nil"/>
              <w:bottom w:val="dotted" w:sz="4" w:space="0" w:color="auto"/>
              <w:right w:val="dotted" w:sz="4" w:space="0" w:color="auto"/>
            </w:tcBorders>
            <w:shd w:val="clear" w:color="000000" w:fill="F2F2F2"/>
            <w:noWrap/>
            <w:vAlign w:val="bottom"/>
            <w:hideMark/>
          </w:tcPr>
          <w:p w14:paraId="59EB6FA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Entrada</w:t>
            </w:r>
          </w:p>
        </w:tc>
        <w:tc>
          <w:tcPr>
            <w:tcW w:w="252" w:type="pct"/>
            <w:tcBorders>
              <w:top w:val="nil"/>
              <w:left w:val="nil"/>
              <w:bottom w:val="dotted" w:sz="4" w:space="0" w:color="auto"/>
              <w:right w:val="dotted" w:sz="4" w:space="0" w:color="auto"/>
            </w:tcBorders>
            <w:shd w:val="clear" w:color="000000" w:fill="F2F2F2"/>
            <w:noWrap/>
            <w:vAlign w:val="bottom"/>
            <w:hideMark/>
          </w:tcPr>
          <w:p w14:paraId="3826863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44</w:t>
            </w:r>
          </w:p>
        </w:tc>
        <w:tc>
          <w:tcPr>
            <w:tcW w:w="252" w:type="pct"/>
            <w:tcBorders>
              <w:top w:val="nil"/>
              <w:left w:val="nil"/>
              <w:bottom w:val="dotted" w:sz="4" w:space="0" w:color="auto"/>
              <w:right w:val="dotted" w:sz="4" w:space="0" w:color="auto"/>
            </w:tcBorders>
            <w:shd w:val="clear" w:color="000000" w:fill="F2F2F2"/>
            <w:noWrap/>
            <w:vAlign w:val="bottom"/>
            <w:hideMark/>
          </w:tcPr>
          <w:p w14:paraId="38F71F0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42</w:t>
            </w:r>
          </w:p>
        </w:tc>
        <w:tc>
          <w:tcPr>
            <w:tcW w:w="252" w:type="pct"/>
            <w:tcBorders>
              <w:top w:val="nil"/>
              <w:left w:val="nil"/>
              <w:bottom w:val="dotted" w:sz="4" w:space="0" w:color="auto"/>
              <w:right w:val="dotted" w:sz="4" w:space="0" w:color="auto"/>
            </w:tcBorders>
            <w:shd w:val="clear" w:color="000000" w:fill="F2F2F2"/>
            <w:noWrap/>
            <w:vAlign w:val="bottom"/>
            <w:hideMark/>
          </w:tcPr>
          <w:p w14:paraId="7B6E3AD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50</w:t>
            </w:r>
          </w:p>
        </w:tc>
        <w:tc>
          <w:tcPr>
            <w:tcW w:w="252" w:type="pct"/>
            <w:tcBorders>
              <w:top w:val="nil"/>
              <w:left w:val="nil"/>
              <w:bottom w:val="dotted" w:sz="4" w:space="0" w:color="auto"/>
              <w:right w:val="dotted" w:sz="4" w:space="0" w:color="auto"/>
            </w:tcBorders>
            <w:shd w:val="clear" w:color="000000" w:fill="F2F2F2"/>
            <w:noWrap/>
            <w:vAlign w:val="bottom"/>
            <w:hideMark/>
          </w:tcPr>
          <w:p w14:paraId="4ED4282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39</w:t>
            </w:r>
          </w:p>
        </w:tc>
        <w:tc>
          <w:tcPr>
            <w:tcW w:w="252" w:type="pct"/>
            <w:tcBorders>
              <w:top w:val="nil"/>
              <w:left w:val="nil"/>
              <w:bottom w:val="dotted" w:sz="4" w:space="0" w:color="auto"/>
              <w:right w:val="dotted" w:sz="4" w:space="0" w:color="auto"/>
            </w:tcBorders>
            <w:shd w:val="clear" w:color="000000" w:fill="F2F2F2"/>
            <w:noWrap/>
            <w:vAlign w:val="bottom"/>
            <w:hideMark/>
          </w:tcPr>
          <w:p w14:paraId="3C14C56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24</w:t>
            </w:r>
          </w:p>
        </w:tc>
        <w:tc>
          <w:tcPr>
            <w:tcW w:w="252" w:type="pct"/>
            <w:tcBorders>
              <w:top w:val="nil"/>
              <w:left w:val="nil"/>
              <w:bottom w:val="dotted" w:sz="4" w:space="0" w:color="auto"/>
              <w:right w:val="dotted" w:sz="4" w:space="0" w:color="auto"/>
            </w:tcBorders>
            <w:shd w:val="clear" w:color="000000" w:fill="F2F2F2"/>
            <w:noWrap/>
            <w:vAlign w:val="bottom"/>
            <w:hideMark/>
          </w:tcPr>
          <w:p w14:paraId="03E679A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w:t>
            </w:r>
          </w:p>
        </w:tc>
        <w:tc>
          <w:tcPr>
            <w:tcW w:w="252" w:type="pct"/>
            <w:tcBorders>
              <w:top w:val="nil"/>
              <w:left w:val="nil"/>
              <w:bottom w:val="dotted" w:sz="4" w:space="0" w:color="auto"/>
              <w:right w:val="dotted" w:sz="4" w:space="0" w:color="auto"/>
            </w:tcBorders>
            <w:shd w:val="clear" w:color="000000" w:fill="F2F2F2"/>
            <w:noWrap/>
            <w:vAlign w:val="bottom"/>
            <w:hideMark/>
          </w:tcPr>
          <w:p w14:paraId="3BD4F49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w:t>
            </w:r>
          </w:p>
        </w:tc>
        <w:tc>
          <w:tcPr>
            <w:tcW w:w="252" w:type="pct"/>
            <w:tcBorders>
              <w:top w:val="nil"/>
              <w:left w:val="nil"/>
              <w:bottom w:val="dotted" w:sz="4" w:space="0" w:color="auto"/>
              <w:right w:val="dotted" w:sz="4" w:space="0" w:color="auto"/>
            </w:tcBorders>
            <w:shd w:val="clear" w:color="000000" w:fill="F2F2F2"/>
            <w:noWrap/>
            <w:vAlign w:val="bottom"/>
            <w:hideMark/>
          </w:tcPr>
          <w:p w14:paraId="73B7722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29</w:t>
            </w:r>
          </w:p>
        </w:tc>
        <w:tc>
          <w:tcPr>
            <w:tcW w:w="252" w:type="pct"/>
            <w:tcBorders>
              <w:top w:val="nil"/>
              <w:left w:val="nil"/>
              <w:bottom w:val="dotted" w:sz="4" w:space="0" w:color="auto"/>
              <w:right w:val="dotted" w:sz="4" w:space="0" w:color="auto"/>
            </w:tcBorders>
            <w:shd w:val="clear" w:color="000000" w:fill="F2F2F2"/>
            <w:noWrap/>
            <w:vAlign w:val="bottom"/>
            <w:hideMark/>
          </w:tcPr>
          <w:p w14:paraId="5FA26E2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29</w:t>
            </w:r>
          </w:p>
        </w:tc>
        <w:tc>
          <w:tcPr>
            <w:tcW w:w="252" w:type="pct"/>
            <w:tcBorders>
              <w:top w:val="nil"/>
              <w:left w:val="nil"/>
              <w:bottom w:val="dotted" w:sz="4" w:space="0" w:color="auto"/>
              <w:right w:val="dotted" w:sz="4" w:space="0" w:color="auto"/>
            </w:tcBorders>
            <w:shd w:val="clear" w:color="000000" w:fill="F2F2F2"/>
            <w:noWrap/>
            <w:vAlign w:val="bottom"/>
            <w:hideMark/>
          </w:tcPr>
          <w:p w14:paraId="7569768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w:t>
            </w:r>
          </w:p>
        </w:tc>
        <w:tc>
          <w:tcPr>
            <w:tcW w:w="252" w:type="pct"/>
            <w:tcBorders>
              <w:top w:val="nil"/>
              <w:left w:val="nil"/>
              <w:bottom w:val="dotted" w:sz="4" w:space="0" w:color="auto"/>
              <w:right w:val="dotted" w:sz="4" w:space="0" w:color="auto"/>
            </w:tcBorders>
            <w:shd w:val="clear" w:color="000000" w:fill="F2F2F2"/>
            <w:noWrap/>
            <w:vAlign w:val="bottom"/>
            <w:hideMark/>
          </w:tcPr>
          <w:p w14:paraId="69F441F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41</w:t>
            </w:r>
          </w:p>
        </w:tc>
        <w:tc>
          <w:tcPr>
            <w:tcW w:w="252" w:type="pct"/>
            <w:tcBorders>
              <w:top w:val="nil"/>
              <w:left w:val="nil"/>
              <w:bottom w:val="dotted" w:sz="4" w:space="0" w:color="auto"/>
              <w:right w:val="dotted" w:sz="4" w:space="0" w:color="auto"/>
            </w:tcBorders>
            <w:shd w:val="clear" w:color="000000" w:fill="F2F2F2"/>
            <w:noWrap/>
            <w:vAlign w:val="bottom"/>
            <w:hideMark/>
          </w:tcPr>
          <w:p w14:paraId="5A93EB4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w:t>
            </w:r>
          </w:p>
        </w:tc>
        <w:tc>
          <w:tcPr>
            <w:tcW w:w="422" w:type="pct"/>
            <w:tcBorders>
              <w:top w:val="nil"/>
              <w:left w:val="nil"/>
              <w:bottom w:val="dotted" w:sz="4" w:space="0" w:color="auto"/>
              <w:right w:val="single" w:sz="8" w:space="0" w:color="auto"/>
            </w:tcBorders>
            <w:shd w:val="clear" w:color="000000" w:fill="F2F2F2"/>
            <w:noWrap/>
            <w:vAlign w:val="bottom"/>
            <w:hideMark/>
          </w:tcPr>
          <w:p w14:paraId="77B5423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35</w:t>
            </w:r>
          </w:p>
        </w:tc>
      </w:tr>
      <w:tr w:rsidR="00CF7396" w:rsidRPr="00CF7396" w14:paraId="0F023FB1" w14:textId="77777777" w:rsidTr="00AF369B">
        <w:trPr>
          <w:trHeight w:val="290"/>
        </w:trPr>
        <w:tc>
          <w:tcPr>
            <w:tcW w:w="561" w:type="pct"/>
            <w:vMerge/>
            <w:tcBorders>
              <w:top w:val="nil"/>
              <w:left w:val="single" w:sz="8" w:space="0" w:color="auto"/>
              <w:bottom w:val="single" w:sz="8" w:space="0" w:color="000000"/>
              <w:right w:val="dotted" w:sz="4" w:space="0" w:color="auto"/>
            </w:tcBorders>
            <w:vAlign w:val="center"/>
            <w:hideMark/>
          </w:tcPr>
          <w:p w14:paraId="117DE17E"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254048CF"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F2F2F2"/>
            <w:noWrap/>
            <w:vAlign w:val="bottom"/>
            <w:hideMark/>
          </w:tcPr>
          <w:p w14:paraId="2E36033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Terminados </w:t>
            </w:r>
          </w:p>
        </w:tc>
        <w:tc>
          <w:tcPr>
            <w:tcW w:w="252" w:type="pct"/>
            <w:tcBorders>
              <w:top w:val="nil"/>
              <w:left w:val="nil"/>
              <w:bottom w:val="dotted" w:sz="4" w:space="0" w:color="auto"/>
              <w:right w:val="dotted" w:sz="4" w:space="0" w:color="auto"/>
            </w:tcBorders>
            <w:shd w:val="clear" w:color="000000" w:fill="F2F2F2"/>
            <w:noWrap/>
            <w:vAlign w:val="bottom"/>
            <w:hideMark/>
          </w:tcPr>
          <w:p w14:paraId="692642E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44</w:t>
            </w:r>
          </w:p>
        </w:tc>
        <w:tc>
          <w:tcPr>
            <w:tcW w:w="252" w:type="pct"/>
            <w:tcBorders>
              <w:top w:val="nil"/>
              <w:left w:val="nil"/>
              <w:bottom w:val="dotted" w:sz="4" w:space="0" w:color="auto"/>
              <w:right w:val="dotted" w:sz="4" w:space="0" w:color="auto"/>
            </w:tcBorders>
            <w:shd w:val="clear" w:color="000000" w:fill="F2F2F2"/>
            <w:noWrap/>
            <w:vAlign w:val="bottom"/>
            <w:hideMark/>
          </w:tcPr>
          <w:p w14:paraId="7BE15D4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42</w:t>
            </w:r>
          </w:p>
        </w:tc>
        <w:tc>
          <w:tcPr>
            <w:tcW w:w="252" w:type="pct"/>
            <w:tcBorders>
              <w:top w:val="nil"/>
              <w:left w:val="nil"/>
              <w:bottom w:val="dotted" w:sz="4" w:space="0" w:color="auto"/>
              <w:right w:val="dotted" w:sz="4" w:space="0" w:color="auto"/>
            </w:tcBorders>
            <w:shd w:val="clear" w:color="000000" w:fill="F2F2F2"/>
            <w:noWrap/>
            <w:vAlign w:val="bottom"/>
            <w:hideMark/>
          </w:tcPr>
          <w:p w14:paraId="0FC5347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50</w:t>
            </w:r>
          </w:p>
        </w:tc>
        <w:tc>
          <w:tcPr>
            <w:tcW w:w="252" w:type="pct"/>
            <w:tcBorders>
              <w:top w:val="nil"/>
              <w:left w:val="nil"/>
              <w:bottom w:val="dotted" w:sz="4" w:space="0" w:color="auto"/>
              <w:right w:val="dotted" w:sz="4" w:space="0" w:color="auto"/>
            </w:tcBorders>
            <w:shd w:val="clear" w:color="000000" w:fill="F2F2F2"/>
            <w:noWrap/>
            <w:vAlign w:val="bottom"/>
            <w:hideMark/>
          </w:tcPr>
          <w:p w14:paraId="1B7A2C1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39</w:t>
            </w:r>
          </w:p>
        </w:tc>
        <w:tc>
          <w:tcPr>
            <w:tcW w:w="252" w:type="pct"/>
            <w:tcBorders>
              <w:top w:val="nil"/>
              <w:left w:val="nil"/>
              <w:bottom w:val="dotted" w:sz="4" w:space="0" w:color="auto"/>
              <w:right w:val="dotted" w:sz="4" w:space="0" w:color="auto"/>
            </w:tcBorders>
            <w:shd w:val="clear" w:color="000000" w:fill="F2F2F2"/>
            <w:noWrap/>
            <w:vAlign w:val="bottom"/>
            <w:hideMark/>
          </w:tcPr>
          <w:p w14:paraId="38FB5CE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24</w:t>
            </w:r>
          </w:p>
        </w:tc>
        <w:tc>
          <w:tcPr>
            <w:tcW w:w="252" w:type="pct"/>
            <w:tcBorders>
              <w:top w:val="nil"/>
              <w:left w:val="nil"/>
              <w:bottom w:val="dotted" w:sz="4" w:space="0" w:color="auto"/>
              <w:right w:val="dotted" w:sz="4" w:space="0" w:color="auto"/>
            </w:tcBorders>
            <w:shd w:val="clear" w:color="000000" w:fill="F2F2F2"/>
            <w:noWrap/>
            <w:vAlign w:val="bottom"/>
            <w:hideMark/>
          </w:tcPr>
          <w:p w14:paraId="1E27FA3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w:t>
            </w:r>
          </w:p>
        </w:tc>
        <w:tc>
          <w:tcPr>
            <w:tcW w:w="252" w:type="pct"/>
            <w:tcBorders>
              <w:top w:val="nil"/>
              <w:left w:val="nil"/>
              <w:bottom w:val="dotted" w:sz="4" w:space="0" w:color="auto"/>
              <w:right w:val="dotted" w:sz="4" w:space="0" w:color="auto"/>
            </w:tcBorders>
            <w:shd w:val="clear" w:color="000000" w:fill="F2F2F2"/>
            <w:noWrap/>
            <w:vAlign w:val="bottom"/>
            <w:hideMark/>
          </w:tcPr>
          <w:p w14:paraId="7EB7B45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w:t>
            </w:r>
          </w:p>
        </w:tc>
        <w:tc>
          <w:tcPr>
            <w:tcW w:w="252" w:type="pct"/>
            <w:tcBorders>
              <w:top w:val="nil"/>
              <w:left w:val="nil"/>
              <w:bottom w:val="dotted" w:sz="4" w:space="0" w:color="auto"/>
              <w:right w:val="dotted" w:sz="4" w:space="0" w:color="auto"/>
            </w:tcBorders>
            <w:shd w:val="clear" w:color="000000" w:fill="F2F2F2"/>
            <w:noWrap/>
            <w:vAlign w:val="bottom"/>
            <w:hideMark/>
          </w:tcPr>
          <w:p w14:paraId="688EB16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29</w:t>
            </w:r>
          </w:p>
        </w:tc>
        <w:tc>
          <w:tcPr>
            <w:tcW w:w="252" w:type="pct"/>
            <w:tcBorders>
              <w:top w:val="nil"/>
              <w:left w:val="nil"/>
              <w:bottom w:val="dotted" w:sz="4" w:space="0" w:color="auto"/>
              <w:right w:val="dotted" w:sz="4" w:space="0" w:color="auto"/>
            </w:tcBorders>
            <w:shd w:val="clear" w:color="000000" w:fill="F2F2F2"/>
            <w:noWrap/>
            <w:vAlign w:val="bottom"/>
            <w:hideMark/>
          </w:tcPr>
          <w:p w14:paraId="45383B4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29</w:t>
            </w:r>
          </w:p>
        </w:tc>
        <w:tc>
          <w:tcPr>
            <w:tcW w:w="252" w:type="pct"/>
            <w:tcBorders>
              <w:top w:val="nil"/>
              <w:left w:val="nil"/>
              <w:bottom w:val="dotted" w:sz="4" w:space="0" w:color="auto"/>
              <w:right w:val="dotted" w:sz="4" w:space="0" w:color="auto"/>
            </w:tcBorders>
            <w:shd w:val="clear" w:color="000000" w:fill="F2F2F2"/>
            <w:noWrap/>
            <w:vAlign w:val="bottom"/>
            <w:hideMark/>
          </w:tcPr>
          <w:p w14:paraId="194790A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w:t>
            </w:r>
          </w:p>
        </w:tc>
        <w:tc>
          <w:tcPr>
            <w:tcW w:w="252" w:type="pct"/>
            <w:tcBorders>
              <w:top w:val="nil"/>
              <w:left w:val="nil"/>
              <w:bottom w:val="dotted" w:sz="4" w:space="0" w:color="auto"/>
              <w:right w:val="dotted" w:sz="4" w:space="0" w:color="auto"/>
            </w:tcBorders>
            <w:shd w:val="clear" w:color="000000" w:fill="F2F2F2"/>
            <w:noWrap/>
            <w:vAlign w:val="bottom"/>
            <w:hideMark/>
          </w:tcPr>
          <w:p w14:paraId="6985196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41</w:t>
            </w:r>
          </w:p>
        </w:tc>
        <w:tc>
          <w:tcPr>
            <w:tcW w:w="252" w:type="pct"/>
            <w:tcBorders>
              <w:top w:val="nil"/>
              <w:left w:val="nil"/>
              <w:bottom w:val="dotted" w:sz="4" w:space="0" w:color="auto"/>
              <w:right w:val="dotted" w:sz="4" w:space="0" w:color="auto"/>
            </w:tcBorders>
            <w:shd w:val="clear" w:color="000000" w:fill="F2F2F2"/>
            <w:noWrap/>
            <w:vAlign w:val="bottom"/>
            <w:hideMark/>
          </w:tcPr>
          <w:p w14:paraId="322D64B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w:t>
            </w:r>
          </w:p>
        </w:tc>
        <w:tc>
          <w:tcPr>
            <w:tcW w:w="422" w:type="pct"/>
            <w:tcBorders>
              <w:top w:val="nil"/>
              <w:left w:val="nil"/>
              <w:bottom w:val="dotted" w:sz="4" w:space="0" w:color="auto"/>
              <w:right w:val="single" w:sz="8" w:space="0" w:color="auto"/>
            </w:tcBorders>
            <w:shd w:val="clear" w:color="000000" w:fill="F2F2F2"/>
            <w:noWrap/>
            <w:vAlign w:val="bottom"/>
            <w:hideMark/>
          </w:tcPr>
          <w:p w14:paraId="127E369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35</w:t>
            </w:r>
          </w:p>
        </w:tc>
      </w:tr>
      <w:tr w:rsidR="00CF7396" w:rsidRPr="00CF7396" w14:paraId="6C75F526" w14:textId="77777777" w:rsidTr="00AF369B">
        <w:trPr>
          <w:trHeight w:val="290"/>
        </w:trPr>
        <w:tc>
          <w:tcPr>
            <w:tcW w:w="561" w:type="pct"/>
            <w:vMerge/>
            <w:tcBorders>
              <w:top w:val="nil"/>
              <w:left w:val="single" w:sz="8" w:space="0" w:color="auto"/>
              <w:bottom w:val="single" w:sz="8" w:space="0" w:color="000000"/>
              <w:right w:val="dotted" w:sz="4" w:space="0" w:color="auto"/>
            </w:tcBorders>
            <w:vAlign w:val="center"/>
            <w:hideMark/>
          </w:tcPr>
          <w:p w14:paraId="6452192E"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dotted" w:sz="4" w:space="0" w:color="auto"/>
              <w:right w:val="dotted" w:sz="4" w:space="0" w:color="auto"/>
            </w:tcBorders>
            <w:vAlign w:val="center"/>
            <w:hideMark/>
          </w:tcPr>
          <w:p w14:paraId="3C9CD62C"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F2F2F2"/>
            <w:noWrap/>
            <w:vAlign w:val="bottom"/>
            <w:hideMark/>
          </w:tcPr>
          <w:p w14:paraId="67D1355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Circulante</w:t>
            </w:r>
          </w:p>
        </w:tc>
        <w:tc>
          <w:tcPr>
            <w:tcW w:w="252" w:type="pct"/>
            <w:tcBorders>
              <w:top w:val="nil"/>
              <w:left w:val="nil"/>
              <w:bottom w:val="dotted" w:sz="4" w:space="0" w:color="auto"/>
              <w:right w:val="dotted" w:sz="4" w:space="0" w:color="auto"/>
            </w:tcBorders>
            <w:shd w:val="clear" w:color="000000" w:fill="F2F2F2"/>
            <w:noWrap/>
            <w:vAlign w:val="bottom"/>
            <w:hideMark/>
          </w:tcPr>
          <w:p w14:paraId="5FF939C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46</w:t>
            </w:r>
          </w:p>
        </w:tc>
        <w:tc>
          <w:tcPr>
            <w:tcW w:w="252" w:type="pct"/>
            <w:tcBorders>
              <w:top w:val="nil"/>
              <w:left w:val="nil"/>
              <w:bottom w:val="dotted" w:sz="4" w:space="0" w:color="auto"/>
              <w:right w:val="dotted" w:sz="4" w:space="0" w:color="auto"/>
            </w:tcBorders>
            <w:shd w:val="clear" w:color="000000" w:fill="F2F2F2"/>
            <w:noWrap/>
            <w:vAlign w:val="bottom"/>
            <w:hideMark/>
          </w:tcPr>
          <w:p w14:paraId="77297C7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49</w:t>
            </w:r>
          </w:p>
        </w:tc>
        <w:tc>
          <w:tcPr>
            <w:tcW w:w="252" w:type="pct"/>
            <w:tcBorders>
              <w:top w:val="nil"/>
              <w:left w:val="nil"/>
              <w:bottom w:val="dotted" w:sz="4" w:space="0" w:color="auto"/>
              <w:right w:val="dotted" w:sz="4" w:space="0" w:color="auto"/>
            </w:tcBorders>
            <w:shd w:val="clear" w:color="000000" w:fill="F2F2F2"/>
            <w:noWrap/>
            <w:vAlign w:val="bottom"/>
            <w:hideMark/>
          </w:tcPr>
          <w:p w14:paraId="0D9831B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37</w:t>
            </w:r>
          </w:p>
        </w:tc>
        <w:tc>
          <w:tcPr>
            <w:tcW w:w="252" w:type="pct"/>
            <w:tcBorders>
              <w:top w:val="nil"/>
              <w:left w:val="nil"/>
              <w:bottom w:val="dotted" w:sz="4" w:space="0" w:color="auto"/>
              <w:right w:val="dotted" w:sz="4" w:space="0" w:color="auto"/>
            </w:tcBorders>
            <w:shd w:val="clear" w:color="000000" w:fill="F2F2F2"/>
            <w:noWrap/>
            <w:vAlign w:val="bottom"/>
            <w:hideMark/>
          </w:tcPr>
          <w:p w14:paraId="22B8806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25</w:t>
            </w:r>
          </w:p>
        </w:tc>
        <w:tc>
          <w:tcPr>
            <w:tcW w:w="252" w:type="pct"/>
            <w:tcBorders>
              <w:top w:val="nil"/>
              <w:left w:val="nil"/>
              <w:bottom w:val="dotted" w:sz="4" w:space="0" w:color="auto"/>
              <w:right w:val="dotted" w:sz="4" w:space="0" w:color="auto"/>
            </w:tcBorders>
            <w:shd w:val="clear" w:color="000000" w:fill="F2F2F2"/>
            <w:noWrap/>
            <w:vAlign w:val="bottom"/>
            <w:hideMark/>
          </w:tcPr>
          <w:p w14:paraId="1B23462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22</w:t>
            </w:r>
          </w:p>
        </w:tc>
        <w:tc>
          <w:tcPr>
            <w:tcW w:w="252" w:type="pct"/>
            <w:tcBorders>
              <w:top w:val="nil"/>
              <w:left w:val="nil"/>
              <w:bottom w:val="dotted" w:sz="4" w:space="0" w:color="auto"/>
              <w:right w:val="dotted" w:sz="4" w:space="0" w:color="auto"/>
            </w:tcBorders>
            <w:shd w:val="clear" w:color="000000" w:fill="F2F2F2"/>
            <w:noWrap/>
            <w:vAlign w:val="bottom"/>
            <w:hideMark/>
          </w:tcPr>
          <w:p w14:paraId="3347831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37</w:t>
            </w:r>
          </w:p>
        </w:tc>
        <w:tc>
          <w:tcPr>
            <w:tcW w:w="252" w:type="pct"/>
            <w:tcBorders>
              <w:top w:val="nil"/>
              <w:left w:val="nil"/>
              <w:bottom w:val="dotted" w:sz="4" w:space="0" w:color="auto"/>
              <w:right w:val="dotted" w:sz="4" w:space="0" w:color="auto"/>
            </w:tcBorders>
            <w:shd w:val="clear" w:color="000000" w:fill="F2F2F2"/>
            <w:noWrap/>
            <w:vAlign w:val="bottom"/>
            <w:hideMark/>
          </w:tcPr>
          <w:p w14:paraId="597BD36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59</w:t>
            </w:r>
          </w:p>
        </w:tc>
        <w:tc>
          <w:tcPr>
            <w:tcW w:w="252" w:type="pct"/>
            <w:tcBorders>
              <w:top w:val="nil"/>
              <w:left w:val="nil"/>
              <w:bottom w:val="dotted" w:sz="4" w:space="0" w:color="auto"/>
              <w:right w:val="dotted" w:sz="4" w:space="0" w:color="auto"/>
            </w:tcBorders>
            <w:shd w:val="clear" w:color="000000" w:fill="F2F2F2"/>
            <w:noWrap/>
            <w:vAlign w:val="bottom"/>
            <w:hideMark/>
          </w:tcPr>
          <w:p w14:paraId="7E6AFBE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94</w:t>
            </w:r>
          </w:p>
        </w:tc>
        <w:tc>
          <w:tcPr>
            <w:tcW w:w="252" w:type="pct"/>
            <w:tcBorders>
              <w:top w:val="nil"/>
              <w:left w:val="nil"/>
              <w:bottom w:val="dotted" w:sz="4" w:space="0" w:color="auto"/>
              <w:right w:val="dotted" w:sz="4" w:space="0" w:color="auto"/>
            </w:tcBorders>
            <w:shd w:val="clear" w:color="000000" w:fill="F2F2F2"/>
            <w:noWrap/>
            <w:vAlign w:val="bottom"/>
            <w:hideMark/>
          </w:tcPr>
          <w:p w14:paraId="694E97B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91</w:t>
            </w:r>
          </w:p>
        </w:tc>
        <w:tc>
          <w:tcPr>
            <w:tcW w:w="252" w:type="pct"/>
            <w:tcBorders>
              <w:top w:val="nil"/>
              <w:left w:val="nil"/>
              <w:bottom w:val="dotted" w:sz="4" w:space="0" w:color="auto"/>
              <w:right w:val="dotted" w:sz="4" w:space="0" w:color="auto"/>
            </w:tcBorders>
            <w:shd w:val="clear" w:color="000000" w:fill="F2F2F2"/>
            <w:noWrap/>
            <w:vAlign w:val="bottom"/>
            <w:hideMark/>
          </w:tcPr>
          <w:p w14:paraId="071E6C4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95</w:t>
            </w:r>
          </w:p>
        </w:tc>
        <w:tc>
          <w:tcPr>
            <w:tcW w:w="252" w:type="pct"/>
            <w:tcBorders>
              <w:top w:val="nil"/>
              <w:left w:val="nil"/>
              <w:bottom w:val="dotted" w:sz="4" w:space="0" w:color="auto"/>
              <w:right w:val="dotted" w:sz="4" w:space="0" w:color="auto"/>
            </w:tcBorders>
            <w:shd w:val="clear" w:color="000000" w:fill="F2F2F2"/>
            <w:noWrap/>
            <w:vAlign w:val="bottom"/>
            <w:hideMark/>
          </w:tcPr>
          <w:p w14:paraId="352D50E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115</w:t>
            </w:r>
          </w:p>
        </w:tc>
        <w:tc>
          <w:tcPr>
            <w:tcW w:w="252" w:type="pct"/>
            <w:tcBorders>
              <w:top w:val="nil"/>
              <w:left w:val="nil"/>
              <w:bottom w:val="dotted" w:sz="4" w:space="0" w:color="auto"/>
              <w:right w:val="dotted" w:sz="4" w:space="0" w:color="auto"/>
            </w:tcBorders>
            <w:shd w:val="clear" w:color="000000" w:fill="F2F2F2"/>
            <w:noWrap/>
            <w:vAlign w:val="bottom"/>
            <w:hideMark/>
          </w:tcPr>
          <w:p w14:paraId="2685E86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98</w:t>
            </w:r>
          </w:p>
        </w:tc>
        <w:tc>
          <w:tcPr>
            <w:tcW w:w="422" w:type="pct"/>
            <w:tcBorders>
              <w:top w:val="nil"/>
              <w:left w:val="nil"/>
              <w:bottom w:val="dotted" w:sz="4" w:space="0" w:color="auto"/>
              <w:right w:val="single" w:sz="8" w:space="0" w:color="auto"/>
            </w:tcBorders>
            <w:shd w:val="clear" w:color="000000" w:fill="808080"/>
            <w:noWrap/>
            <w:vAlign w:val="bottom"/>
            <w:hideMark/>
          </w:tcPr>
          <w:p w14:paraId="7A32085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w:t>
            </w:r>
          </w:p>
        </w:tc>
      </w:tr>
      <w:tr w:rsidR="00CF7396" w:rsidRPr="00CF7396" w14:paraId="14408AB1" w14:textId="77777777" w:rsidTr="00AF369B">
        <w:trPr>
          <w:trHeight w:val="290"/>
        </w:trPr>
        <w:tc>
          <w:tcPr>
            <w:tcW w:w="561" w:type="pct"/>
            <w:vMerge/>
            <w:tcBorders>
              <w:top w:val="nil"/>
              <w:left w:val="single" w:sz="8" w:space="0" w:color="auto"/>
              <w:bottom w:val="single" w:sz="8" w:space="0" w:color="000000"/>
              <w:right w:val="dotted" w:sz="4" w:space="0" w:color="auto"/>
            </w:tcBorders>
            <w:vAlign w:val="center"/>
            <w:hideMark/>
          </w:tcPr>
          <w:p w14:paraId="044A9809" w14:textId="77777777" w:rsidR="00CF7396" w:rsidRPr="00CF7396" w:rsidRDefault="00CF7396" w:rsidP="00CF7396">
            <w:pPr>
              <w:rPr>
                <w:b/>
                <w:bCs/>
                <w:color w:val="000000" w:themeColor="text1"/>
                <w:lang w:val="es-CR" w:eastAsia="es-CR"/>
              </w:rPr>
            </w:pPr>
          </w:p>
        </w:tc>
        <w:tc>
          <w:tcPr>
            <w:tcW w:w="561" w:type="pct"/>
            <w:vMerge w:val="restart"/>
            <w:tcBorders>
              <w:top w:val="nil"/>
              <w:left w:val="dotted" w:sz="4" w:space="0" w:color="auto"/>
              <w:bottom w:val="single" w:sz="8" w:space="0" w:color="000000"/>
              <w:right w:val="dotted" w:sz="4" w:space="0" w:color="auto"/>
            </w:tcBorders>
            <w:shd w:val="clear" w:color="000000" w:fill="F2F2F2"/>
            <w:vAlign w:val="center"/>
            <w:hideMark/>
          </w:tcPr>
          <w:p w14:paraId="3CB7540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Laboral</w:t>
            </w:r>
          </w:p>
        </w:tc>
        <w:tc>
          <w:tcPr>
            <w:tcW w:w="432" w:type="pct"/>
            <w:tcBorders>
              <w:top w:val="nil"/>
              <w:left w:val="nil"/>
              <w:bottom w:val="dotted" w:sz="4" w:space="0" w:color="auto"/>
              <w:right w:val="dotted" w:sz="4" w:space="0" w:color="auto"/>
            </w:tcBorders>
            <w:shd w:val="clear" w:color="000000" w:fill="F2F2F2"/>
            <w:noWrap/>
            <w:vAlign w:val="bottom"/>
            <w:hideMark/>
          </w:tcPr>
          <w:p w14:paraId="601F8AA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Entrada</w:t>
            </w:r>
          </w:p>
        </w:tc>
        <w:tc>
          <w:tcPr>
            <w:tcW w:w="252" w:type="pct"/>
            <w:tcBorders>
              <w:top w:val="nil"/>
              <w:left w:val="nil"/>
              <w:bottom w:val="dotted" w:sz="4" w:space="0" w:color="auto"/>
              <w:right w:val="dotted" w:sz="4" w:space="0" w:color="auto"/>
            </w:tcBorders>
            <w:shd w:val="clear" w:color="000000" w:fill="F2F2F2"/>
            <w:noWrap/>
            <w:vAlign w:val="bottom"/>
            <w:hideMark/>
          </w:tcPr>
          <w:p w14:paraId="3517EB8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w:t>
            </w:r>
          </w:p>
        </w:tc>
        <w:tc>
          <w:tcPr>
            <w:tcW w:w="252" w:type="pct"/>
            <w:tcBorders>
              <w:top w:val="nil"/>
              <w:left w:val="nil"/>
              <w:bottom w:val="dotted" w:sz="4" w:space="0" w:color="auto"/>
              <w:right w:val="dotted" w:sz="4" w:space="0" w:color="auto"/>
            </w:tcBorders>
            <w:shd w:val="clear" w:color="000000" w:fill="F2F2F2"/>
            <w:noWrap/>
            <w:vAlign w:val="bottom"/>
            <w:hideMark/>
          </w:tcPr>
          <w:p w14:paraId="71B3B4B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w:t>
            </w:r>
          </w:p>
        </w:tc>
        <w:tc>
          <w:tcPr>
            <w:tcW w:w="252" w:type="pct"/>
            <w:tcBorders>
              <w:top w:val="nil"/>
              <w:left w:val="nil"/>
              <w:bottom w:val="dotted" w:sz="4" w:space="0" w:color="auto"/>
              <w:right w:val="dotted" w:sz="4" w:space="0" w:color="auto"/>
            </w:tcBorders>
            <w:shd w:val="clear" w:color="000000" w:fill="F2F2F2"/>
            <w:noWrap/>
            <w:vAlign w:val="bottom"/>
            <w:hideMark/>
          </w:tcPr>
          <w:p w14:paraId="1627E6E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w:t>
            </w:r>
          </w:p>
        </w:tc>
        <w:tc>
          <w:tcPr>
            <w:tcW w:w="252" w:type="pct"/>
            <w:tcBorders>
              <w:top w:val="nil"/>
              <w:left w:val="nil"/>
              <w:bottom w:val="dotted" w:sz="4" w:space="0" w:color="auto"/>
              <w:right w:val="dotted" w:sz="4" w:space="0" w:color="auto"/>
            </w:tcBorders>
            <w:shd w:val="clear" w:color="000000" w:fill="F2F2F2"/>
            <w:noWrap/>
            <w:vAlign w:val="bottom"/>
            <w:hideMark/>
          </w:tcPr>
          <w:p w14:paraId="13D22ED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w:t>
            </w:r>
          </w:p>
        </w:tc>
        <w:tc>
          <w:tcPr>
            <w:tcW w:w="252" w:type="pct"/>
            <w:tcBorders>
              <w:top w:val="nil"/>
              <w:left w:val="nil"/>
              <w:bottom w:val="dotted" w:sz="4" w:space="0" w:color="auto"/>
              <w:right w:val="dotted" w:sz="4" w:space="0" w:color="auto"/>
            </w:tcBorders>
            <w:shd w:val="clear" w:color="000000" w:fill="F2F2F2"/>
            <w:noWrap/>
            <w:vAlign w:val="bottom"/>
            <w:hideMark/>
          </w:tcPr>
          <w:p w14:paraId="015AEE4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38</w:t>
            </w:r>
          </w:p>
        </w:tc>
        <w:tc>
          <w:tcPr>
            <w:tcW w:w="252" w:type="pct"/>
            <w:tcBorders>
              <w:top w:val="nil"/>
              <w:left w:val="nil"/>
              <w:bottom w:val="dotted" w:sz="4" w:space="0" w:color="auto"/>
              <w:right w:val="dotted" w:sz="4" w:space="0" w:color="auto"/>
            </w:tcBorders>
            <w:shd w:val="clear" w:color="000000" w:fill="F2F2F2"/>
            <w:noWrap/>
            <w:vAlign w:val="bottom"/>
            <w:hideMark/>
          </w:tcPr>
          <w:p w14:paraId="1873F84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36</w:t>
            </w:r>
          </w:p>
        </w:tc>
        <w:tc>
          <w:tcPr>
            <w:tcW w:w="252" w:type="pct"/>
            <w:tcBorders>
              <w:top w:val="nil"/>
              <w:left w:val="nil"/>
              <w:bottom w:val="dotted" w:sz="4" w:space="0" w:color="auto"/>
              <w:right w:val="dotted" w:sz="4" w:space="0" w:color="auto"/>
            </w:tcBorders>
            <w:shd w:val="clear" w:color="000000" w:fill="F2F2F2"/>
            <w:noWrap/>
            <w:vAlign w:val="bottom"/>
            <w:hideMark/>
          </w:tcPr>
          <w:p w14:paraId="3408978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25</w:t>
            </w:r>
          </w:p>
        </w:tc>
        <w:tc>
          <w:tcPr>
            <w:tcW w:w="252" w:type="pct"/>
            <w:tcBorders>
              <w:top w:val="nil"/>
              <w:left w:val="nil"/>
              <w:bottom w:val="dotted" w:sz="4" w:space="0" w:color="auto"/>
              <w:right w:val="dotted" w:sz="4" w:space="0" w:color="auto"/>
            </w:tcBorders>
            <w:shd w:val="clear" w:color="000000" w:fill="F2F2F2"/>
            <w:noWrap/>
            <w:vAlign w:val="bottom"/>
            <w:hideMark/>
          </w:tcPr>
          <w:p w14:paraId="48A921C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25</w:t>
            </w:r>
          </w:p>
        </w:tc>
        <w:tc>
          <w:tcPr>
            <w:tcW w:w="252" w:type="pct"/>
            <w:tcBorders>
              <w:top w:val="nil"/>
              <w:left w:val="nil"/>
              <w:bottom w:val="dotted" w:sz="4" w:space="0" w:color="auto"/>
              <w:right w:val="dotted" w:sz="4" w:space="0" w:color="auto"/>
            </w:tcBorders>
            <w:shd w:val="clear" w:color="000000" w:fill="F2F2F2"/>
            <w:noWrap/>
            <w:vAlign w:val="bottom"/>
            <w:hideMark/>
          </w:tcPr>
          <w:p w14:paraId="1B82367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w:t>
            </w:r>
          </w:p>
        </w:tc>
        <w:tc>
          <w:tcPr>
            <w:tcW w:w="252" w:type="pct"/>
            <w:tcBorders>
              <w:top w:val="nil"/>
              <w:left w:val="nil"/>
              <w:bottom w:val="dotted" w:sz="4" w:space="0" w:color="auto"/>
              <w:right w:val="dotted" w:sz="4" w:space="0" w:color="auto"/>
            </w:tcBorders>
            <w:shd w:val="clear" w:color="000000" w:fill="F2F2F2"/>
            <w:noWrap/>
            <w:vAlign w:val="bottom"/>
            <w:hideMark/>
          </w:tcPr>
          <w:p w14:paraId="6D710B0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w:t>
            </w:r>
          </w:p>
        </w:tc>
        <w:tc>
          <w:tcPr>
            <w:tcW w:w="252" w:type="pct"/>
            <w:tcBorders>
              <w:top w:val="nil"/>
              <w:left w:val="nil"/>
              <w:bottom w:val="dotted" w:sz="4" w:space="0" w:color="auto"/>
              <w:right w:val="dotted" w:sz="4" w:space="0" w:color="auto"/>
            </w:tcBorders>
            <w:shd w:val="clear" w:color="000000" w:fill="F2F2F2"/>
            <w:noWrap/>
            <w:vAlign w:val="bottom"/>
            <w:hideMark/>
          </w:tcPr>
          <w:p w14:paraId="24C0555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30</w:t>
            </w:r>
          </w:p>
        </w:tc>
        <w:tc>
          <w:tcPr>
            <w:tcW w:w="252" w:type="pct"/>
            <w:tcBorders>
              <w:top w:val="nil"/>
              <w:left w:val="nil"/>
              <w:bottom w:val="dotted" w:sz="4" w:space="0" w:color="auto"/>
              <w:right w:val="dotted" w:sz="4" w:space="0" w:color="auto"/>
            </w:tcBorders>
            <w:shd w:val="clear" w:color="000000" w:fill="F2F2F2"/>
            <w:noWrap/>
            <w:vAlign w:val="bottom"/>
            <w:hideMark/>
          </w:tcPr>
          <w:p w14:paraId="0197EAE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w:t>
            </w:r>
          </w:p>
        </w:tc>
        <w:tc>
          <w:tcPr>
            <w:tcW w:w="422" w:type="pct"/>
            <w:tcBorders>
              <w:top w:val="nil"/>
              <w:left w:val="nil"/>
              <w:bottom w:val="dotted" w:sz="4" w:space="0" w:color="auto"/>
              <w:right w:val="single" w:sz="8" w:space="0" w:color="auto"/>
            </w:tcBorders>
            <w:shd w:val="clear" w:color="000000" w:fill="F2F2F2"/>
            <w:noWrap/>
            <w:vAlign w:val="bottom"/>
            <w:hideMark/>
          </w:tcPr>
          <w:p w14:paraId="3C1BDED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26</w:t>
            </w:r>
          </w:p>
        </w:tc>
      </w:tr>
      <w:tr w:rsidR="00CF7396" w:rsidRPr="00CF7396" w14:paraId="605EF7BF" w14:textId="77777777" w:rsidTr="00AF369B">
        <w:trPr>
          <w:trHeight w:val="290"/>
        </w:trPr>
        <w:tc>
          <w:tcPr>
            <w:tcW w:w="561" w:type="pct"/>
            <w:vMerge/>
            <w:tcBorders>
              <w:top w:val="nil"/>
              <w:left w:val="single" w:sz="8" w:space="0" w:color="auto"/>
              <w:bottom w:val="single" w:sz="8" w:space="0" w:color="000000"/>
              <w:right w:val="dotted" w:sz="4" w:space="0" w:color="auto"/>
            </w:tcBorders>
            <w:vAlign w:val="center"/>
            <w:hideMark/>
          </w:tcPr>
          <w:p w14:paraId="0B156A2B"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single" w:sz="8" w:space="0" w:color="000000"/>
              <w:right w:val="dotted" w:sz="4" w:space="0" w:color="auto"/>
            </w:tcBorders>
            <w:vAlign w:val="center"/>
            <w:hideMark/>
          </w:tcPr>
          <w:p w14:paraId="4F969A22" w14:textId="77777777" w:rsidR="00CF7396" w:rsidRPr="00CF7396" w:rsidRDefault="00CF7396" w:rsidP="00CF7396">
            <w:pPr>
              <w:rPr>
                <w:b/>
                <w:bCs/>
                <w:color w:val="000000" w:themeColor="text1"/>
                <w:lang w:val="es-CR" w:eastAsia="es-CR"/>
              </w:rPr>
            </w:pPr>
          </w:p>
        </w:tc>
        <w:tc>
          <w:tcPr>
            <w:tcW w:w="432" w:type="pct"/>
            <w:tcBorders>
              <w:top w:val="nil"/>
              <w:left w:val="nil"/>
              <w:bottom w:val="dotted" w:sz="4" w:space="0" w:color="auto"/>
              <w:right w:val="dotted" w:sz="4" w:space="0" w:color="auto"/>
            </w:tcBorders>
            <w:shd w:val="clear" w:color="000000" w:fill="F2F2F2"/>
            <w:noWrap/>
            <w:vAlign w:val="bottom"/>
            <w:hideMark/>
          </w:tcPr>
          <w:p w14:paraId="5FA3F22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Terminados </w:t>
            </w:r>
          </w:p>
        </w:tc>
        <w:tc>
          <w:tcPr>
            <w:tcW w:w="252" w:type="pct"/>
            <w:tcBorders>
              <w:top w:val="nil"/>
              <w:left w:val="nil"/>
              <w:bottom w:val="dotted" w:sz="4" w:space="0" w:color="auto"/>
              <w:right w:val="dotted" w:sz="4" w:space="0" w:color="auto"/>
            </w:tcBorders>
            <w:shd w:val="clear" w:color="000000" w:fill="F2F2F2"/>
            <w:noWrap/>
            <w:vAlign w:val="bottom"/>
            <w:hideMark/>
          </w:tcPr>
          <w:p w14:paraId="2F8CA56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w:t>
            </w:r>
          </w:p>
        </w:tc>
        <w:tc>
          <w:tcPr>
            <w:tcW w:w="252" w:type="pct"/>
            <w:tcBorders>
              <w:top w:val="nil"/>
              <w:left w:val="nil"/>
              <w:bottom w:val="dotted" w:sz="4" w:space="0" w:color="auto"/>
              <w:right w:val="dotted" w:sz="4" w:space="0" w:color="auto"/>
            </w:tcBorders>
            <w:shd w:val="clear" w:color="000000" w:fill="F2F2F2"/>
            <w:noWrap/>
            <w:vAlign w:val="bottom"/>
            <w:hideMark/>
          </w:tcPr>
          <w:p w14:paraId="41B2D40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w:t>
            </w:r>
          </w:p>
        </w:tc>
        <w:tc>
          <w:tcPr>
            <w:tcW w:w="252" w:type="pct"/>
            <w:tcBorders>
              <w:top w:val="nil"/>
              <w:left w:val="nil"/>
              <w:bottom w:val="dotted" w:sz="4" w:space="0" w:color="auto"/>
              <w:right w:val="dotted" w:sz="4" w:space="0" w:color="auto"/>
            </w:tcBorders>
            <w:shd w:val="clear" w:color="000000" w:fill="F2F2F2"/>
            <w:noWrap/>
            <w:vAlign w:val="bottom"/>
            <w:hideMark/>
          </w:tcPr>
          <w:p w14:paraId="047C3E4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19</w:t>
            </w:r>
          </w:p>
        </w:tc>
        <w:tc>
          <w:tcPr>
            <w:tcW w:w="252" w:type="pct"/>
            <w:tcBorders>
              <w:top w:val="nil"/>
              <w:left w:val="nil"/>
              <w:bottom w:val="dotted" w:sz="4" w:space="0" w:color="auto"/>
              <w:right w:val="dotted" w:sz="4" w:space="0" w:color="auto"/>
            </w:tcBorders>
            <w:shd w:val="clear" w:color="000000" w:fill="F2F2F2"/>
            <w:noWrap/>
            <w:vAlign w:val="bottom"/>
            <w:hideMark/>
          </w:tcPr>
          <w:p w14:paraId="2D6DCC5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w:t>
            </w:r>
          </w:p>
        </w:tc>
        <w:tc>
          <w:tcPr>
            <w:tcW w:w="252" w:type="pct"/>
            <w:tcBorders>
              <w:top w:val="nil"/>
              <w:left w:val="nil"/>
              <w:bottom w:val="dotted" w:sz="4" w:space="0" w:color="auto"/>
              <w:right w:val="dotted" w:sz="4" w:space="0" w:color="auto"/>
            </w:tcBorders>
            <w:shd w:val="clear" w:color="000000" w:fill="F2F2F2"/>
            <w:noWrap/>
            <w:vAlign w:val="bottom"/>
            <w:hideMark/>
          </w:tcPr>
          <w:p w14:paraId="6844CEF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38</w:t>
            </w:r>
          </w:p>
        </w:tc>
        <w:tc>
          <w:tcPr>
            <w:tcW w:w="252" w:type="pct"/>
            <w:tcBorders>
              <w:top w:val="nil"/>
              <w:left w:val="nil"/>
              <w:bottom w:val="dotted" w:sz="4" w:space="0" w:color="auto"/>
              <w:right w:val="dotted" w:sz="4" w:space="0" w:color="auto"/>
            </w:tcBorders>
            <w:shd w:val="clear" w:color="000000" w:fill="F2F2F2"/>
            <w:noWrap/>
            <w:vAlign w:val="bottom"/>
            <w:hideMark/>
          </w:tcPr>
          <w:p w14:paraId="32C4BDC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36</w:t>
            </w:r>
          </w:p>
        </w:tc>
        <w:tc>
          <w:tcPr>
            <w:tcW w:w="252" w:type="pct"/>
            <w:tcBorders>
              <w:top w:val="nil"/>
              <w:left w:val="nil"/>
              <w:bottom w:val="dotted" w:sz="4" w:space="0" w:color="auto"/>
              <w:right w:val="dotted" w:sz="4" w:space="0" w:color="auto"/>
            </w:tcBorders>
            <w:shd w:val="clear" w:color="000000" w:fill="F2F2F2"/>
            <w:noWrap/>
            <w:vAlign w:val="bottom"/>
            <w:hideMark/>
          </w:tcPr>
          <w:p w14:paraId="40B0A81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25</w:t>
            </w:r>
          </w:p>
        </w:tc>
        <w:tc>
          <w:tcPr>
            <w:tcW w:w="252" w:type="pct"/>
            <w:tcBorders>
              <w:top w:val="nil"/>
              <w:left w:val="nil"/>
              <w:bottom w:val="dotted" w:sz="4" w:space="0" w:color="auto"/>
              <w:right w:val="dotted" w:sz="4" w:space="0" w:color="auto"/>
            </w:tcBorders>
            <w:shd w:val="clear" w:color="000000" w:fill="F2F2F2"/>
            <w:noWrap/>
            <w:vAlign w:val="bottom"/>
            <w:hideMark/>
          </w:tcPr>
          <w:p w14:paraId="542E95A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25</w:t>
            </w:r>
          </w:p>
        </w:tc>
        <w:tc>
          <w:tcPr>
            <w:tcW w:w="252" w:type="pct"/>
            <w:tcBorders>
              <w:top w:val="nil"/>
              <w:left w:val="nil"/>
              <w:bottom w:val="dotted" w:sz="4" w:space="0" w:color="auto"/>
              <w:right w:val="dotted" w:sz="4" w:space="0" w:color="auto"/>
            </w:tcBorders>
            <w:shd w:val="clear" w:color="000000" w:fill="F2F2F2"/>
            <w:noWrap/>
            <w:vAlign w:val="bottom"/>
            <w:hideMark/>
          </w:tcPr>
          <w:p w14:paraId="1A2F690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w:t>
            </w:r>
          </w:p>
        </w:tc>
        <w:tc>
          <w:tcPr>
            <w:tcW w:w="252" w:type="pct"/>
            <w:tcBorders>
              <w:top w:val="nil"/>
              <w:left w:val="nil"/>
              <w:bottom w:val="dotted" w:sz="4" w:space="0" w:color="auto"/>
              <w:right w:val="dotted" w:sz="4" w:space="0" w:color="auto"/>
            </w:tcBorders>
            <w:shd w:val="clear" w:color="000000" w:fill="F2F2F2"/>
            <w:noWrap/>
            <w:vAlign w:val="bottom"/>
            <w:hideMark/>
          </w:tcPr>
          <w:p w14:paraId="27DD111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23</w:t>
            </w:r>
          </w:p>
        </w:tc>
        <w:tc>
          <w:tcPr>
            <w:tcW w:w="252" w:type="pct"/>
            <w:tcBorders>
              <w:top w:val="nil"/>
              <w:left w:val="nil"/>
              <w:bottom w:val="dotted" w:sz="4" w:space="0" w:color="auto"/>
              <w:right w:val="dotted" w:sz="4" w:space="0" w:color="auto"/>
            </w:tcBorders>
            <w:shd w:val="clear" w:color="000000" w:fill="F2F2F2"/>
            <w:noWrap/>
            <w:vAlign w:val="bottom"/>
            <w:hideMark/>
          </w:tcPr>
          <w:p w14:paraId="66E4F67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30</w:t>
            </w:r>
          </w:p>
        </w:tc>
        <w:tc>
          <w:tcPr>
            <w:tcW w:w="252" w:type="pct"/>
            <w:tcBorders>
              <w:top w:val="nil"/>
              <w:left w:val="nil"/>
              <w:bottom w:val="dotted" w:sz="4" w:space="0" w:color="auto"/>
              <w:right w:val="dotted" w:sz="4" w:space="0" w:color="auto"/>
            </w:tcBorders>
            <w:shd w:val="clear" w:color="000000" w:fill="F2F2F2"/>
            <w:noWrap/>
            <w:vAlign w:val="bottom"/>
            <w:hideMark/>
          </w:tcPr>
          <w:p w14:paraId="78CF468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w:t>
            </w:r>
          </w:p>
        </w:tc>
        <w:tc>
          <w:tcPr>
            <w:tcW w:w="422" w:type="pct"/>
            <w:tcBorders>
              <w:top w:val="nil"/>
              <w:left w:val="nil"/>
              <w:bottom w:val="dotted" w:sz="4" w:space="0" w:color="auto"/>
              <w:right w:val="single" w:sz="8" w:space="0" w:color="auto"/>
            </w:tcBorders>
            <w:shd w:val="clear" w:color="000000" w:fill="F2F2F2"/>
            <w:noWrap/>
            <w:vAlign w:val="bottom"/>
            <w:hideMark/>
          </w:tcPr>
          <w:p w14:paraId="42D0D3E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26</w:t>
            </w:r>
          </w:p>
        </w:tc>
      </w:tr>
      <w:tr w:rsidR="00CF7396" w:rsidRPr="00CF7396" w14:paraId="4D2D0219" w14:textId="77777777" w:rsidTr="00AF369B">
        <w:trPr>
          <w:trHeight w:val="300"/>
        </w:trPr>
        <w:tc>
          <w:tcPr>
            <w:tcW w:w="561" w:type="pct"/>
            <w:vMerge/>
            <w:tcBorders>
              <w:top w:val="nil"/>
              <w:left w:val="single" w:sz="8" w:space="0" w:color="auto"/>
              <w:bottom w:val="single" w:sz="8" w:space="0" w:color="000000"/>
              <w:right w:val="dotted" w:sz="4" w:space="0" w:color="auto"/>
            </w:tcBorders>
            <w:vAlign w:val="center"/>
            <w:hideMark/>
          </w:tcPr>
          <w:p w14:paraId="3653539F" w14:textId="77777777" w:rsidR="00CF7396" w:rsidRPr="00CF7396" w:rsidRDefault="00CF7396" w:rsidP="00CF7396">
            <w:pPr>
              <w:rPr>
                <w:b/>
                <w:bCs/>
                <w:color w:val="000000" w:themeColor="text1"/>
                <w:lang w:val="es-CR" w:eastAsia="es-CR"/>
              </w:rPr>
            </w:pPr>
          </w:p>
        </w:tc>
        <w:tc>
          <w:tcPr>
            <w:tcW w:w="561" w:type="pct"/>
            <w:vMerge/>
            <w:tcBorders>
              <w:top w:val="nil"/>
              <w:left w:val="dotted" w:sz="4" w:space="0" w:color="auto"/>
              <w:bottom w:val="single" w:sz="8" w:space="0" w:color="000000"/>
              <w:right w:val="dotted" w:sz="4" w:space="0" w:color="auto"/>
            </w:tcBorders>
            <w:vAlign w:val="center"/>
            <w:hideMark/>
          </w:tcPr>
          <w:p w14:paraId="35BBD08E" w14:textId="77777777" w:rsidR="00CF7396" w:rsidRPr="00CF7396" w:rsidRDefault="00CF7396" w:rsidP="00CF7396">
            <w:pPr>
              <w:rPr>
                <w:b/>
                <w:bCs/>
                <w:color w:val="000000" w:themeColor="text1"/>
                <w:lang w:val="es-CR" w:eastAsia="es-CR"/>
              </w:rPr>
            </w:pPr>
          </w:p>
        </w:tc>
        <w:tc>
          <w:tcPr>
            <w:tcW w:w="432" w:type="pct"/>
            <w:tcBorders>
              <w:top w:val="nil"/>
              <w:left w:val="nil"/>
              <w:bottom w:val="single" w:sz="8" w:space="0" w:color="auto"/>
              <w:right w:val="dotted" w:sz="4" w:space="0" w:color="auto"/>
            </w:tcBorders>
            <w:shd w:val="clear" w:color="000000" w:fill="F2F2F2"/>
            <w:noWrap/>
            <w:vAlign w:val="bottom"/>
            <w:hideMark/>
          </w:tcPr>
          <w:p w14:paraId="013CB09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Circulante</w:t>
            </w:r>
          </w:p>
        </w:tc>
        <w:tc>
          <w:tcPr>
            <w:tcW w:w="252" w:type="pct"/>
            <w:tcBorders>
              <w:top w:val="nil"/>
              <w:left w:val="nil"/>
              <w:bottom w:val="single" w:sz="8" w:space="0" w:color="auto"/>
              <w:right w:val="dotted" w:sz="4" w:space="0" w:color="auto"/>
            </w:tcBorders>
            <w:shd w:val="clear" w:color="000000" w:fill="F2F2F2"/>
            <w:noWrap/>
            <w:vAlign w:val="bottom"/>
            <w:hideMark/>
          </w:tcPr>
          <w:p w14:paraId="104FD5B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w:t>
            </w:r>
          </w:p>
        </w:tc>
        <w:tc>
          <w:tcPr>
            <w:tcW w:w="252" w:type="pct"/>
            <w:tcBorders>
              <w:top w:val="nil"/>
              <w:left w:val="nil"/>
              <w:bottom w:val="single" w:sz="8" w:space="0" w:color="auto"/>
              <w:right w:val="dotted" w:sz="4" w:space="0" w:color="auto"/>
            </w:tcBorders>
            <w:shd w:val="clear" w:color="000000" w:fill="F2F2F2"/>
            <w:noWrap/>
            <w:vAlign w:val="bottom"/>
            <w:hideMark/>
          </w:tcPr>
          <w:p w14:paraId="61C5C7A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w:t>
            </w:r>
          </w:p>
        </w:tc>
        <w:tc>
          <w:tcPr>
            <w:tcW w:w="252" w:type="pct"/>
            <w:tcBorders>
              <w:top w:val="nil"/>
              <w:left w:val="nil"/>
              <w:bottom w:val="single" w:sz="8" w:space="0" w:color="auto"/>
              <w:right w:val="dotted" w:sz="4" w:space="0" w:color="auto"/>
            </w:tcBorders>
            <w:shd w:val="clear" w:color="000000" w:fill="F2F2F2"/>
            <w:noWrap/>
            <w:vAlign w:val="bottom"/>
            <w:hideMark/>
          </w:tcPr>
          <w:p w14:paraId="7B8973F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w:t>
            </w:r>
          </w:p>
        </w:tc>
        <w:tc>
          <w:tcPr>
            <w:tcW w:w="252" w:type="pct"/>
            <w:tcBorders>
              <w:top w:val="nil"/>
              <w:left w:val="nil"/>
              <w:bottom w:val="single" w:sz="8" w:space="0" w:color="auto"/>
              <w:right w:val="dotted" w:sz="4" w:space="0" w:color="auto"/>
            </w:tcBorders>
            <w:shd w:val="clear" w:color="000000" w:fill="F2F2F2"/>
            <w:noWrap/>
            <w:vAlign w:val="bottom"/>
            <w:hideMark/>
          </w:tcPr>
          <w:p w14:paraId="6333FED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w:t>
            </w:r>
          </w:p>
        </w:tc>
        <w:tc>
          <w:tcPr>
            <w:tcW w:w="252" w:type="pct"/>
            <w:tcBorders>
              <w:top w:val="nil"/>
              <w:left w:val="nil"/>
              <w:bottom w:val="single" w:sz="8" w:space="0" w:color="auto"/>
              <w:right w:val="dotted" w:sz="4" w:space="0" w:color="auto"/>
            </w:tcBorders>
            <w:shd w:val="clear" w:color="000000" w:fill="F2F2F2"/>
            <w:noWrap/>
            <w:vAlign w:val="bottom"/>
            <w:hideMark/>
          </w:tcPr>
          <w:p w14:paraId="5CC3511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25</w:t>
            </w:r>
          </w:p>
        </w:tc>
        <w:tc>
          <w:tcPr>
            <w:tcW w:w="252" w:type="pct"/>
            <w:tcBorders>
              <w:top w:val="nil"/>
              <w:left w:val="nil"/>
              <w:bottom w:val="single" w:sz="8" w:space="0" w:color="auto"/>
              <w:right w:val="dotted" w:sz="4" w:space="0" w:color="auto"/>
            </w:tcBorders>
            <w:shd w:val="clear" w:color="000000" w:fill="F2F2F2"/>
            <w:noWrap/>
            <w:vAlign w:val="bottom"/>
            <w:hideMark/>
          </w:tcPr>
          <w:p w14:paraId="4C0AF64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w:t>
            </w:r>
          </w:p>
        </w:tc>
        <w:tc>
          <w:tcPr>
            <w:tcW w:w="252" w:type="pct"/>
            <w:tcBorders>
              <w:top w:val="nil"/>
              <w:left w:val="nil"/>
              <w:bottom w:val="single" w:sz="8" w:space="0" w:color="auto"/>
              <w:right w:val="dotted" w:sz="4" w:space="0" w:color="auto"/>
            </w:tcBorders>
            <w:shd w:val="clear" w:color="000000" w:fill="F2F2F2"/>
            <w:noWrap/>
            <w:vAlign w:val="bottom"/>
            <w:hideMark/>
          </w:tcPr>
          <w:p w14:paraId="5B963B6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33</w:t>
            </w:r>
          </w:p>
        </w:tc>
        <w:tc>
          <w:tcPr>
            <w:tcW w:w="252" w:type="pct"/>
            <w:tcBorders>
              <w:top w:val="nil"/>
              <w:left w:val="nil"/>
              <w:bottom w:val="single" w:sz="8" w:space="0" w:color="auto"/>
              <w:right w:val="dotted" w:sz="4" w:space="0" w:color="auto"/>
            </w:tcBorders>
            <w:shd w:val="clear" w:color="000000" w:fill="F2F2F2"/>
            <w:noWrap/>
            <w:vAlign w:val="bottom"/>
            <w:hideMark/>
          </w:tcPr>
          <w:p w14:paraId="2D72FC0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28</w:t>
            </w:r>
          </w:p>
        </w:tc>
        <w:tc>
          <w:tcPr>
            <w:tcW w:w="252" w:type="pct"/>
            <w:tcBorders>
              <w:top w:val="nil"/>
              <w:left w:val="nil"/>
              <w:bottom w:val="single" w:sz="8" w:space="0" w:color="auto"/>
              <w:right w:val="dotted" w:sz="4" w:space="0" w:color="auto"/>
            </w:tcBorders>
            <w:shd w:val="clear" w:color="000000" w:fill="F2F2F2"/>
            <w:noWrap/>
            <w:vAlign w:val="bottom"/>
            <w:hideMark/>
          </w:tcPr>
          <w:p w14:paraId="2F3B3ED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53</w:t>
            </w:r>
          </w:p>
        </w:tc>
        <w:tc>
          <w:tcPr>
            <w:tcW w:w="252" w:type="pct"/>
            <w:tcBorders>
              <w:top w:val="nil"/>
              <w:left w:val="nil"/>
              <w:bottom w:val="single" w:sz="8" w:space="0" w:color="auto"/>
              <w:right w:val="dotted" w:sz="4" w:space="0" w:color="auto"/>
            </w:tcBorders>
            <w:shd w:val="clear" w:color="000000" w:fill="F2F2F2"/>
            <w:noWrap/>
            <w:vAlign w:val="bottom"/>
            <w:hideMark/>
          </w:tcPr>
          <w:p w14:paraId="0EE6444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50</w:t>
            </w:r>
          </w:p>
        </w:tc>
        <w:tc>
          <w:tcPr>
            <w:tcW w:w="252" w:type="pct"/>
            <w:tcBorders>
              <w:top w:val="nil"/>
              <w:left w:val="nil"/>
              <w:bottom w:val="single" w:sz="8" w:space="0" w:color="auto"/>
              <w:right w:val="dotted" w:sz="4" w:space="0" w:color="auto"/>
            </w:tcBorders>
            <w:shd w:val="clear" w:color="000000" w:fill="F2F2F2"/>
            <w:noWrap/>
            <w:vAlign w:val="bottom"/>
            <w:hideMark/>
          </w:tcPr>
          <w:p w14:paraId="32D5210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41</w:t>
            </w:r>
          </w:p>
        </w:tc>
        <w:tc>
          <w:tcPr>
            <w:tcW w:w="252" w:type="pct"/>
            <w:tcBorders>
              <w:top w:val="nil"/>
              <w:left w:val="nil"/>
              <w:bottom w:val="single" w:sz="8" w:space="0" w:color="auto"/>
              <w:right w:val="dotted" w:sz="4" w:space="0" w:color="auto"/>
            </w:tcBorders>
            <w:shd w:val="clear" w:color="000000" w:fill="F2F2F2"/>
            <w:noWrap/>
            <w:vAlign w:val="bottom"/>
            <w:hideMark/>
          </w:tcPr>
          <w:p w14:paraId="35617C0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42</w:t>
            </w:r>
          </w:p>
        </w:tc>
        <w:tc>
          <w:tcPr>
            <w:tcW w:w="422" w:type="pct"/>
            <w:tcBorders>
              <w:top w:val="nil"/>
              <w:left w:val="nil"/>
              <w:bottom w:val="single" w:sz="8" w:space="0" w:color="auto"/>
              <w:right w:val="single" w:sz="8" w:space="0" w:color="auto"/>
            </w:tcBorders>
            <w:shd w:val="clear" w:color="000000" w:fill="808080"/>
            <w:noWrap/>
            <w:vAlign w:val="bottom"/>
            <w:hideMark/>
          </w:tcPr>
          <w:p w14:paraId="77DF50D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w:t>
            </w:r>
          </w:p>
        </w:tc>
      </w:tr>
    </w:tbl>
    <w:p w14:paraId="52B669B3" w14:textId="77777777" w:rsidR="00CF7396" w:rsidRPr="00CF7396" w:rsidRDefault="00CF7396" w:rsidP="00CF7396">
      <w:pPr>
        <w:jc w:val="both"/>
        <w:rPr>
          <w:i/>
          <w:iCs/>
          <w:color w:val="000000" w:themeColor="text1"/>
          <w:lang w:val="es-CR"/>
        </w:rPr>
      </w:pPr>
      <w:r w:rsidRPr="00CF7396">
        <w:rPr>
          <w:b/>
          <w:bCs/>
          <w:i/>
          <w:iCs/>
          <w:color w:val="000000" w:themeColor="text1"/>
          <w:lang w:val="es-CR"/>
        </w:rPr>
        <w:t>Fuente:</w:t>
      </w:r>
      <w:r w:rsidRPr="00CF7396">
        <w:rPr>
          <w:i/>
          <w:iCs/>
          <w:color w:val="000000" w:themeColor="text1"/>
          <w:lang w:val="es-CR"/>
        </w:rPr>
        <w:t xml:space="preserve"> Elaboración propia del Subproceso de Evaluación con datos proporcionadas de la página web del Subproceso de Estadística de la Dirección de Planificación: </w:t>
      </w:r>
      <w:hyperlink r:id="rId8" w:history="1">
        <w:r w:rsidRPr="00CF7396">
          <w:rPr>
            <w:color w:val="000000" w:themeColor="text1"/>
            <w:u w:val="single"/>
            <w:lang w:val="es-CR"/>
          </w:rPr>
          <w:t>Indicadores Institucionales | Dirección de Planificación, Poder Judicial Costa Rica (poder-judicial.go.cr)</w:t>
        </w:r>
      </w:hyperlink>
    </w:p>
    <w:p w14:paraId="3B01D217" w14:textId="77777777" w:rsidR="00CF7396" w:rsidRPr="00CF7396" w:rsidRDefault="00CF7396" w:rsidP="00CF7396">
      <w:pPr>
        <w:jc w:val="both"/>
        <w:rPr>
          <w:i/>
          <w:iCs/>
          <w:color w:val="000000" w:themeColor="text1"/>
          <w:lang w:val="es-CR"/>
        </w:rPr>
      </w:pPr>
    </w:p>
    <w:p w14:paraId="4FE5A2EF"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Según el cuadro anterior y considerando las principales materias con mayor ingreso de asuntos, se obtiene que en el Juzgado Contravencional de </w:t>
      </w:r>
      <w:proofErr w:type="spellStart"/>
      <w:r w:rsidRPr="00CF7396">
        <w:rPr>
          <w:color w:val="000000" w:themeColor="text1"/>
          <w:lang w:val="es-CR"/>
        </w:rPr>
        <w:t>Bribrí</w:t>
      </w:r>
      <w:proofErr w:type="spellEnd"/>
      <w:r w:rsidRPr="00CF7396">
        <w:rPr>
          <w:color w:val="000000" w:themeColor="text1"/>
          <w:lang w:val="es-CR"/>
        </w:rPr>
        <w:t xml:space="preserve">, un 41% de la entrada corresponde a Violencia Doméstica y un 29% a Faltas y Contravenciones; ambas materias se replican en el Juzgado Contravencional de Matina con un 35% en Faltas y Contravenciones y 33% en Violencia Doméstica.  </w:t>
      </w:r>
    </w:p>
    <w:p w14:paraId="37A877DA" w14:textId="77777777" w:rsidR="00CF7396" w:rsidRPr="00CF7396" w:rsidRDefault="00CF7396" w:rsidP="00CF7396">
      <w:pPr>
        <w:ind w:left="851" w:right="851" w:firstLine="709"/>
        <w:jc w:val="both"/>
        <w:rPr>
          <w:color w:val="000000" w:themeColor="text1"/>
          <w:lang w:val="es-CR"/>
        </w:rPr>
      </w:pPr>
    </w:p>
    <w:p w14:paraId="550AB58B"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Comparando la entrada global en el Juzgado Contravencional de Matina obtuvo un mayor porcentaje de entrada con un 53% en relación con el Juzgado Contravencional de </w:t>
      </w:r>
      <w:proofErr w:type="spellStart"/>
      <w:r w:rsidRPr="00CF7396">
        <w:rPr>
          <w:color w:val="000000" w:themeColor="text1"/>
          <w:lang w:val="es-CR"/>
        </w:rPr>
        <w:t>Bribrí</w:t>
      </w:r>
      <w:proofErr w:type="spellEnd"/>
      <w:r w:rsidRPr="00CF7396">
        <w:rPr>
          <w:color w:val="000000" w:themeColor="text1"/>
          <w:lang w:val="es-CR"/>
        </w:rPr>
        <w:t xml:space="preserve"> con un 47%. En el caso del Tribunal de Apelación Civil y Laboral un 57% de los asuntos corresponde a materia Civil y un 43% laboral.</w:t>
      </w:r>
    </w:p>
    <w:p w14:paraId="16E37D0D" w14:textId="77777777" w:rsidR="00CF7396" w:rsidRPr="00CF7396" w:rsidRDefault="00CF7396" w:rsidP="00CF7396">
      <w:pPr>
        <w:ind w:left="851" w:right="851" w:firstLine="709"/>
        <w:jc w:val="both"/>
        <w:rPr>
          <w:color w:val="000000" w:themeColor="text1"/>
          <w:lang w:val="es-CR"/>
        </w:rPr>
      </w:pPr>
    </w:p>
    <w:p w14:paraId="30411040"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Ahora bien, considerando el porcentaje de alejamiento de la entrada según la Matriz de Indicadores de cada oficina, se obtiene que en el Juzgado Contravencional de </w:t>
      </w:r>
      <w:proofErr w:type="spellStart"/>
      <w:r w:rsidRPr="00CF7396">
        <w:rPr>
          <w:color w:val="000000" w:themeColor="text1"/>
          <w:lang w:val="es-CR"/>
        </w:rPr>
        <w:t>Bribrí</w:t>
      </w:r>
      <w:proofErr w:type="spellEnd"/>
      <w:r w:rsidRPr="00CF7396">
        <w:rPr>
          <w:color w:val="000000" w:themeColor="text1"/>
          <w:lang w:val="es-CR"/>
        </w:rPr>
        <w:t xml:space="preserve"> y el Juzgado Contravencional de Matina estuvieron por debajo del rango establecido en -15% y un -10%, respectivamente (entrada global). Por el contrario, el Tribunal de Apelación Civil y Laboral ingresaron más de un 40% del rango de la Matriz de Indicadores. Claro está que la entrada de asuntos es un agente externo y no depende de la oficina.</w:t>
      </w:r>
    </w:p>
    <w:p w14:paraId="4B192763" w14:textId="77777777" w:rsidR="00CF7396" w:rsidRPr="00CF7396" w:rsidRDefault="00CF7396" w:rsidP="00CF7396">
      <w:pPr>
        <w:ind w:left="851" w:right="851" w:firstLine="709"/>
        <w:jc w:val="both"/>
        <w:rPr>
          <w:color w:val="000000" w:themeColor="text1"/>
          <w:lang w:val="es-CR"/>
        </w:rPr>
      </w:pPr>
    </w:p>
    <w:p w14:paraId="1F08ED63"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Sobre las principales materias en asuntos terminados en el Juzgado Contravencional de </w:t>
      </w:r>
      <w:proofErr w:type="spellStart"/>
      <w:r w:rsidRPr="00CF7396">
        <w:rPr>
          <w:color w:val="000000" w:themeColor="text1"/>
          <w:lang w:val="es-CR"/>
        </w:rPr>
        <w:t>Bribrí</w:t>
      </w:r>
      <w:proofErr w:type="spellEnd"/>
      <w:r w:rsidRPr="00CF7396">
        <w:rPr>
          <w:color w:val="000000" w:themeColor="text1"/>
          <w:lang w:val="es-CR"/>
        </w:rPr>
        <w:t xml:space="preserve"> y en el Juzgado Contravencional de Matina fue en cada uno de ellos de un 42% y 34% en materia de Violencia Doméstica y un 29% y 32% en Faltas y Contravenciones, respectivamente, lo cual se complementan con los asuntos que ingresan mensualmente. El Tribunal de Apelación Civil y Laboral terminó el mismo porcentaje indicado en la entrada (57% civil y 43% laboral).</w:t>
      </w:r>
    </w:p>
    <w:p w14:paraId="3487C270" w14:textId="77777777" w:rsidR="00CF7396" w:rsidRPr="00CF7396" w:rsidRDefault="00CF7396" w:rsidP="00CF7396">
      <w:pPr>
        <w:ind w:left="851" w:right="851" w:firstLine="709"/>
        <w:jc w:val="both"/>
        <w:rPr>
          <w:color w:val="000000" w:themeColor="text1"/>
          <w:lang w:val="es-CR"/>
        </w:rPr>
      </w:pPr>
    </w:p>
    <w:p w14:paraId="573B0380"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Respecto al circulante y considerando el total por todas las materias al concluir el 2021, en el Juzgado Contravencional de </w:t>
      </w:r>
      <w:proofErr w:type="spellStart"/>
      <w:r w:rsidRPr="00CF7396">
        <w:rPr>
          <w:color w:val="000000" w:themeColor="text1"/>
          <w:lang w:val="es-CR"/>
        </w:rPr>
        <w:t>Bribrí</w:t>
      </w:r>
      <w:proofErr w:type="spellEnd"/>
      <w:r w:rsidRPr="00CF7396">
        <w:rPr>
          <w:color w:val="000000" w:themeColor="text1"/>
          <w:lang w:val="es-CR"/>
        </w:rPr>
        <w:t xml:space="preserve"> fue de 2320 (1230 corresponde a materia de Pensiones Alimentarias), mientras que en el Juzgado Contravencional de Matina fue de 2423 (1436 Pensiones Alimentarias); teniendo un alejamiento del rango de la Matriz de Indicadores de -4% para ambas oficinas. El Tribunal de Apelación Civil y Laboral terminó el 2021 con un circulante de 98 en materia civil y un 42 en materia laboral, con alejamiento del rango de la Matriz de Indicadores de 9% y -53%, respectivamente.</w:t>
      </w:r>
    </w:p>
    <w:p w14:paraId="0E0223EA" w14:textId="77777777" w:rsidR="00CF7396" w:rsidRPr="00CF7396" w:rsidRDefault="00CF7396" w:rsidP="00CF7396">
      <w:pPr>
        <w:ind w:left="851" w:right="851" w:firstLine="709"/>
        <w:jc w:val="both"/>
        <w:rPr>
          <w:color w:val="000000" w:themeColor="text1"/>
          <w:lang w:val="es-CR"/>
        </w:rPr>
      </w:pPr>
    </w:p>
    <w:p w14:paraId="03287664"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Finalmente, respecto al porcentaje de relación de salida versus la entrada, el Juzgado Contravencional de </w:t>
      </w:r>
      <w:proofErr w:type="spellStart"/>
      <w:r w:rsidRPr="00CF7396">
        <w:rPr>
          <w:color w:val="000000" w:themeColor="text1"/>
          <w:lang w:val="es-CR"/>
        </w:rPr>
        <w:t>Bribrí</w:t>
      </w:r>
      <w:proofErr w:type="spellEnd"/>
      <w:r w:rsidRPr="00CF7396">
        <w:rPr>
          <w:color w:val="000000" w:themeColor="text1"/>
          <w:lang w:val="es-CR"/>
        </w:rPr>
        <w:t xml:space="preserve"> logró un 93%, el Juzgado Contravencional de Matina un 102% y el Tribunal de Apelación Civil y Laboral un 100%.</w:t>
      </w:r>
    </w:p>
    <w:p w14:paraId="42529E83" w14:textId="77777777" w:rsidR="00CF7396" w:rsidRPr="00CF7396" w:rsidRDefault="00CF7396" w:rsidP="00CF7396">
      <w:pPr>
        <w:ind w:left="851" w:right="851" w:firstLine="709"/>
        <w:jc w:val="both"/>
        <w:rPr>
          <w:color w:val="000000" w:themeColor="text1"/>
          <w:lang w:val="es-CR"/>
        </w:rPr>
      </w:pPr>
    </w:p>
    <w:p w14:paraId="7697ECAB" w14:textId="77777777" w:rsidR="00CF7396" w:rsidRPr="00CF7396" w:rsidRDefault="00CF7396" w:rsidP="00CF7396">
      <w:pPr>
        <w:ind w:left="851" w:right="851" w:firstLine="709"/>
        <w:rPr>
          <w:b/>
          <w:bCs/>
          <w:i/>
          <w:iCs/>
          <w:color w:val="000000" w:themeColor="text1"/>
          <w:lang w:val="es-CR"/>
        </w:rPr>
      </w:pPr>
      <w:r w:rsidRPr="00CF7396">
        <w:rPr>
          <w:b/>
          <w:bCs/>
          <w:color w:val="000000" w:themeColor="text1"/>
          <w:lang w:val="es-CR"/>
        </w:rPr>
        <w:t xml:space="preserve">3.2 Audiencias realizadas y no realizadas por despacho </w:t>
      </w:r>
    </w:p>
    <w:p w14:paraId="3D5F4E3D" w14:textId="77777777" w:rsidR="00CF7396" w:rsidRPr="00CF7396" w:rsidRDefault="00CF7396" w:rsidP="00CF7396">
      <w:pPr>
        <w:autoSpaceDE w:val="0"/>
        <w:autoSpaceDN w:val="0"/>
        <w:adjustRightInd w:val="0"/>
        <w:ind w:left="851" w:right="851" w:firstLine="709"/>
        <w:jc w:val="both"/>
        <w:rPr>
          <w:b/>
          <w:bCs/>
          <w:color w:val="000000" w:themeColor="text1"/>
          <w:lang w:val="es-CR" w:eastAsia="es-CR"/>
        </w:rPr>
      </w:pPr>
    </w:p>
    <w:p w14:paraId="0C494637" w14:textId="77777777" w:rsidR="00CF7396" w:rsidRPr="00CF7396" w:rsidRDefault="00CF7396" w:rsidP="00CF7396">
      <w:pPr>
        <w:ind w:left="851" w:right="851" w:firstLine="709"/>
        <w:jc w:val="both"/>
        <w:rPr>
          <w:color w:val="000000" w:themeColor="text1"/>
          <w:lang w:val="es-CR" w:eastAsia="zh-CN"/>
        </w:rPr>
      </w:pPr>
      <w:r w:rsidRPr="00CF7396">
        <w:rPr>
          <w:rFonts w:eastAsia="Calibri"/>
          <w:color w:val="000000" w:themeColor="text1"/>
          <w:lang w:val="es-CR" w:eastAsia="zh-CN"/>
        </w:rPr>
        <w:t>Se considera importante hacer mención sobre la cantidad de audiencias realizadas y no realizadas por parte de los despachos del Modelo de Seguimiento y Sostenibilidad en el Primer Circuito Judicial de la Zona Atlántica y Periférica y el porcentaje de efectividad de estas; tal como se muestra a continuación:</w:t>
      </w:r>
    </w:p>
    <w:p w14:paraId="72176D77" w14:textId="77777777" w:rsidR="00CF7396" w:rsidRPr="00CF7396" w:rsidRDefault="00CF7396" w:rsidP="00CF7396">
      <w:pPr>
        <w:rPr>
          <w:b/>
          <w:bCs/>
          <w:color w:val="000000" w:themeColor="text1"/>
          <w:lang w:val="es-CR" w:eastAsia="es-CR"/>
        </w:rPr>
      </w:pPr>
    </w:p>
    <w:p w14:paraId="07CF64FF" w14:textId="77777777" w:rsidR="00CF7396" w:rsidRPr="00CF7396" w:rsidRDefault="00CF7396" w:rsidP="00CF7396">
      <w:pPr>
        <w:autoSpaceDE w:val="0"/>
        <w:autoSpaceDN w:val="0"/>
        <w:adjustRightInd w:val="0"/>
        <w:jc w:val="both"/>
        <w:rPr>
          <w:b/>
          <w:bCs/>
          <w:color w:val="000000" w:themeColor="text1"/>
          <w:lang w:val="es-CR" w:eastAsia="es-CR"/>
        </w:rPr>
      </w:pPr>
    </w:p>
    <w:p w14:paraId="3A623A5E" w14:textId="77777777" w:rsidR="00CF7396" w:rsidRPr="00CF7396" w:rsidRDefault="00CF7396" w:rsidP="00CF7396">
      <w:pPr>
        <w:jc w:val="center"/>
        <w:rPr>
          <w:i/>
          <w:iCs/>
          <w:color w:val="000000" w:themeColor="text1"/>
          <w:lang w:val="es-CR" w:eastAsia="zh-CN"/>
        </w:rPr>
      </w:pPr>
      <w:r w:rsidRPr="00CF7396">
        <w:rPr>
          <w:b/>
          <w:bCs/>
          <w:color w:val="000000" w:themeColor="text1"/>
          <w:lang w:val="es-CR" w:eastAsia="zh-CN"/>
        </w:rPr>
        <w:t>Cuadro 10</w:t>
      </w:r>
    </w:p>
    <w:p w14:paraId="6565F6AC" w14:textId="77777777" w:rsidR="00CF7396" w:rsidRPr="00CF7396" w:rsidRDefault="00CF7396" w:rsidP="00CF7396">
      <w:pPr>
        <w:jc w:val="center"/>
        <w:rPr>
          <w:b/>
          <w:bCs/>
          <w:i/>
          <w:iCs/>
          <w:color w:val="000000" w:themeColor="text1"/>
          <w:lang w:val="es-CR"/>
        </w:rPr>
      </w:pPr>
      <w:r w:rsidRPr="00CF7396">
        <w:rPr>
          <w:b/>
          <w:bCs/>
          <w:i/>
          <w:iCs/>
          <w:color w:val="000000" w:themeColor="text1"/>
          <w:lang w:val="es-CR"/>
        </w:rPr>
        <w:t xml:space="preserve">Audiencias realizadas y no realizadas por despacho </w:t>
      </w:r>
    </w:p>
    <w:p w14:paraId="13B50C1D" w14:textId="77777777" w:rsidR="00CF7396" w:rsidRPr="00CF7396" w:rsidRDefault="00CF7396" w:rsidP="00CF7396">
      <w:pPr>
        <w:jc w:val="center"/>
        <w:rPr>
          <w:b/>
          <w:bCs/>
          <w:i/>
          <w:iCs/>
          <w:color w:val="000000" w:themeColor="text1"/>
          <w:lang w:val="es-CR"/>
        </w:rPr>
      </w:pPr>
      <w:r w:rsidRPr="00CF7396">
        <w:rPr>
          <w:b/>
          <w:bCs/>
          <w:i/>
          <w:iCs/>
          <w:color w:val="000000" w:themeColor="text1"/>
          <w:lang w:val="es-CR"/>
        </w:rPr>
        <w:t>Primer Circuito Judicial de la Zona Atlántica</w:t>
      </w:r>
    </w:p>
    <w:p w14:paraId="239E7008" w14:textId="77777777" w:rsidR="00CF7396" w:rsidRPr="00CF7396" w:rsidRDefault="00CF7396" w:rsidP="00CF7396">
      <w:pPr>
        <w:jc w:val="center"/>
        <w:rPr>
          <w:b/>
          <w:bCs/>
          <w:i/>
          <w:iCs/>
          <w:color w:val="000000" w:themeColor="text1"/>
          <w:lang w:val="es-CR"/>
        </w:rPr>
      </w:pPr>
      <w:r w:rsidRPr="00CF7396">
        <w:rPr>
          <w:b/>
          <w:bCs/>
          <w:i/>
          <w:iCs/>
          <w:color w:val="000000" w:themeColor="text1"/>
          <w:lang w:val="es-CR"/>
        </w:rPr>
        <w:t>Período 2021</w:t>
      </w:r>
    </w:p>
    <w:tbl>
      <w:tblPr>
        <w:tblW w:w="10637" w:type="dxa"/>
        <w:tblInd w:w="-85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6238"/>
        <w:gridCol w:w="1559"/>
        <w:gridCol w:w="1276"/>
        <w:gridCol w:w="1564"/>
      </w:tblGrid>
      <w:tr w:rsidR="00CF7396" w:rsidRPr="00CF7396" w14:paraId="632C7645" w14:textId="77777777" w:rsidTr="00AF369B">
        <w:trPr>
          <w:trHeight w:val="543"/>
          <w:tblHeader/>
        </w:trPr>
        <w:tc>
          <w:tcPr>
            <w:tcW w:w="6238" w:type="dxa"/>
            <w:shd w:val="clear" w:color="000000" w:fill="203764"/>
            <w:vAlign w:val="center"/>
            <w:hideMark/>
          </w:tcPr>
          <w:p w14:paraId="103C9EE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Nombre del despacho</w:t>
            </w:r>
          </w:p>
        </w:tc>
        <w:tc>
          <w:tcPr>
            <w:tcW w:w="1559" w:type="dxa"/>
            <w:shd w:val="clear" w:color="000000" w:fill="203764"/>
            <w:vAlign w:val="center"/>
            <w:hideMark/>
          </w:tcPr>
          <w:p w14:paraId="00A9B08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Programadas</w:t>
            </w:r>
          </w:p>
        </w:tc>
        <w:tc>
          <w:tcPr>
            <w:tcW w:w="1276" w:type="dxa"/>
            <w:shd w:val="clear" w:color="000000" w:fill="203764"/>
            <w:vAlign w:val="center"/>
            <w:hideMark/>
          </w:tcPr>
          <w:p w14:paraId="08E6215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Realizadas</w:t>
            </w:r>
          </w:p>
        </w:tc>
        <w:tc>
          <w:tcPr>
            <w:tcW w:w="1564" w:type="dxa"/>
            <w:shd w:val="clear" w:color="000000" w:fill="203764"/>
            <w:vAlign w:val="center"/>
            <w:hideMark/>
          </w:tcPr>
          <w:p w14:paraId="7F9A72A1"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 de efectividad</w:t>
            </w:r>
          </w:p>
        </w:tc>
      </w:tr>
      <w:tr w:rsidR="00CF7396" w:rsidRPr="00CF7396" w14:paraId="11D761EB" w14:textId="77777777" w:rsidTr="00AF369B">
        <w:trPr>
          <w:trHeight w:val="330"/>
        </w:trPr>
        <w:tc>
          <w:tcPr>
            <w:tcW w:w="6238" w:type="dxa"/>
            <w:shd w:val="clear" w:color="D9E1F2" w:fill="D9E1F2"/>
            <w:noWrap/>
            <w:vAlign w:val="bottom"/>
            <w:hideMark/>
          </w:tcPr>
          <w:p w14:paraId="3BC22D54" w14:textId="77777777" w:rsidR="00CF7396" w:rsidRPr="00CF7396" w:rsidRDefault="00CF7396" w:rsidP="00CF7396">
            <w:pPr>
              <w:rPr>
                <w:color w:val="000000" w:themeColor="text1"/>
                <w:lang w:val="es-CR" w:eastAsia="es-CR"/>
              </w:rPr>
            </w:pPr>
            <w:r w:rsidRPr="00CF7396">
              <w:rPr>
                <w:color w:val="000000" w:themeColor="text1"/>
                <w:lang w:val="es-CR" w:eastAsia="es-CR"/>
              </w:rPr>
              <w:t>Juzgado Civil del ICJ Zona Atlántica</w:t>
            </w:r>
          </w:p>
        </w:tc>
        <w:tc>
          <w:tcPr>
            <w:tcW w:w="1559" w:type="dxa"/>
            <w:shd w:val="clear" w:color="D9E1F2" w:fill="D9E1F2"/>
            <w:noWrap/>
            <w:vAlign w:val="bottom"/>
            <w:hideMark/>
          </w:tcPr>
          <w:p w14:paraId="2351B77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164</w:t>
            </w:r>
          </w:p>
        </w:tc>
        <w:tc>
          <w:tcPr>
            <w:tcW w:w="1276" w:type="dxa"/>
            <w:shd w:val="clear" w:color="D9E1F2" w:fill="D9E1F2"/>
            <w:noWrap/>
            <w:vAlign w:val="bottom"/>
            <w:hideMark/>
          </w:tcPr>
          <w:p w14:paraId="10F778A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120</w:t>
            </w:r>
          </w:p>
        </w:tc>
        <w:tc>
          <w:tcPr>
            <w:tcW w:w="1564" w:type="dxa"/>
            <w:shd w:val="clear" w:color="D9E1F2" w:fill="D9E1F2"/>
            <w:noWrap/>
            <w:vAlign w:val="bottom"/>
            <w:hideMark/>
          </w:tcPr>
          <w:p w14:paraId="00DBF87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73%</w:t>
            </w:r>
          </w:p>
        </w:tc>
      </w:tr>
      <w:tr w:rsidR="00CF7396" w:rsidRPr="00CF7396" w14:paraId="278B2C09" w14:textId="77777777" w:rsidTr="00AF369B">
        <w:trPr>
          <w:trHeight w:val="330"/>
        </w:trPr>
        <w:tc>
          <w:tcPr>
            <w:tcW w:w="6238" w:type="dxa"/>
            <w:shd w:val="clear" w:color="auto" w:fill="auto"/>
            <w:noWrap/>
            <w:vAlign w:val="bottom"/>
            <w:hideMark/>
          </w:tcPr>
          <w:p w14:paraId="0ED43DCE" w14:textId="77777777" w:rsidR="00CF7396" w:rsidRPr="00CF7396" w:rsidRDefault="00CF7396" w:rsidP="00CF7396">
            <w:pPr>
              <w:rPr>
                <w:color w:val="000000" w:themeColor="text1"/>
                <w:lang w:val="es-CR" w:eastAsia="es-CR"/>
              </w:rPr>
            </w:pPr>
            <w:r w:rsidRPr="00CF7396">
              <w:rPr>
                <w:color w:val="000000" w:themeColor="text1"/>
                <w:lang w:val="es-CR" w:eastAsia="es-CR"/>
              </w:rPr>
              <w:t xml:space="preserve">Juzgado de Familia del ICJ Zona Atlántica </w:t>
            </w:r>
            <w:r w:rsidRPr="00CF7396">
              <w:rPr>
                <w:color w:val="000000" w:themeColor="text1"/>
                <w:vertAlign w:val="superscript"/>
                <w:lang w:val="es-CR" w:eastAsia="es-CR"/>
              </w:rPr>
              <w:t>(2)</w:t>
            </w:r>
          </w:p>
        </w:tc>
        <w:tc>
          <w:tcPr>
            <w:tcW w:w="1559" w:type="dxa"/>
            <w:shd w:val="clear" w:color="auto" w:fill="auto"/>
            <w:noWrap/>
            <w:vAlign w:val="bottom"/>
            <w:hideMark/>
          </w:tcPr>
          <w:p w14:paraId="7F53C71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662</w:t>
            </w:r>
          </w:p>
        </w:tc>
        <w:tc>
          <w:tcPr>
            <w:tcW w:w="1276" w:type="dxa"/>
            <w:shd w:val="clear" w:color="auto" w:fill="auto"/>
            <w:noWrap/>
            <w:vAlign w:val="bottom"/>
            <w:hideMark/>
          </w:tcPr>
          <w:p w14:paraId="4C0A795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411</w:t>
            </w:r>
          </w:p>
        </w:tc>
        <w:tc>
          <w:tcPr>
            <w:tcW w:w="1564" w:type="dxa"/>
            <w:shd w:val="clear" w:color="auto" w:fill="auto"/>
            <w:noWrap/>
            <w:vAlign w:val="bottom"/>
            <w:hideMark/>
          </w:tcPr>
          <w:p w14:paraId="48DED48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62%</w:t>
            </w:r>
          </w:p>
        </w:tc>
      </w:tr>
      <w:tr w:rsidR="00CF7396" w:rsidRPr="00CF7396" w14:paraId="3140D320" w14:textId="77777777" w:rsidTr="00AF369B">
        <w:trPr>
          <w:trHeight w:val="330"/>
        </w:trPr>
        <w:tc>
          <w:tcPr>
            <w:tcW w:w="6238" w:type="dxa"/>
            <w:shd w:val="clear" w:color="D9E1F2" w:fill="D9E1F2"/>
            <w:noWrap/>
            <w:vAlign w:val="bottom"/>
            <w:hideMark/>
          </w:tcPr>
          <w:p w14:paraId="21252093" w14:textId="77777777" w:rsidR="00CF7396" w:rsidRPr="00CF7396" w:rsidRDefault="00CF7396" w:rsidP="00CF7396">
            <w:pPr>
              <w:rPr>
                <w:color w:val="000000" w:themeColor="text1"/>
                <w:lang w:val="es-CR" w:eastAsia="es-CR"/>
              </w:rPr>
            </w:pPr>
            <w:r w:rsidRPr="00CF7396">
              <w:rPr>
                <w:color w:val="000000" w:themeColor="text1"/>
                <w:lang w:val="es-CR" w:eastAsia="es-CR"/>
              </w:rPr>
              <w:t xml:space="preserve">Juzgado de Pensiones Alimentarias del ICJ Zona Atlántica </w:t>
            </w:r>
            <w:r w:rsidRPr="00CF7396">
              <w:rPr>
                <w:color w:val="000000" w:themeColor="text1"/>
                <w:vertAlign w:val="superscript"/>
                <w:lang w:val="es-CR" w:eastAsia="es-CR"/>
              </w:rPr>
              <w:t>(2)</w:t>
            </w:r>
          </w:p>
        </w:tc>
        <w:tc>
          <w:tcPr>
            <w:tcW w:w="1559" w:type="dxa"/>
            <w:shd w:val="clear" w:color="D9E1F2" w:fill="D9E1F2"/>
            <w:noWrap/>
            <w:vAlign w:val="bottom"/>
            <w:hideMark/>
          </w:tcPr>
          <w:p w14:paraId="285F6FE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1104</w:t>
            </w:r>
          </w:p>
        </w:tc>
        <w:tc>
          <w:tcPr>
            <w:tcW w:w="1276" w:type="dxa"/>
            <w:shd w:val="clear" w:color="D9E1F2" w:fill="D9E1F2"/>
            <w:noWrap/>
            <w:vAlign w:val="bottom"/>
            <w:hideMark/>
          </w:tcPr>
          <w:p w14:paraId="7055F71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682</w:t>
            </w:r>
          </w:p>
        </w:tc>
        <w:tc>
          <w:tcPr>
            <w:tcW w:w="1564" w:type="dxa"/>
            <w:shd w:val="clear" w:color="D9E1F2" w:fill="D9E1F2"/>
            <w:noWrap/>
            <w:vAlign w:val="bottom"/>
            <w:hideMark/>
          </w:tcPr>
          <w:p w14:paraId="2CF43FD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62%</w:t>
            </w:r>
          </w:p>
        </w:tc>
      </w:tr>
      <w:tr w:rsidR="00CF7396" w:rsidRPr="00CF7396" w14:paraId="6CAE86EE" w14:textId="77777777" w:rsidTr="00AF369B">
        <w:trPr>
          <w:trHeight w:val="330"/>
        </w:trPr>
        <w:tc>
          <w:tcPr>
            <w:tcW w:w="6238" w:type="dxa"/>
            <w:shd w:val="clear" w:color="auto" w:fill="auto"/>
            <w:noWrap/>
            <w:vAlign w:val="bottom"/>
            <w:hideMark/>
          </w:tcPr>
          <w:p w14:paraId="1EF02DD2" w14:textId="77777777" w:rsidR="00CF7396" w:rsidRPr="00CF7396" w:rsidRDefault="00CF7396" w:rsidP="00CF7396">
            <w:pPr>
              <w:rPr>
                <w:color w:val="000000" w:themeColor="text1"/>
                <w:lang w:val="es-CR" w:eastAsia="es-CR"/>
              </w:rPr>
            </w:pPr>
            <w:r w:rsidRPr="00CF7396">
              <w:rPr>
                <w:color w:val="000000" w:themeColor="text1"/>
                <w:lang w:val="es-CR" w:eastAsia="es-CR"/>
              </w:rPr>
              <w:t xml:space="preserve">Juzgado Contravencional de </w:t>
            </w:r>
            <w:proofErr w:type="spellStart"/>
            <w:r w:rsidRPr="00CF7396">
              <w:rPr>
                <w:color w:val="000000" w:themeColor="text1"/>
                <w:lang w:val="es-CR" w:eastAsia="es-CR"/>
              </w:rPr>
              <w:t>Bribrí</w:t>
            </w:r>
            <w:proofErr w:type="spellEnd"/>
            <w:r w:rsidRPr="00CF7396">
              <w:rPr>
                <w:color w:val="000000" w:themeColor="text1"/>
                <w:lang w:val="es-CR" w:eastAsia="es-CR"/>
              </w:rPr>
              <w:t xml:space="preserve"> </w:t>
            </w:r>
            <w:r w:rsidRPr="00CF7396">
              <w:rPr>
                <w:color w:val="000000" w:themeColor="text1"/>
                <w:vertAlign w:val="superscript"/>
                <w:lang w:val="es-CR" w:eastAsia="es-CR"/>
              </w:rPr>
              <w:t>(1) (2)</w:t>
            </w:r>
          </w:p>
        </w:tc>
        <w:tc>
          <w:tcPr>
            <w:tcW w:w="1559" w:type="dxa"/>
            <w:shd w:val="clear" w:color="auto" w:fill="auto"/>
            <w:noWrap/>
            <w:vAlign w:val="bottom"/>
            <w:hideMark/>
          </w:tcPr>
          <w:p w14:paraId="7F1A97C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836</w:t>
            </w:r>
          </w:p>
        </w:tc>
        <w:tc>
          <w:tcPr>
            <w:tcW w:w="1276" w:type="dxa"/>
            <w:shd w:val="clear" w:color="auto" w:fill="auto"/>
            <w:noWrap/>
            <w:vAlign w:val="bottom"/>
            <w:hideMark/>
          </w:tcPr>
          <w:p w14:paraId="3A3E440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485</w:t>
            </w:r>
          </w:p>
        </w:tc>
        <w:tc>
          <w:tcPr>
            <w:tcW w:w="1564" w:type="dxa"/>
            <w:shd w:val="clear" w:color="auto" w:fill="auto"/>
            <w:noWrap/>
            <w:vAlign w:val="bottom"/>
            <w:hideMark/>
          </w:tcPr>
          <w:p w14:paraId="01C48EF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58%</w:t>
            </w:r>
          </w:p>
        </w:tc>
      </w:tr>
      <w:tr w:rsidR="00CF7396" w:rsidRPr="00CF7396" w14:paraId="30D83CA1" w14:textId="77777777" w:rsidTr="00AF369B">
        <w:trPr>
          <w:trHeight w:val="330"/>
        </w:trPr>
        <w:tc>
          <w:tcPr>
            <w:tcW w:w="6238" w:type="dxa"/>
            <w:shd w:val="clear" w:color="D9E1F2" w:fill="D9E1F2"/>
            <w:noWrap/>
            <w:vAlign w:val="bottom"/>
            <w:hideMark/>
          </w:tcPr>
          <w:p w14:paraId="7E7B3E70" w14:textId="77777777" w:rsidR="00CF7396" w:rsidRPr="00CF7396" w:rsidRDefault="00CF7396" w:rsidP="00CF7396">
            <w:pPr>
              <w:rPr>
                <w:color w:val="000000" w:themeColor="text1"/>
                <w:lang w:val="es-CR" w:eastAsia="es-CR"/>
              </w:rPr>
            </w:pPr>
            <w:r w:rsidRPr="00CF7396">
              <w:rPr>
                <w:color w:val="000000" w:themeColor="text1"/>
                <w:lang w:val="es-CR" w:eastAsia="es-CR"/>
              </w:rPr>
              <w:t xml:space="preserve">Juzgado Contravencional de Matina </w:t>
            </w:r>
            <w:r w:rsidRPr="00CF7396">
              <w:rPr>
                <w:color w:val="000000" w:themeColor="text1"/>
                <w:vertAlign w:val="superscript"/>
                <w:lang w:val="es-CR" w:eastAsia="es-CR"/>
              </w:rPr>
              <w:t>(1) (2)</w:t>
            </w:r>
          </w:p>
        </w:tc>
        <w:tc>
          <w:tcPr>
            <w:tcW w:w="1559" w:type="dxa"/>
            <w:shd w:val="clear" w:color="D9E1F2" w:fill="D9E1F2"/>
            <w:noWrap/>
            <w:vAlign w:val="bottom"/>
            <w:hideMark/>
          </w:tcPr>
          <w:p w14:paraId="591747B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700</w:t>
            </w:r>
          </w:p>
        </w:tc>
        <w:tc>
          <w:tcPr>
            <w:tcW w:w="1276" w:type="dxa"/>
            <w:shd w:val="clear" w:color="D9E1F2" w:fill="D9E1F2"/>
            <w:noWrap/>
            <w:vAlign w:val="bottom"/>
            <w:hideMark/>
          </w:tcPr>
          <w:p w14:paraId="6D265EF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383</w:t>
            </w:r>
          </w:p>
        </w:tc>
        <w:tc>
          <w:tcPr>
            <w:tcW w:w="1564" w:type="dxa"/>
            <w:shd w:val="clear" w:color="D9E1F2" w:fill="D9E1F2"/>
            <w:noWrap/>
            <w:vAlign w:val="bottom"/>
            <w:hideMark/>
          </w:tcPr>
          <w:p w14:paraId="7416FC4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55%</w:t>
            </w:r>
          </w:p>
        </w:tc>
      </w:tr>
      <w:tr w:rsidR="00CF7396" w:rsidRPr="00CF7396" w14:paraId="45BB731C" w14:textId="77777777" w:rsidTr="00AF369B">
        <w:trPr>
          <w:trHeight w:val="330"/>
        </w:trPr>
        <w:tc>
          <w:tcPr>
            <w:tcW w:w="6238" w:type="dxa"/>
            <w:shd w:val="clear" w:color="auto" w:fill="auto"/>
            <w:noWrap/>
            <w:vAlign w:val="bottom"/>
            <w:hideMark/>
          </w:tcPr>
          <w:p w14:paraId="729ABF6E" w14:textId="77777777" w:rsidR="00CF7396" w:rsidRPr="00CF7396" w:rsidRDefault="00CF7396" w:rsidP="00CF7396">
            <w:pPr>
              <w:rPr>
                <w:color w:val="000000" w:themeColor="text1"/>
                <w:lang w:val="es-CR" w:eastAsia="es-CR"/>
              </w:rPr>
            </w:pPr>
            <w:r w:rsidRPr="00CF7396">
              <w:rPr>
                <w:color w:val="000000" w:themeColor="text1"/>
                <w:lang w:val="es-CR" w:eastAsia="es-CR"/>
              </w:rPr>
              <w:t>Tribunal Penal del ICJ Zona Atlántica</w:t>
            </w:r>
          </w:p>
        </w:tc>
        <w:tc>
          <w:tcPr>
            <w:tcW w:w="1559" w:type="dxa"/>
            <w:shd w:val="clear" w:color="auto" w:fill="auto"/>
            <w:noWrap/>
            <w:vAlign w:val="bottom"/>
            <w:hideMark/>
          </w:tcPr>
          <w:p w14:paraId="35AEE21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1492</w:t>
            </w:r>
          </w:p>
        </w:tc>
        <w:tc>
          <w:tcPr>
            <w:tcW w:w="1276" w:type="dxa"/>
            <w:shd w:val="clear" w:color="auto" w:fill="auto"/>
            <w:noWrap/>
            <w:vAlign w:val="bottom"/>
            <w:hideMark/>
          </w:tcPr>
          <w:p w14:paraId="11243B0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828</w:t>
            </w:r>
          </w:p>
        </w:tc>
        <w:tc>
          <w:tcPr>
            <w:tcW w:w="1564" w:type="dxa"/>
            <w:shd w:val="clear" w:color="auto" w:fill="auto"/>
            <w:noWrap/>
            <w:vAlign w:val="bottom"/>
            <w:hideMark/>
          </w:tcPr>
          <w:p w14:paraId="35F9A85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55%</w:t>
            </w:r>
          </w:p>
        </w:tc>
      </w:tr>
      <w:tr w:rsidR="00CF7396" w:rsidRPr="00CF7396" w14:paraId="3530E9CD" w14:textId="77777777" w:rsidTr="00AF369B">
        <w:trPr>
          <w:trHeight w:val="330"/>
        </w:trPr>
        <w:tc>
          <w:tcPr>
            <w:tcW w:w="6238" w:type="dxa"/>
            <w:shd w:val="clear" w:color="D9E1F2" w:fill="D9E1F2"/>
            <w:noWrap/>
            <w:vAlign w:val="bottom"/>
            <w:hideMark/>
          </w:tcPr>
          <w:p w14:paraId="433BD5C9" w14:textId="77777777" w:rsidR="00CF7396" w:rsidRPr="00CF7396" w:rsidRDefault="00CF7396" w:rsidP="00CF7396">
            <w:pPr>
              <w:rPr>
                <w:color w:val="000000" w:themeColor="text1"/>
                <w:lang w:val="es-CR" w:eastAsia="es-CR"/>
              </w:rPr>
            </w:pPr>
            <w:r w:rsidRPr="00CF7396">
              <w:rPr>
                <w:color w:val="000000" w:themeColor="text1"/>
                <w:lang w:val="es-CR" w:eastAsia="es-CR"/>
              </w:rPr>
              <w:t xml:space="preserve">Juzgado de Trabajo del ICJ Zona Atlántica </w:t>
            </w:r>
            <w:r w:rsidRPr="00CF7396">
              <w:rPr>
                <w:color w:val="000000" w:themeColor="text1"/>
                <w:vertAlign w:val="superscript"/>
                <w:lang w:val="es-CR" w:eastAsia="es-CR"/>
              </w:rPr>
              <w:t>(1)</w:t>
            </w:r>
          </w:p>
        </w:tc>
        <w:tc>
          <w:tcPr>
            <w:tcW w:w="1559" w:type="dxa"/>
            <w:shd w:val="clear" w:color="D9E1F2" w:fill="D9E1F2"/>
            <w:noWrap/>
            <w:vAlign w:val="bottom"/>
            <w:hideMark/>
          </w:tcPr>
          <w:p w14:paraId="698546F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1223</w:t>
            </w:r>
          </w:p>
        </w:tc>
        <w:tc>
          <w:tcPr>
            <w:tcW w:w="1276" w:type="dxa"/>
            <w:shd w:val="clear" w:color="D9E1F2" w:fill="D9E1F2"/>
            <w:noWrap/>
            <w:vAlign w:val="bottom"/>
            <w:hideMark/>
          </w:tcPr>
          <w:p w14:paraId="3900BF2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620</w:t>
            </w:r>
          </w:p>
        </w:tc>
        <w:tc>
          <w:tcPr>
            <w:tcW w:w="1564" w:type="dxa"/>
            <w:shd w:val="clear" w:color="D9E1F2" w:fill="D9E1F2"/>
            <w:noWrap/>
            <w:vAlign w:val="bottom"/>
            <w:hideMark/>
          </w:tcPr>
          <w:p w14:paraId="6CB34A2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51%</w:t>
            </w:r>
          </w:p>
        </w:tc>
      </w:tr>
      <w:tr w:rsidR="00CF7396" w:rsidRPr="00CF7396" w14:paraId="34C3B2BB" w14:textId="77777777" w:rsidTr="00AF369B">
        <w:trPr>
          <w:trHeight w:val="330"/>
        </w:trPr>
        <w:tc>
          <w:tcPr>
            <w:tcW w:w="6238" w:type="dxa"/>
            <w:shd w:val="clear" w:color="auto" w:fill="auto"/>
            <w:noWrap/>
            <w:vAlign w:val="bottom"/>
            <w:hideMark/>
          </w:tcPr>
          <w:p w14:paraId="30862E52" w14:textId="77777777" w:rsidR="00CF7396" w:rsidRPr="00CF7396" w:rsidRDefault="00CF7396" w:rsidP="00CF7396">
            <w:pPr>
              <w:rPr>
                <w:color w:val="000000" w:themeColor="text1"/>
                <w:lang w:val="es-CR" w:eastAsia="es-CR"/>
              </w:rPr>
            </w:pPr>
            <w:r w:rsidRPr="00CF7396">
              <w:rPr>
                <w:color w:val="000000" w:themeColor="text1"/>
                <w:lang w:val="es-CR" w:eastAsia="es-CR"/>
              </w:rPr>
              <w:t>Tribunal Colegiado de Primer Instancia Civil del ICJ Zona Atlántica</w:t>
            </w:r>
          </w:p>
        </w:tc>
        <w:tc>
          <w:tcPr>
            <w:tcW w:w="1559" w:type="dxa"/>
            <w:shd w:val="clear" w:color="auto" w:fill="auto"/>
            <w:noWrap/>
            <w:vAlign w:val="bottom"/>
            <w:hideMark/>
          </w:tcPr>
          <w:p w14:paraId="26ABD94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156</w:t>
            </w:r>
          </w:p>
        </w:tc>
        <w:tc>
          <w:tcPr>
            <w:tcW w:w="1276" w:type="dxa"/>
            <w:shd w:val="clear" w:color="auto" w:fill="auto"/>
            <w:noWrap/>
            <w:vAlign w:val="bottom"/>
            <w:hideMark/>
          </w:tcPr>
          <w:p w14:paraId="29BA67C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69</w:t>
            </w:r>
          </w:p>
        </w:tc>
        <w:tc>
          <w:tcPr>
            <w:tcW w:w="1564" w:type="dxa"/>
            <w:shd w:val="clear" w:color="auto" w:fill="auto"/>
            <w:noWrap/>
            <w:vAlign w:val="bottom"/>
            <w:hideMark/>
          </w:tcPr>
          <w:p w14:paraId="6F2D37D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44%</w:t>
            </w:r>
          </w:p>
        </w:tc>
      </w:tr>
      <w:tr w:rsidR="00CF7396" w:rsidRPr="00CF7396" w14:paraId="7487D50E" w14:textId="77777777" w:rsidTr="00AF369B">
        <w:trPr>
          <w:trHeight w:val="330"/>
        </w:trPr>
        <w:tc>
          <w:tcPr>
            <w:tcW w:w="6238" w:type="dxa"/>
            <w:shd w:val="clear" w:color="D9E1F2" w:fill="D9E1F2"/>
            <w:noWrap/>
            <w:vAlign w:val="bottom"/>
            <w:hideMark/>
          </w:tcPr>
          <w:p w14:paraId="52AC8D5E" w14:textId="77777777" w:rsidR="00CF7396" w:rsidRPr="00CF7396" w:rsidRDefault="00CF7396" w:rsidP="00CF7396">
            <w:pPr>
              <w:rPr>
                <w:color w:val="000000" w:themeColor="text1"/>
                <w:lang w:val="es-CR" w:eastAsia="es-CR"/>
              </w:rPr>
            </w:pPr>
            <w:r w:rsidRPr="00CF7396">
              <w:rPr>
                <w:color w:val="000000" w:themeColor="text1"/>
                <w:lang w:val="es-CR" w:eastAsia="es-CR"/>
              </w:rPr>
              <w:t>Juzgado de Cobro del ICJ Zona Atlántica</w:t>
            </w:r>
          </w:p>
        </w:tc>
        <w:tc>
          <w:tcPr>
            <w:tcW w:w="1559" w:type="dxa"/>
            <w:shd w:val="clear" w:color="D9E1F2" w:fill="D9E1F2"/>
            <w:noWrap/>
            <w:vAlign w:val="bottom"/>
            <w:hideMark/>
          </w:tcPr>
          <w:p w14:paraId="40B83C6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13</w:t>
            </w:r>
          </w:p>
        </w:tc>
        <w:tc>
          <w:tcPr>
            <w:tcW w:w="1276" w:type="dxa"/>
            <w:shd w:val="clear" w:color="D9E1F2" w:fill="D9E1F2"/>
            <w:noWrap/>
            <w:vAlign w:val="bottom"/>
            <w:hideMark/>
          </w:tcPr>
          <w:p w14:paraId="76F1C21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w:t>
            </w:r>
          </w:p>
        </w:tc>
        <w:tc>
          <w:tcPr>
            <w:tcW w:w="1564" w:type="dxa"/>
            <w:shd w:val="clear" w:color="D9E1F2" w:fill="D9E1F2"/>
            <w:noWrap/>
            <w:vAlign w:val="bottom"/>
            <w:hideMark/>
          </w:tcPr>
          <w:p w14:paraId="33AFA63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31%</w:t>
            </w:r>
          </w:p>
        </w:tc>
      </w:tr>
      <w:tr w:rsidR="00CF7396" w:rsidRPr="00CF7396" w14:paraId="13FC2195" w14:textId="77777777" w:rsidTr="00AF369B">
        <w:trPr>
          <w:trHeight w:val="330"/>
        </w:trPr>
        <w:tc>
          <w:tcPr>
            <w:tcW w:w="6238" w:type="dxa"/>
            <w:shd w:val="clear" w:color="auto" w:fill="auto"/>
            <w:noWrap/>
            <w:vAlign w:val="bottom"/>
            <w:hideMark/>
          </w:tcPr>
          <w:p w14:paraId="1A0574D2" w14:textId="77777777" w:rsidR="00CF7396" w:rsidRPr="00CF7396" w:rsidRDefault="00CF7396" w:rsidP="00CF7396">
            <w:pPr>
              <w:rPr>
                <w:color w:val="000000" w:themeColor="text1"/>
                <w:lang w:val="es-CR" w:eastAsia="es-CR"/>
              </w:rPr>
            </w:pPr>
            <w:r w:rsidRPr="00CF7396">
              <w:rPr>
                <w:color w:val="000000" w:themeColor="text1"/>
                <w:lang w:val="es-CR" w:eastAsia="es-CR"/>
              </w:rPr>
              <w:t xml:space="preserve">Juzgado Agrario del ICJ Zona Atlántica </w:t>
            </w:r>
            <w:r w:rsidRPr="00CF7396">
              <w:rPr>
                <w:color w:val="000000" w:themeColor="text1"/>
                <w:vertAlign w:val="superscript"/>
                <w:lang w:val="es-CR" w:eastAsia="es-CR"/>
              </w:rPr>
              <w:t>(1)</w:t>
            </w:r>
          </w:p>
        </w:tc>
        <w:tc>
          <w:tcPr>
            <w:tcW w:w="1559" w:type="dxa"/>
            <w:shd w:val="clear" w:color="auto" w:fill="auto"/>
            <w:noWrap/>
            <w:vAlign w:val="bottom"/>
            <w:hideMark/>
          </w:tcPr>
          <w:p w14:paraId="5E5F642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705</w:t>
            </w:r>
          </w:p>
        </w:tc>
        <w:tc>
          <w:tcPr>
            <w:tcW w:w="1276" w:type="dxa"/>
            <w:shd w:val="clear" w:color="auto" w:fill="auto"/>
            <w:noWrap/>
            <w:vAlign w:val="bottom"/>
            <w:hideMark/>
          </w:tcPr>
          <w:p w14:paraId="0C91C0B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202</w:t>
            </w:r>
          </w:p>
        </w:tc>
        <w:tc>
          <w:tcPr>
            <w:tcW w:w="1564" w:type="dxa"/>
            <w:shd w:val="clear" w:color="auto" w:fill="auto"/>
            <w:noWrap/>
            <w:vAlign w:val="bottom"/>
            <w:hideMark/>
          </w:tcPr>
          <w:p w14:paraId="4E9A640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29%</w:t>
            </w:r>
          </w:p>
        </w:tc>
      </w:tr>
    </w:tbl>
    <w:p w14:paraId="4AA11E14" w14:textId="77777777" w:rsidR="00CF7396" w:rsidRPr="00CF7396" w:rsidRDefault="00CF7396" w:rsidP="00CF7396">
      <w:pPr>
        <w:autoSpaceDE w:val="0"/>
        <w:autoSpaceDN w:val="0"/>
        <w:adjustRightInd w:val="0"/>
        <w:ind w:left="-851" w:right="-799"/>
        <w:jc w:val="both"/>
        <w:rPr>
          <w:b/>
          <w:bCs/>
          <w:color w:val="000000" w:themeColor="text1"/>
          <w:lang w:val="es-CR" w:eastAsia="es-CR"/>
        </w:rPr>
      </w:pPr>
    </w:p>
    <w:p w14:paraId="220BD403"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r w:rsidRPr="00CF7396">
        <w:rPr>
          <w:b/>
          <w:bCs/>
          <w:color w:val="000000" w:themeColor="text1"/>
          <w:lang w:val="es-CR" w:eastAsia="es-CR"/>
        </w:rPr>
        <w:t xml:space="preserve">Nota: </w:t>
      </w:r>
      <w:r w:rsidRPr="00CF7396">
        <w:rPr>
          <w:color w:val="000000" w:themeColor="text1"/>
          <w:lang w:val="es-CR" w:eastAsia="es-CR"/>
        </w:rPr>
        <w:t>(1) Los datos de los despachos marcados con asterisco se tomaron de las matrices de Indicadores. (2) Los seguimientos de dichos despachos estaban a cargo del Profesional del Subproceso de Modernización Institucional debido a la Reforma al Código de Familia; sin embargo, se incluyen debido a que ya eran parte del Modelo (a excepción del Juzgado de Familia) y mensualmente se informaba ante el Consejo de Administración y se contemplaban para la formulación de planes de trabajo con personal supernumerario.</w:t>
      </w:r>
    </w:p>
    <w:p w14:paraId="3AD13C66"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0806EF92"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r w:rsidRPr="00CF7396">
        <w:rPr>
          <w:b/>
          <w:bCs/>
          <w:color w:val="000000" w:themeColor="text1"/>
          <w:lang w:val="es-CR" w:eastAsia="es-CR"/>
        </w:rPr>
        <w:t xml:space="preserve">Fuente: </w:t>
      </w:r>
      <w:r w:rsidRPr="00CF7396">
        <w:rPr>
          <w:color w:val="000000" w:themeColor="text1"/>
          <w:lang w:val="es-CR" w:eastAsia="es-CR"/>
        </w:rPr>
        <w:t xml:space="preserve">Elaboración propia del Subproceso de Evaluación con datos tomados de la página web del Subproceso de Estadística: </w:t>
      </w:r>
      <w:hyperlink r:id="rId9" w:history="1">
        <w:r w:rsidRPr="00CF7396">
          <w:rPr>
            <w:color w:val="000000" w:themeColor="text1"/>
            <w:u w:val="single"/>
            <w:lang w:val="es-CR"/>
          </w:rPr>
          <w:t>Indicadores de Gestión por Oficina| Dirección de Planificación, Poder Judicial Costa Rica (poder-judicial.go.cr)</w:t>
        </w:r>
      </w:hyperlink>
      <w:r w:rsidRPr="00CF7396">
        <w:rPr>
          <w:color w:val="000000" w:themeColor="text1"/>
          <w:lang w:val="es-CR" w:eastAsia="es-CR"/>
        </w:rPr>
        <w:t xml:space="preserve"> las matrices de Indicadores aportados por cada oficina.</w:t>
      </w:r>
    </w:p>
    <w:p w14:paraId="0D2177B4"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57F9E8B0"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r w:rsidRPr="00CF7396">
        <w:rPr>
          <w:color w:val="000000" w:themeColor="text1"/>
          <w:lang w:val="es-CR" w:eastAsia="es-CR"/>
        </w:rPr>
        <w:t>Realizando una comparación general del Circuito, se obtiene que el Juzgado Civil del Primer Circuito Judicial de la Zona Atlántica, obtuvo un mayor porcentaje de efectividad de audiencias con un 73%, posteriormente el Juzgado de Familia y Juzgado de Pensiones Alimentarias con un porcentaje del 62%. Por otro lado, el Tribunal Colegiado de Primer Instancia Civil con un 44% y el Juzgado de Cobro con un 31% de efectividad, lo cual es justificable debido a que en dicha materia las audiencias son relativamente pocas.</w:t>
      </w:r>
    </w:p>
    <w:p w14:paraId="29609FE6"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7AE30CF9"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r w:rsidRPr="00CF7396">
        <w:rPr>
          <w:color w:val="000000" w:themeColor="text1"/>
          <w:lang w:val="es-CR" w:eastAsia="es-CR"/>
        </w:rPr>
        <w:t xml:space="preserve">Tomando en consideración el Indicador “porcentaje de efectividad de realización de audiencias”, así como los parámetros establecidos en cada una de las Matrices de Indicadores, se analiza cuáles son las principales oficinas que tienen un alto o bajo porcentaje para el citado Indicador, de tal manera que el Juzgado Civil superó el rango en un 46% (rango mínimo 50%). Mientras que el Juzgado Agrario obtuvo -38% por debajo del rango de la Matriz de 45%; lo cual tiene relación al Protocolo de audiencias en materia agraria implementado en el 2021 por la emergencia sanitaria del COVID-19. </w:t>
      </w:r>
    </w:p>
    <w:p w14:paraId="7375A52A"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034E2E14"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r w:rsidRPr="00CF7396">
        <w:rPr>
          <w:color w:val="000000" w:themeColor="text1"/>
          <w:lang w:val="es-CR" w:eastAsia="es-CR"/>
        </w:rPr>
        <w:t>Finalmente, y relacionado con los seguimientos por parte de la Profesional de Planificación del Modelo en relación con la cantidad de señalamientos de audiencias mínimos en la agenda cronos, se informa que durante el 2021 se dio realimentación y seguimiento a los siguientes despachos:</w:t>
      </w:r>
    </w:p>
    <w:p w14:paraId="694A6571"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66229863" w14:textId="77777777" w:rsidR="00CF7396" w:rsidRPr="00CF7396" w:rsidRDefault="00CF7396" w:rsidP="00CF7396">
      <w:pPr>
        <w:numPr>
          <w:ilvl w:val="0"/>
          <w:numId w:val="40"/>
        </w:numPr>
        <w:autoSpaceDE w:val="0"/>
        <w:autoSpaceDN w:val="0"/>
        <w:adjustRightInd w:val="0"/>
        <w:ind w:left="851" w:right="851" w:firstLine="709"/>
        <w:jc w:val="both"/>
        <w:rPr>
          <w:color w:val="000000" w:themeColor="text1"/>
          <w:bdr w:val="none" w:sz="0" w:space="0" w:color="auto" w:frame="1"/>
          <w:lang w:val="es-CR" w:eastAsia="es-CR"/>
        </w:rPr>
      </w:pPr>
      <w:r w:rsidRPr="00CF7396">
        <w:rPr>
          <w:color w:val="000000" w:themeColor="text1"/>
          <w:lang w:val="es-CR" w:eastAsia="es-CR"/>
        </w:rPr>
        <w:t xml:space="preserve">Juzgado de Trabajo del Primer Circuito Judicial de la Zona Atlántica, previo y posterior al acuerdo tomado por el </w:t>
      </w:r>
      <w:r w:rsidRPr="00CF7396">
        <w:rPr>
          <w:color w:val="000000" w:themeColor="text1"/>
          <w:bdr w:val="none" w:sz="0" w:space="0" w:color="auto" w:frame="1"/>
          <w:lang w:val="es-CR" w:eastAsia="es-CR"/>
        </w:rPr>
        <w:t xml:space="preserve">Consejo Superior en sesión 49-21 del 15 de junio del 2021, artículo XII, en donde tuvo por recibido el informe </w:t>
      </w:r>
      <w:r w:rsidRPr="00CF7396">
        <w:rPr>
          <w:color w:val="000000" w:themeColor="text1"/>
          <w:lang w:val="es-CR"/>
        </w:rPr>
        <w:t>556-PLA-MI-2021</w:t>
      </w:r>
      <w:r w:rsidRPr="00CF7396">
        <w:rPr>
          <w:color w:val="000000" w:themeColor="text1"/>
          <w:bdr w:val="none" w:sz="0" w:space="0" w:color="auto" w:frame="1"/>
          <w:lang w:val="es-CR" w:eastAsia="es-CR"/>
        </w:rPr>
        <w:t xml:space="preserve">, </w:t>
      </w:r>
      <w:r w:rsidRPr="00CF7396">
        <w:rPr>
          <w:color w:val="000000" w:themeColor="text1"/>
          <w:lang w:val="es-CR"/>
        </w:rPr>
        <w:t>relacionado con el análisis de las cuotas de trabajo en materia Laboral (mínimo 16 señalamientos), se dio seguimiento en la agenda cronos con el fin que cumplieran con la cantidad mínima de audiencias al mes, asimismo se identificaron espacios en la agenda, por lo que se giraron instrucciones y planes de trabajo para la revisión correspondiente, así como agendar por orden de antigüedad y cumpliendo con la cuota establecida</w:t>
      </w:r>
      <w:r w:rsidRPr="00CF7396">
        <w:rPr>
          <w:color w:val="000000" w:themeColor="text1"/>
          <w:bdr w:val="none" w:sz="0" w:space="0" w:color="auto" w:frame="1"/>
          <w:lang w:val="es-CR" w:eastAsia="es-CR"/>
        </w:rPr>
        <w:t xml:space="preserve">. Igualmente se identificaron señalamientos antiguos aún activos en la agenda cronos, por lo que se le solicitó al despacho depurar la agenda cronos. </w:t>
      </w:r>
    </w:p>
    <w:p w14:paraId="583CF3DE" w14:textId="77777777" w:rsidR="00CF7396" w:rsidRPr="00CF7396" w:rsidRDefault="00CF7396" w:rsidP="00CF7396">
      <w:pPr>
        <w:autoSpaceDE w:val="0"/>
        <w:autoSpaceDN w:val="0"/>
        <w:adjustRightInd w:val="0"/>
        <w:ind w:left="851" w:right="851" w:firstLine="709"/>
        <w:jc w:val="both"/>
        <w:rPr>
          <w:color w:val="000000" w:themeColor="text1"/>
          <w:bdr w:val="none" w:sz="0" w:space="0" w:color="auto" w:frame="1"/>
          <w:lang w:val="es-CR" w:eastAsia="es-CR"/>
        </w:rPr>
      </w:pPr>
    </w:p>
    <w:p w14:paraId="356466B0" w14:textId="77777777" w:rsidR="00CF7396" w:rsidRPr="00CF7396" w:rsidRDefault="00CF7396" w:rsidP="00CF7396">
      <w:pPr>
        <w:numPr>
          <w:ilvl w:val="0"/>
          <w:numId w:val="40"/>
        </w:numPr>
        <w:autoSpaceDE w:val="0"/>
        <w:autoSpaceDN w:val="0"/>
        <w:adjustRightInd w:val="0"/>
        <w:ind w:left="851" w:right="851" w:firstLine="709"/>
        <w:jc w:val="both"/>
        <w:rPr>
          <w:color w:val="000000" w:themeColor="text1"/>
          <w:bdr w:val="none" w:sz="0" w:space="0" w:color="auto" w:frame="1"/>
          <w:lang w:val="es-CR" w:eastAsia="es-CR"/>
        </w:rPr>
      </w:pPr>
      <w:r w:rsidRPr="00CF7396">
        <w:rPr>
          <w:color w:val="000000" w:themeColor="text1"/>
          <w:bdr w:val="none" w:sz="0" w:space="0" w:color="auto" w:frame="1"/>
          <w:lang w:val="es-CR" w:eastAsia="es-CR"/>
        </w:rPr>
        <w:t>Juzgado Agrario del Primer Circuito Judicial de la Zona Atlántica, se identificaron espacios en la agenda cronos y se solicitó formular un plan remedial.</w:t>
      </w:r>
    </w:p>
    <w:p w14:paraId="67C43C03" w14:textId="77777777" w:rsidR="00CF7396" w:rsidRPr="00CF7396" w:rsidRDefault="00CF7396" w:rsidP="00CF7396">
      <w:pPr>
        <w:ind w:left="851" w:right="851" w:firstLine="709"/>
        <w:rPr>
          <w:color w:val="000000" w:themeColor="text1"/>
          <w:bdr w:val="none" w:sz="0" w:space="0" w:color="auto" w:frame="1"/>
          <w:lang w:val="es-CR" w:eastAsia="es-CR"/>
        </w:rPr>
      </w:pPr>
    </w:p>
    <w:p w14:paraId="6E3F2344" w14:textId="77777777" w:rsidR="00CF7396" w:rsidRPr="00CF7396" w:rsidRDefault="00CF7396" w:rsidP="00CF7396">
      <w:pPr>
        <w:numPr>
          <w:ilvl w:val="0"/>
          <w:numId w:val="40"/>
        </w:numPr>
        <w:autoSpaceDE w:val="0"/>
        <w:autoSpaceDN w:val="0"/>
        <w:adjustRightInd w:val="0"/>
        <w:ind w:left="851" w:right="851" w:firstLine="709"/>
        <w:jc w:val="both"/>
        <w:rPr>
          <w:color w:val="000000" w:themeColor="text1"/>
          <w:bdr w:val="none" w:sz="0" w:space="0" w:color="auto" w:frame="1"/>
          <w:lang w:val="es-CR" w:eastAsia="es-CR"/>
        </w:rPr>
      </w:pPr>
      <w:r w:rsidRPr="00CF7396">
        <w:rPr>
          <w:color w:val="000000" w:themeColor="text1"/>
          <w:bdr w:val="none" w:sz="0" w:space="0" w:color="auto" w:frame="1"/>
          <w:lang w:val="es-CR" w:eastAsia="es-CR"/>
        </w:rPr>
        <w:t>Tribunal Penal y Sección de Flagrancia del Primer Circuito Judicial de la Zona Atlántica, se dio seguimiento para que depurarán la agenda cronos de asuntos vencidos que se encontraban activos, igualmente para que cumplieran con las cuotas establecidas y en caso de no cumplir con las mismas agregar las justificaciones correspondientes en la minuta de reunión.</w:t>
      </w:r>
    </w:p>
    <w:p w14:paraId="0738E24A" w14:textId="77777777" w:rsidR="00CF7396" w:rsidRPr="00CF7396" w:rsidRDefault="00CF7396" w:rsidP="00CF7396">
      <w:pPr>
        <w:ind w:left="851" w:right="851" w:firstLine="709"/>
        <w:rPr>
          <w:color w:val="000000" w:themeColor="text1"/>
          <w:bdr w:val="none" w:sz="0" w:space="0" w:color="auto" w:frame="1"/>
          <w:lang w:val="es-CR" w:eastAsia="es-CR"/>
        </w:rPr>
      </w:pPr>
    </w:p>
    <w:p w14:paraId="2C4DEAA7" w14:textId="77777777" w:rsidR="00CF7396" w:rsidRPr="00CF7396" w:rsidRDefault="00CF7396" w:rsidP="00CF7396">
      <w:pPr>
        <w:numPr>
          <w:ilvl w:val="0"/>
          <w:numId w:val="40"/>
        </w:numPr>
        <w:autoSpaceDE w:val="0"/>
        <w:autoSpaceDN w:val="0"/>
        <w:adjustRightInd w:val="0"/>
        <w:ind w:left="851" w:right="851" w:firstLine="709"/>
        <w:jc w:val="both"/>
        <w:rPr>
          <w:color w:val="000000" w:themeColor="text1"/>
          <w:bdr w:val="none" w:sz="0" w:space="0" w:color="auto" w:frame="1"/>
          <w:lang w:val="es-CR" w:eastAsia="es-CR"/>
        </w:rPr>
      </w:pPr>
      <w:r w:rsidRPr="00CF7396">
        <w:rPr>
          <w:color w:val="000000" w:themeColor="text1"/>
          <w:bdr w:val="none" w:sz="0" w:space="0" w:color="auto" w:frame="1"/>
          <w:lang w:val="es-CR" w:eastAsia="es-CR"/>
        </w:rPr>
        <w:t>Tribunal Colegiado de Primer Instancia Civil del Primer Circuito Judicial de la Zona Atlántica, se logró identificar en la agenda cronos espacios disponibles, por lo que se les recordó en completar cada mes con la cuota mensual respetando el orden de antigüedad o bien justificar lo correspondiente en la minuta de reunión.</w:t>
      </w:r>
    </w:p>
    <w:p w14:paraId="442FE43B" w14:textId="77777777" w:rsidR="00CF7396" w:rsidRPr="00CF7396" w:rsidRDefault="00CF7396" w:rsidP="00CF7396">
      <w:pPr>
        <w:ind w:left="851" w:right="851" w:firstLine="709"/>
        <w:jc w:val="both"/>
        <w:rPr>
          <w:color w:val="000000" w:themeColor="text1"/>
          <w:lang w:val="es-CR"/>
        </w:rPr>
      </w:pPr>
    </w:p>
    <w:p w14:paraId="7C5383EC" w14:textId="77777777" w:rsidR="00CF7396" w:rsidRPr="00CF7396" w:rsidRDefault="00CF7396" w:rsidP="00CF7396">
      <w:pPr>
        <w:tabs>
          <w:tab w:val="left" w:pos="207"/>
          <w:tab w:val="left" w:pos="422"/>
        </w:tabs>
        <w:ind w:left="851" w:right="851" w:firstLine="709"/>
        <w:jc w:val="both"/>
        <w:rPr>
          <w:rFonts w:eastAsiaTheme="minorEastAsia"/>
          <w:i/>
          <w:iCs/>
          <w:color w:val="000000" w:themeColor="text1"/>
          <w:lang w:val="es-CR"/>
        </w:rPr>
      </w:pPr>
      <w:r w:rsidRPr="00CF7396">
        <w:rPr>
          <w:rFonts w:eastAsiaTheme="minorEastAsia"/>
          <w:color w:val="000000" w:themeColor="text1"/>
          <w:lang w:val="es-CR"/>
        </w:rPr>
        <w:t>El Centro de Apoyo, Coordinación, Mejoramientos de la Función Jurisdiccional, mediante oficio 368-CACMF-JEF-2022 indicó:</w:t>
      </w:r>
      <w:r w:rsidRPr="00CF7396">
        <w:rPr>
          <w:rFonts w:eastAsiaTheme="minorEastAsia"/>
          <w:i/>
          <w:iCs/>
          <w:color w:val="000000" w:themeColor="text1"/>
          <w:lang w:val="es-CR"/>
        </w:rPr>
        <w:t xml:space="preserve"> “En relación con la materia civil y de acuerdo con el informe N°24-CACMFJ-JEF-2022</w:t>
      </w:r>
      <w:r w:rsidRPr="00CF7396">
        <w:rPr>
          <w:rFonts w:eastAsiaTheme="minorEastAsia"/>
          <w:i/>
          <w:iCs/>
          <w:color w:val="000000" w:themeColor="text1"/>
          <w:vertAlign w:val="superscript"/>
          <w:lang w:val="es-CR"/>
        </w:rPr>
        <w:footnoteReference w:id="2"/>
      </w:r>
      <w:r w:rsidRPr="00CF7396">
        <w:rPr>
          <w:rFonts w:eastAsiaTheme="minorEastAsia"/>
          <w:i/>
          <w:iCs/>
          <w:color w:val="000000" w:themeColor="text1"/>
          <w:lang w:val="es-CR"/>
        </w:rPr>
        <w:t>, que refiere a “seguimiento y uso de la Agenda Cronos, por medio del reporte de SIGMA “Informe Estadístico-Consolidado de Audiencias” (con las dificultades de sincronización entre SIGMA y la Agenda CRONOS), por parte de los 41 despachos que conocen la materia civil, se remite el informe en el período que comprende de enero del 2019 a diciembre del 2021”, con los siguientes hallazgos:</w:t>
      </w:r>
    </w:p>
    <w:p w14:paraId="2AF8E26E" w14:textId="77777777" w:rsidR="00CF7396" w:rsidRPr="00CF7396" w:rsidRDefault="00CF7396" w:rsidP="00CF7396">
      <w:pPr>
        <w:tabs>
          <w:tab w:val="left" w:pos="207"/>
          <w:tab w:val="left" w:pos="422"/>
        </w:tabs>
        <w:ind w:left="851" w:right="851" w:firstLine="709"/>
        <w:jc w:val="both"/>
        <w:rPr>
          <w:rFonts w:eastAsiaTheme="minorEastAsia"/>
          <w:i/>
          <w:iCs/>
          <w:color w:val="000000" w:themeColor="text1"/>
          <w:lang w:val="es-CR"/>
        </w:rPr>
      </w:pPr>
    </w:p>
    <w:p w14:paraId="29136CCE" w14:textId="77777777" w:rsidR="00CF7396" w:rsidRPr="00CF7396" w:rsidRDefault="00CF7396" w:rsidP="00CF7396">
      <w:pPr>
        <w:tabs>
          <w:tab w:val="left" w:pos="207"/>
          <w:tab w:val="left" w:pos="422"/>
        </w:tabs>
        <w:ind w:left="851" w:right="851" w:firstLine="709"/>
        <w:jc w:val="both"/>
        <w:rPr>
          <w:rFonts w:eastAsiaTheme="minorEastAsia"/>
          <w:i/>
          <w:iCs/>
          <w:color w:val="000000" w:themeColor="text1"/>
          <w:lang w:val="es-CR"/>
        </w:rPr>
      </w:pPr>
      <w:r w:rsidRPr="00CF7396">
        <w:rPr>
          <w:rFonts w:eastAsiaTheme="minorEastAsia"/>
          <w:i/>
          <w:iCs/>
          <w:color w:val="000000" w:themeColor="text1"/>
          <w:lang w:val="es-CR"/>
        </w:rPr>
        <w:t>“los señalamientos no celebrados representan el 36%, y según las razones anotadas por los despachos civiles, que: el 53% que representa 3.487 audiencias son aquellas que pueden atribuirse a los intervinientes en los procesos; podemos citar: la inasistencia justificada o injustificada de las partes, cambio de fecha solicitado, entre otros razones; el 35% que representa 2.269 señalamientos corresponden a diligencias de los despachos entre las que podemos mencionar: el cambio de fecha de oficio, por dictarse una resolución o sentencia antes de la celebración de la audiencia, entre otros motivos, un 11% que representa 729 señalamientos por otros motivos entre los que podemos indicar: el asueto, caso fortuito o fuerza mayor entre otros y 1% que representa 61 audiencias, y se ubican: la interrupción de la comunicación por internet o cortes del fluido eléctrico.”</w:t>
      </w:r>
    </w:p>
    <w:p w14:paraId="6941E251" w14:textId="77777777" w:rsidR="00CF7396" w:rsidRPr="00CF7396" w:rsidRDefault="00CF7396" w:rsidP="00CF7396">
      <w:pPr>
        <w:ind w:left="851" w:right="851" w:firstLine="709"/>
        <w:jc w:val="both"/>
        <w:rPr>
          <w:color w:val="000000" w:themeColor="text1"/>
          <w:lang w:val="es-CR"/>
        </w:rPr>
      </w:pPr>
    </w:p>
    <w:p w14:paraId="1F942235"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Aunado a lo anterior, el Centro de Apoyo, Coordinación y Mejoramiento de la Función Jurisdiccional realizó el informe 312-CACMFJ-JEF-2021 (se adjunta en el anexo 6) en donde se detalla -entre otros aspectos- las principales causas de cancelación de audiencias. Por lo que considerando dicho informe y aquellos despachos del Primer Circuito Judicial de la Zona Atlántica que tuvieron un porcentaje de efectividad inferior el 50% se indica o siguiente: </w:t>
      </w:r>
    </w:p>
    <w:p w14:paraId="10F10A7F" w14:textId="77777777" w:rsidR="00CF7396" w:rsidRPr="00CF7396" w:rsidRDefault="00CF7396" w:rsidP="00CF7396">
      <w:pPr>
        <w:ind w:left="851" w:right="851" w:firstLine="709"/>
        <w:jc w:val="both"/>
        <w:rPr>
          <w:color w:val="000000" w:themeColor="text1"/>
          <w:lang w:val="es-CR"/>
        </w:rPr>
      </w:pPr>
    </w:p>
    <w:p w14:paraId="0A2C694E" w14:textId="77777777" w:rsidR="00CF7396" w:rsidRPr="00CF7396" w:rsidRDefault="00CF7396" w:rsidP="00CF7396">
      <w:pPr>
        <w:numPr>
          <w:ilvl w:val="0"/>
          <w:numId w:val="63"/>
        </w:numPr>
        <w:ind w:left="851" w:right="851" w:firstLine="709"/>
        <w:jc w:val="both"/>
        <w:rPr>
          <w:color w:val="000000" w:themeColor="text1"/>
          <w:lang w:val="es-CR"/>
        </w:rPr>
      </w:pPr>
      <w:r w:rsidRPr="00CF7396">
        <w:rPr>
          <w:color w:val="000000" w:themeColor="text1"/>
          <w:lang w:val="es-CR"/>
        </w:rPr>
        <w:t xml:space="preserve">Tribunal Colegiado de Primer Instancia y Civil del Primer Circuito Judicial de la Zona Atlántica reportó 66 audiencias sin cancelar en la agenda cronos. </w:t>
      </w:r>
    </w:p>
    <w:p w14:paraId="64D08D88" w14:textId="77777777" w:rsidR="00CF7396" w:rsidRPr="00CF7396" w:rsidRDefault="00CF7396" w:rsidP="00CF7396">
      <w:pPr>
        <w:numPr>
          <w:ilvl w:val="0"/>
          <w:numId w:val="63"/>
        </w:numPr>
        <w:ind w:left="851" w:right="851" w:firstLine="709"/>
        <w:jc w:val="both"/>
        <w:rPr>
          <w:color w:val="000000" w:themeColor="text1"/>
          <w:lang w:val="es-CR"/>
        </w:rPr>
      </w:pPr>
      <w:r w:rsidRPr="00CF7396">
        <w:rPr>
          <w:color w:val="000000" w:themeColor="text1"/>
          <w:lang w:val="es-CR"/>
        </w:rPr>
        <w:t xml:space="preserve">Juzgado de Cobro del Primer Circuito Judicial de la Zona Atlántica de manera general los motivos de cancelación de audiencias fueron por: inasistencia, falta de notificación, a solicitud de las partes, actividad procesal defectuosa, caso fortuito, incapacidades, entre otros.  </w:t>
      </w:r>
    </w:p>
    <w:p w14:paraId="2FD27D17" w14:textId="77777777" w:rsidR="00CF7396" w:rsidRPr="00CF7396" w:rsidRDefault="00CF7396" w:rsidP="00CF7396">
      <w:pPr>
        <w:numPr>
          <w:ilvl w:val="0"/>
          <w:numId w:val="63"/>
        </w:numPr>
        <w:ind w:left="851" w:right="851" w:firstLine="709"/>
        <w:jc w:val="both"/>
        <w:rPr>
          <w:color w:val="000000" w:themeColor="text1"/>
          <w:lang w:val="es-CR"/>
        </w:rPr>
      </w:pPr>
      <w:r w:rsidRPr="00CF7396">
        <w:rPr>
          <w:color w:val="000000" w:themeColor="text1"/>
          <w:lang w:val="es-CR"/>
        </w:rPr>
        <w:t>Juzgado Agrario del Primer Circuito Judicial de la Zona Atlántica se indica la suspensión por la circular 47-2020, motivo de fuerza mayor, cambio de fecha de señalamiento a solicitud de parte, otros motivos.</w:t>
      </w:r>
    </w:p>
    <w:p w14:paraId="3915974D" w14:textId="77777777" w:rsidR="00CF7396" w:rsidRPr="00CF7396" w:rsidRDefault="00CF7396" w:rsidP="00CF7396">
      <w:pPr>
        <w:ind w:left="851" w:right="851" w:firstLine="709"/>
        <w:jc w:val="both"/>
        <w:rPr>
          <w:color w:val="000000" w:themeColor="text1"/>
          <w:lang w:val="es-CR"/>
        </w:rPr>
      </w:pPr>
    </w:p>
    <w:p w14:paraId="0C5A2471" w14:textId="77777777" w:rsidR="00CF7396" w:rsidRPr="00CF7396" w:rsidRDefault="00CF7396" w:rsidP="00CF7396">
      <w:pPr>
        <w:ind w:left="851" w:right="851" w:firstLine="709"/>
        <w:jc w:val="both"/>
        <w:rPr>
          <w:b/>
          <w:bCs/>
          <w:i/>
          <w:iCs/>
          <w:color w:val="000000" w:themeColor="text1"/>
          <w:lang w:val="es-CR"/>
        </w:rPr>
      </w:pPr>
      <w:r w:rsidRPr="00CF7396">
        <w:rPr>
          <w:b/>
          <w:bCs/>
          <w:color w:val="000000" w:themeColor="text1"/>
          <w:lang w:val="es-CR"/>
        </w:rPr>
        <w:t>3.3 Estructura del Primer Circuito Judicial de la Zona Atlántica según Relación de Puestos de la Dirección de Gestión Humana 2021.</w:t>
      </w:r>
      <w:bookmarkEnd w:id="8"/>
    </w:p>
    <w:p w14:paraId="7934B0C1" w14:textId="77777777" w:rsidR="00CF7396" w:rsidRPr="00CF7396" w:rsidRDefault="00CF7396" w:rsidP="00CF7396">
      <w:pPr>
        <w:ind w:left="851" w:right="851" w:firstLine="709"/>
        <w:rPr>
          <w:color w:val="000000" w:themeColor="text1"/>
          <w:lang w:val="es-CR"/>
        </w:rPr>
      </w:pPr>
    </w:p>
    <w:p w14:paraId="756DD4AC"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Al 2021 los despachos judiciales que conforman el Modelo de Seguimiento y Sostenibilidad corresponden al programa 927 “Ámbito Jurisdiccional”, por lo que a continuación se muestra la estructura de cada una de ellas:</w:t>
      </w:r>
    </w:p>
    <w:p w14:paraId="1184AE5E" w14:textId="77777777" w:rsidR="00CF7396" w:rsidRPr="00CF7396" w:rsidRDefault="00CF7396" w:rsidP="00CF7396">
      <w:pPr>
        <w:ind w:left="851" w:right="851" w:firstLine="709"/>
        <w:jc w:val="both"/>
        <w:rPr>
          <w:color w:val="000000" w:themeColor="text1"/>
          <w:lang w:val="es-CR"/>
        </w:rPr>
      </w:pPr>
    </w:p>
    <w:p w14:paraId="2A220492" w14:textId="77777777" w:rsidR="00CF7396" w:rsidRPr="00CF7396" w:rsidRDefault="00CF7396" w:rsidP="00CF7396">
      <w:pPr>
        <w:jc w:val="center"/>
        <w:rPr>
          <w:i/>
          <w:iCs/>
          <w:color w:val="000000" w:themeColor="text1"/>
          <w:lang w:val="es-CR" w:eastAsia="zh-CN"/>
        </w:rPr>
      </w:pPr>
      <w:r w:rsidRPr="00CF7396">
        <w:rPr>
          <w:b/>
          <w:bCs/>
          <w:color w:val="000000" w:themeColor="text1"/>
          <w:lang w:val="es-CR" w:eastAsia="zh-CN"/>
        </w:rPr>
        <w:t>Cuadro 11</w:t>
      </w:r>
    </w:p>
    <w:p w14:paraId="76162642" w14:textId="77777777" w:rsidR="00CF7396" w:rsidRPr="00CF7396" w:rsidRDefault="00CF7396" w:rsidP="00CF7396">
      <w:pPr>
        <w:jc w:val="center"/>
        <w:rPr>
          <w:b/>
          <w:bCs/>
          <w:color w:val="000000" w:themeColor="text1"/>
          <w:lang w:val="es-CR"/>
        </w:rPr>
      </w:pPr>
      <w:r w:rsidRPr="00CF7396">
        <w:rPr>
          <w:b/>
          <w:bCs/>
          <w:color w:val="000000" w:themeColor="text1"/>
          <w:lang w:val="es-CR"/>
        </w:rPr>
        <w:t>Estructura de las oficinas que conforman el Modelo de Seguimiento y Sostenibilidad en el</w:t>
      </w:r>
    </w:p>
    <w:p w14:paraId="4AC6AE48" w14:textId="77777777" w:rsidR="00CF7396" w:rsidRPr="00CF7396" w:rsidRDefault="00CF7396" w:rsidP="00CF7396">
      <w:pPr>
        <w:jc w:val="center"/>
        <w:rPr>
          <w:b/>
          <w:bCs/>
          <w:color w:val="000000" w:themeColor="text1"/>
          <w:lang w:val="es-CR"/>
        </w:rPr>
      </w:pPr>
      <w:r w:rsidRPr="00CF7396">
        <w:rPr>
          <w:b/>
          <w:bCs/>
          <w:color w:val="000000" w:themeColor="text1"/>
          <w:lang w:val="es-CR"/>
        </w:rPr>
        <w:t xml:space="preserve"> Primer Circuito Judicial de la Zona Atlántica según la Relación de Puestos de la</w:t>
      </w:r>
    </w:p>
    <w:p w14:paraId="4318E72F" w14:textId="77777777" w:rsidR="00CF7396" w:rsidRPr="00CF7396" w:rsidRDefault="00CF7396" w:rsidP="00CF7396">
      <w:pPr>
        <w:jc w:val="center"/>
        <w:rPr>
          <w:b/>
          <w:bCs/>
          <w:color w:val="000000" w:themeColor="text1"/>
          <w:lang w:val="es-CR"/>
        </w:rPr>
      </w:pPr>
      <w:r w:rsidRPr="00CF7396">
        <w:rPr>
          <w:b/>
          <w:bCs/>
          <w:color w:val="000000" w:themeColor="text1"/>
          <w:lang w:val="es-CR"/>
        </w:rPr>
        <w:t xml:space="preserve"> Dirección de Gestión Humana del 2021</w:t>
      </w:r>
    </w:p>
    <w:p w14:paraId="2D69C68C"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 </w:t>
      </w:r>
      <w:r w:rsidRPr="00CF7396">
        <w:rPr>
          <w:noProof/>
          <w:color w:val="000000" w:themeColor="text1"/>
          <w:lang w:val="es-CR"/>
        </w:rPr>
        <w:drawing>
          <wp:inline distT="0" distB="0" distL="0" distR="0" wp14:anchorId="40DFF993" wp14:editId="6B765EB5">
            <wp:extent cx="5972810" cy="1692263"/>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72810" cy="1692263"/>
                    </a:xfrm>
                    <a:prstGeom prst="rect">
                      <a:avLst/>
                    </a:prstGeom>
                    <a:noFill/>
                    <a:ln>
                      <a:noFill/>
                    </a:ln>
                  </pic:spPr>
                </pic:pic>
              </a:graphicData>
            </a:graphic>
          </wp:inline>
        </w:drawing>
      </w:r>
    </w:p>
    <w:p w14:paraId="4DF2C5D8" w14:textId="77777777" w:rsidR="00CF7396" w:rsidRPr="00CF7396" w:rsidRDefault="00CF7396" w:rsidP="00CF7396">
      <w:pPr>
        <w:jc w:val="both"/>
        <w:rPr>
          <w:color w:val="000000" w:themeColor="text1"/>
          <w:lang w:val="es-CR"/>
        </w:rPr>
      </w:pPr>
    </w:p>
    <w:p w14:paraId="759CD944" w14:textId="77777777" w:rsidR="00CF7396" w:rsidRPr="00CF7396" w:rsidRDefault="00CF7396" w:rsidP="00CF7396">
      <w:pPr>
        <w:ind w:firstLine="708"/>
        <w:rPr>
          <w:color w:val="000000" w:themeColor="text1"/>
          <w:lang w:val="es-CR"/>
        </w:rPr>
      </w:pPr>
      <w:r w:rsidRPr="00CF7396">
        <w:rPr>
          <w:b/>
          <w:bCs/>
          <w:color w:val="000000" w:themeColor="text1"/>
          <w:lang w:val="es-CR"/>
        </w:rPr>
        <w:t xml:space="preserve">Fuente: </w:t>
      </w:r>
      <w:r w:rsidRPr="00CF7396">
        <w:rPr>
          <w:color w:val="000000" w:themeColor="text1"/>
          <w:lang w:val="es-CR"/>
        </w:rPr>
        <w:t>Elaboración propia del Subproceso de Evaluación con datos tomados de la Relación de Puestos de la Dirección de Gestión Humana del 2021.</w:t>
      </w:r>
    </w:p>
    <w:p w14:paraId="1D47F1D4" w14:textId="77777777" w:rsidR="00CF7396" w:rsidRPr="00CF7396" w:rsidRDefault="00CF7396" w:rsidP="00CF7396">
      <w:pPr>
        <w:ind w:firstLine="708"/>
        <w:rPr>
          <w:color w:val="000000" w:themeColor="text1"/>
          <w:lang w:val="es-CR"/>
        </w:rPr>
      </w:pPr>
    </w:p>
    <w:p w14:paraId="6C1509AF"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Como se muestra en el cuadro anterior, 123 plazas conforman el Modelo de Seguimiento y Sostenibilidad en el Primer Circuito Judicial de la Zona Atlántica, de las cuales 27 se encuentran vacantes para el 2021; lo anterior sin tomar en consideración plazas otorgadas con el artículo 44 de la Ley Orgánica del Poder Judicial, así como plazas extraordinarias u ordinarias. </w:t>
      </w:r>
    </w:p>
    <w:p w14:paraId="7E217D33" w14:textId="77777777" w:rsidR="00CF7396" w:rsidRPr="00CF7396" w:rsidRDefault="00CF7396" w:rsidP="00CF7396">
      <w:pPr>
        <w:ind w:left="851" w:right="851" w:firstLine="709"/>
        <w:jc w:val="both"/>
        <w:rPr>
          <w:color w:val="000000" w:themeColor="text1"/>
          <w:lang w:val="es-CR"/>
        </w:rPr>
      </w:pPr>
    </w:p>
    <w:p w14:paraId="65CD0CD4"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Según el cuadro anterior se logró identificar:</w:t>
      </w:r>
    </w:p>
    <w:p w14:paraId="0672123C" w14:textId="77777777" w:rsidR="00CF7396" w:rsidRPr="00CF7396" w:rsidRDefault="00CF7396" w:rsidP="00CF7396">
      <w:pPr>
        <w:ind w:left="851" w:right="851" w:firstLine="709"/>
        <w:jc w:val="both"/>
        <w:rPr>
          <w:color w:val="000000" w:themeColor="text1"/>
          <w:lang w:val="es-CR"/>
        </w:rPr>
      </w:pPr>
    </w:p>
    <w:p w14:paraId="61324CE1" w14:textId="77777777" w:rsidR="00CF7396" w:rsidRPr="00CF7396" w:rsidRDefault="00CF7396" w:rsidP="00CF7396">
      <w:pPr>
        <w:numPr>
          <w:ilvl w:val="0"/>
          <w:numId w:val="40"/>
        </w:numPr>
        <w:ind w:left="851" w:right="851" w:firstLine="709"/>
        <w:jc w:val="both"/>
        <w:rPr>
          <w:color w:val="000000" w:themeColor="text1"/>
          <w:lang w:val="es-CR"/>
        </w:rPr>
      </w:pPr>
      <w:r w:rsidRPr="00CF7396">
        <w:rPr>
          <w:color w:val="000000" w:themeColor="text1"/>
          <w:lang w:val="es-CR"/>
        </w:rPr>
        <w:t>En el Juzgado de Trabajo del Primer Circuito Judicial de la Zona Atlántica, la relación de puestos indica que son 4 plazas de personas juzgadoras, pero una de ellas es una plaza de juez itinerante, por lo que se considera prudente que se agregue dicha observación en la relación de puestos, por cuanto el recurso no se encuentra a tiempo completo en dicha oficina.</w:t>
      </w:r>
    </w:p>
    <w:p w14:paraId="61BC3FB5" w14:textId="77777777" w:rsidR="00CF7396" w:rsidRPr="00CF7396" w:rsidRDefault="00CF7396" w:rsidP="00CF7396">
      <w:pPr>
        <w:ind w:left="851" w:right="851" w:firstLine="709"/>
        <w:jc w:val="both"/>
        <w:rPr>
          <w:color w:val="000000" w:themeColor="text1"/>
          <w:lang w:val="es-CR"/>
        </w:rPr>
      </w:pPr>
    </w:p>
    <w:p w14:paraId="0DE4F925" w14:textId="77777777" w:rsidR="00CF7396" w:rsidRPr="00CF7396" w:rsidRDefault="00CF7396" w:rsidP="00CF7396">
      <w:pPr>
        <w:numPr>
          <w:ilvl w:val="0"/>
          <w:numId w:val="40"/>
        </w:numPr>
        <w:ind w:left="851" w:right="851" w:firstLine="709"/>
        <w:jc w:val="both"/>
        <w:rPr>
          <w:color w:val="000000" w:themeColor="text1"/>
          <w:lang w:val="es-CR"/>
        </w:rPr>
      </w:pPr>
      <w:r w:rsidRPr="00CF7396">
        <w:rPr>
          <w:color w:val="000000" w:themeColor="text1"/>
          <w:lang w:val="es-CR"/>
        </w:rPr>
        <w:t xml:space="preserve">En el Tribunal de Apelación Civil y de Trabajo del Primer Circuito Judicial de la Zona Atlántica, para el 2021 la plaza 378749 tiene clase de Juez 3; debido al acuerdo tomado por la Corte Plena sesión 23-2021 del 7 de junio del 2021, artículo XXI, donde acordó -entre otros- no publicar el concurso de dicha plaza, en su lugar se reasignó por lo que restaba del 2021 y como plan de trabajo temporal a categoría de “Jueza o Juez tres” para que colaborara en el Juzgado de Trabajo del Segundo Circuito Judicial de San José, debido a las limitaciones presupuestarias por las que atraviesa la Institución. Por lo que, al contar con un precedente administrativo del uso de dicha plaza para atender otras necesidades institucionales, se considera relevante que previo a llenar la plaza en propiedad, la Dirección de Gestión Humana consulte a la Dirección de Planificación. </w:t>
      </w:r>
    </w:p>
    <w:p w14:paraId="2436B39F" w14:textId="77777777" w:rsidR="00CF7396" w:rsidRPr="00CF7396" w:rsidRDefault="00CF7396" w:rsidP="00CF7396">
      <w:pPr>
        <w:ind w:left="851" w:right="851" w:firstLine="709"/>
        <w:jc w:val="both"/>
        <w:rPr>
          <w:color w:val="000000" w:themeColor="text1"/>
          <w:lang w:val="es-CR"/>
        </w:rPr>
      </w:pPr>
    </w:p>
    <w:p w14:paraId="6195908F" w14:textId="77777777" w:rsidR="00CF7396" w:rsidRPr="00CF7396" w:rsidRDefault="00CF7396" w:rsidP="00CF7396">
      <w:pPr>
        <w:numPr>
          <w:ilvl w:val="0"/>
          <w:numId w:val="40"/>
        </w:numPr>
        <w:ind w:left="851" w:right="851" w:firstLine="709"/>
        <w:jc w:val="both"/>
        <w:rPr>
          <w:color w:val="000000" w:themeColor="text1"/>
          <w:lang w:val="es-CR"/>
        </w:rPr>
      </w:pPr>
      <w:r w:rsidRPr="00CF7396">
        <w:rPr>
          <w:color w:val="000000" w:themeColor="text1"/>
          <w:lang w:val="es-CR"/>
        </w:rPr>
        <w:t xml:space="preserve">En el Tribunal Penal del Primer Circuito Judicial de la Zona Atlántica no se identifica cuales plazas corresponden a la Sección de Flagrancia, al Tribunal Ordinario y a la Sección de </w:t>
      </w:r>
      <w:proofErr w:type="spellStart"/>
      <w:r w:rsidRPr="00CF7396">
        <w:rPr>
          <w:color w:val="000000" w:themeColor="text1"/>
          <w:lang w:val="es-CR"/>
        </w:rPr>
        <w:t>Bribrí</w:t>
      </w:r>
      <w:proofErr w:type="spellEnd"/>
      <w:r w:rsidRPr="00CF7396">
        <w:rPr>
          <w:color w:val="000000" w:themeColor="text1"/>
          <w:lang w:val="es-CR"/>
        </w:rPr>
        <w:t>. Por lo que se recomendará hacer la actualización y aclaración respectiva en la relación de puestos.</w:t>
      </w:r>
    </w:p>
    <w:p w14:paraId="41D7A7D3" w14:textId="77777777" w:rsidR="00CF7396" w:rsidRPr="00CF7396" w:rsidRDefault="00CF7396" w:rsidP="00CF7396">
      <w:pPr>
        <w:ind w:left="851" w:right="851" w:firstLine="709"/>
        <w:jc w:val="both"/>
        <w:rPr>
          <w:color w:val="000000" w:themeColor="text1"/>
          <w:lang w:val="es-CR"/>
        </w:rPr>
      </w:pPr>
    </w:p>
    <w:p w14:paraId="094E1662" w14:textId="77777777" w:rsidR="00CF7396" w:rsidRPr="00CF7396" w:rsidRDefault="00CF7396" w:rsidP="00CF7396">
      <w:pPr>
        <w:numPr>
          <w:ilvl w:val="0"/>
          <w:numId w:val="40"/>
        </w:numPr>
        <w:ind w:left="851" w:right="851" w:firstLine="709"/>
        <w:jc w:val="both"/>
        <w:rPr>
          <w:color w:val="000000" w:themeColor="text1"/>
          <w:lang w:val="es-CR"/>
        </w:rPr>
      </w:pPr>
      <w:r w:rsidRPr="00CF7396">
        <w:rPr>
          <w:color w:val="000000" w:themeColor="text1"/>
          <w:lang w:val="es-CR"/>
        </w:rPr>
        <w:t xml:space="preserve">Se detectan que existen 13 plazas vacantes en el Tribunal Penal del Primer Circuito Judicial de la Zona Atlántica y según lo ha externado el Juez Coordinador de dicho despacho ha repercutido en el cambio constante de personal juzgador, provocando retrasos en el despacho. Se procede a verificar si en la relación de puestos a inicios del 2020 aún se encontraban vacantes y se ratifica lo anterior. Por otra parte, la Profesional de Planificación del Modelo ha detectado que las personas juzgadoras muestran desinterés por los nombramientos en el Tribunal, provocando la renuncia en los nombramientos. </w:t>
      </w:r>
    </w:p>
    <w:p w14:paraId="13BD6115" w14:textId="77777777" w:rsidR="00CF7396" w:rsidRPr="00CF7396" w:rsidRDefault="00CF7396" w:rsidP="00CF7396">
      <w:pPr>
        <w:ind w:left="851" w:right="851" w:firstLine="709"/>
        <w:rPr>
          <w:color w:val="000000" w:themeColor="text1"/>
          <w:lang w:val="es-CR"/>
        </w:rPr>
      </w:pPr>
    </w:p>
    <w:p w14:paraId="63420DF0"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Por lo anterior y al identificarse plazas vacantes, se considera prudente que previamente a que la Dirección de Gestión Humana realice los procesos de reclutamiento para las plazas vacantes en el Circuito, consulte previamente a la Dirección de Planificación, con el fin de identificar si efectivamente el recurso es requerido en la oficina en dónde se nombrará en propiedad o por el contrario si se puede trasladar a otra oficina del Circuito o bien a otra Sede y lograr el aprovechamiento del recurso humano como parte de las Medidas de Contención del Gasto Público según Circular 136-2017; o bien, que la Dirección de Gestión Humana en la convocatoria del concurso refiera un apartado que indique que en esas las plazas podrían recomendarse eventualmente traslados de recursos según las necesidades institucionales, entre oficinas tanto de la misma materia como para otras materias. </w:t>
      </w:r>
    </w:p>
    <w:p w14:paraId="781D8993" w14:textId="77777777" w:rsidR="00CF7396" w:rsidRPr="00CF7396" w:rsidRDefault="00CF7396" w:rsidP="00CF7396">
      <w:pPr>
        <w:ind w:left="851" w:right="851" w:firstLine="709"/>
        <w:jc w:val="both"/>
        <w:rPr>
          <w:color w:val="000000" w:themeColor="text1"/>
          <w:lang w:val="es-CR"/>
        </w:rPr>
      </w:pPr>
    </w:p>
    <w:p w14:paraId="2033C0FE" w14:textId="77777777" w:rsidR="00CF7396" w:rsidRPr="00CF7396" w:rsidRDefault="00CF7396" w:rsidP="00CF7396">
      <w:pPr>
        <w:tabs>
          <w:tab w:val="left" w:pos="709"/>
        </w:tabs>
        <w:ind w:left="851" w:right="851" w:firstLine="709"/>
        <w:jc w:val="both"/>
        <w:rPr>
          <w:color w:val="000000" w:themeColor="text1"/>
          <w:shd w:val="clear" w:color="auto" w:fill="FFFFFF"/>
          <w:lang w:val="es-CR"/>
        </w:rPr>
      </w:pPr>
      <w:r w:rsidRPr="00CF7396">
        <w:rPr>
          <w:rFonts w:eastAsia="Calibri"/>
          <w:color w:val="000000" w:themeColor="text1"/>
          <w:lang w:val="es-CR"/>
        </w:rPr>
        <w:t xml:space="preserve">Otros de los aspectos relevantes es que según visita realizada el 24 de setiembre del 2021 por parte de los integrantes del Consejo Superior licenciada Sandra Pizarro Gutiérrez y el doctor Gary Amador Badilla y en la cual estuvo invitada la Profesional de Planificación destacada en el Circuito, las personas juzgadoras del Circuito -entre otros puntos- expresaron la problemática que existente en relación con la rotación constante del personal juzgador, debido a que en la mayoría de los casos el personal juzgador cumple con el período de prueba y luego se movilizan a otras zonas, provocando que las personas técnicas judiciales tengan constantemente cambio de jefaturas, con formas y maneras diferentes de trabajar, por lo que en algunos casos ha producido desmotivación para el personal subalterno. La anterior visita fue conocida por el Consejo Superior en sesión 89-2021 del 14 de octubre del 2021, artículo LII, en lo conducente dice: </w:t>
      </w:r>
      <w:r w:rsidRPr="00CF7396">
        <w:rPr>
          <w:rFonts w:eastAsia="Calibri"/>
          <w:i/>
          <w:iCs/>
          <w:color w:val="000000" w:themeColor="text1"/>
          <w:lang w:val="es-CR"/>
        </w:rPr>
        <w:t>“</w:t>
      </w:r>
      <w:r w:rsidRPr="00CF7396">
        <w:rPr>
          <w:i/>
          <w:iCs/>
          <w:color w:val="000000" w:themeColor="text1"/>
          <w:shd w:val="clear" w:color="auto" w:fill="FFFFFF"/>
          <w:lang w:val="es-CR"/>
        </w:rPr>
        <w:t xml:space="preserve">Una última situación que se abordó fue un tema circunstancial del Circuito, mediante el cual algunos funcionarios establecen que los nombramientos en el circuito se utilizan a modo de trampolín, siendo que posterior a esto no se toman el arraigo necesario para poder trabajar dentro del circuito que es una problemática que deberá ser abordada”. </w:t>
      </w:r>
      <w:r w:rsidRPr="00CF7396">
        <w:rPr>
          <w:color w:val="000000" w:themeColor="text1"/>
          <w:shd w:val="clear" w:color="auto" w:fill="FFFFFF"/>
          <w:lang w:val="es-CR"/>
        </w:rPr>
        <w:t xml:space="preserve">Lo anterior fue trasladado -entre otros- a la Dirección de Gestión Humana. </w:t>
      </w:r>
    </w:p>
    <w:p w14:paraId="7C7F9C06" w14:textId="77777777" w:rsidR="00CF7396" w:rsidRPr="00CF7396" w:rsidRDefault="00CF7396" w:rsidP="00CF7396">
      <w:pPr>
        <w:tabs>
          <w:tab w:val="left" w:pos="709"/>
        </w:tabs>
        <w:ind w:left="851" w:right="851" w:firstLine="709"/>
        <w:jc w:val="both"/>
        <w:rPr>
          <w:color w:val="000000" w:themeColor="text1"/>
          <w:shd w:val="clear" w:color="auto" w:fill="FFFFFF"/>
          <w:lang w:val="es-CR"/>
        </w:rPr>
      </w:pPr>
    </w:p>
    <w:p w14:paraId="46918485" w14:textId="77777777" w:rsidR="00CF7396" w:rsidRPr="00CF7396" w:rsidRDefault="00CF7396" w:rsidP="00CF7396">
      <w:pPr>
        <w:tabs>
          <w:tab w:val="left" w:pos="709"/>
        </w:tabs>
        <w:ind w:left="851" w:right="851" w:firstLine="709"/>
        <w:jc w:val="both"/>
        <w:rPr>
          <w:rFonts w:eastAsia="Calibri"/>
          <w:color w:val="000000" w:themeColor="text1"/>
          <w:lang w:val="es-CR"/>
        </w:rPr>
      </w:pPr>
      <w:r w:rsidRPr="00CF7396">
        <w:rPr>
          <w:color w:val="000000" w:themeColor="text1"/>
          <w:shd w:val="clear" w:color="auto" w:fill="FFFFFF"/>
          <w:lang w:val="es-CR"/>
        </w:rPr>
        <w:t xml:space="preserve">Con base en lo anterior, es requerido que la Dirección de Gestión Humana realice un estudio integral </w:t>
      </w:r>
      <w:r w:rsidRPr="00CF7396">
        <w:rPr>
          <w:rFonts w:eastAsia="Calibri"/>
          <w:bCs/>
          <w:color w:val="000000" w:themeColor="text1"/>
          <w:lang w:val="es-CR" w:eastAsia="zh-CN"/>
        </w:rPr>
        <w:t>en el Primer Circuito Judicial de la Zona Atlántica y Periférica sobre la rotación constante de los nombramientos del personal juzgador, lo anterior con el fin de buscar oportunidades de mejora y establecer una permanencia del personal en la zona.</w:t>
      </w:r>
    </w:p>
    <w:p w14:paraId="5795C359" w14:textId="77777777" w:rsidR="00CF7396" w:rsidRPr="00CF7396" w:rsidRDefault="00CF7396" w:rsidP="00CF7396">
      <w:pPr>
        <w:ind w:left="851" w:right="851" w:firstLine="709"/>
        <w:rPr>
          <w:color w:val="000000" w:themeColor="text1"/>
          <w:lang w:val="es-CR"/>
        </w:rPr>
      </w:pPr>
    </w:p>
    <w:p w14:paraId="27740FCA" w14:textId="77777777" w:rsidR="00CF7396" w:rsidRPr="00CF7396" w:rsidRDefault="00CF7396" w:rsidP="00CF7396">
      <w:pPr>
        <w:ind w:left="851" w:right="851" w:firstLine="709"/>
        <w:rPr>
          <w:color w:val="000000" w:themeColor="text1"/>
          <w:lang w:val="es-CR"/>
        </w:rPr>
      </w:pPr>
      <w:bookmarkStart w:id="9" w:name="_Toc78876656"/>
      <w:r w:rsidRPr="00CF7396">
        <w:rPr>
          <w:color w:val="000000" w:themeColor="text1"/>
          <w:lang w:val="es-CR"/>
        </w:rPr>
        <w:t>4. Resultados del Modelo de Seguimiento y Sostenibilidad en el Primer Circuito Judicial de la Zona Atlántica</w:t>
      </w:r>
      <w:bookmarkEnd w:id="9"/>
      <w:r w:rsidRPr="00CF7396">
        <w:rPr>
          <w:color w:val="000000" w:themeColor="text1"/>
          <w:lang w:val="es-CR"/>
        </w:rPr>
        <w:t xml:space="preserve"> durante el 2021</w:t>
      </w:r>
    </w:p>
    <w:p w14:paraId="2A8E85C9" w14:textId="77777777" w:rsidR="00CF7396" w:rsidRPr="00CF7396" w:rsidRDefault="00CF7396" w:rsidP="00CF7396">
      <w:pPr>
        <w:ind w:left="851" w:right="851" w:firstLine="709"/>
        <w:rPr>
          <w:color w:val="000000" w:themeColor="text1"/>
          <w:lang w:val="es-CR"/>
        </w:rPr>
      </w:pPr>
    </w:p>
    <w:p w14:paraId="38AF3BD9" w14:textId="77777777" w:rsidR="00CF7396" w:rsidRPr="00CF7396" w:rsidRDefault="00CF7396" w:rsidP="00CF7396">
      <w:pPr>
        <w:ind w:left="851" w:right="851" w:firstLine="709"/>
        <w:rPr>
          <w:b/>
          <w:bCs/>
          <w:i/>
          <w:iCs/>
          <w:color w:val="000000" w:themeColor="text1"/>
          <w:lang w:val="es-CR"/>
        </w:rPr>
      </w:pPr>
      <w:bookmarkStart w:id="10" w:name="_Toc78876657"/>
      <w:r w:rsidRPr="00CF7396">
        <w:rPr>
          <w:b/>
          <w:bCs/>
          <w:color w:val="000000" w:themeColor="text1"/>
          <w:lang w:val="es-CR"/>
        </w:rPr>
        <w:t>4.1 Estado general del Primer Circuito Judicial de la Zona Atlántica conforme al Análisis integral de los resultados de los Indicadores de gestión (MAIC).</w:t>
      </w:r>
      <w:bookmarkEnd w:id="10"/>
    </w:p>
    <w:p w14:paraId="3597C6C7" w14:textId="77777777" w:rsidR="00CF7396" w:rsidRPr="00CF7396" w:rsidRDefault="00CF7396" w:rsidP="00CF7396">
      <w:pPr>
        <w:ind w:left="851" w:right="851" w:firstLine="709"/>
        <w:rPr>
          <w:color w:val="000000" w:themeColor="text1"/>
          <w:lang w:val="es-CR"/>
        </w:rPr>
      </w:pPr>
    </w:p>
    <w:p w14:paraId="1AB19D0F"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 xml:space="preserve">El Análisis Integral de Circuitos Judiciales (MAIC) es una herramienta que permita identificar y priorizar de una forma práctica y clara los despachos y oficinas judiciales que presentan las áreas más críticas cada mes por medio de los resultados de los Indicadores De Gestión. </w:t>
      </w:r>
    </w:p>
    <w:p w14:paraId="2AE2F6FB" w14:textId="77777777" w:rsidR="00CF7396" w:rsidRPr="00CF7396" w:rsidRDefault="00CF7396" w:rsidP="00CF7396">
      <w:pPr>
        <w:ind w:left="851" w:right="851" w:firstLine="709"/>
        <w:jc w:val="both"/>
        <w:rPr>
          <w:color w:val="000000" w:themeColor="text1"/>
          <w:lang w:val="es-CR" w:eastAsia="es-CR"/>
        </w:rPr>
      </w:pPr>
    </w:p>
    <w:p w14:paraId="6029CD4E"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Este análisis permite identificar y clasificar a las oficinas y despachos del Circuito según el nivel de criticidad que presenten en sus diferentes áreas cada mes, basados en los resultados de la Matriz de Indicadores de Gestión y su alejamiento con relación al parámetro “estándar” que se establece en cada indicador.</w:t>
      </w:r>
    </w:p>
    <w:p w14:paraId="3EB6062C" w14:textId="77777777" w:rsidR="00CF7396" w:rsidRPr="00CF7396" w:rsidRDefault="00CF7396" w:rsidP="00CF7396">
      <w:pPr>
        <w:ind w:left="851" w:right="851" w:firstLine="709"/>
        <w:jc w:val="both"/>
        <w:rPr>
          <w:color w:val="000000" w:themeColor="text1"/>
          <w:lang w:val="es-CR" w:eastAsia="es-CR"/>
        </w:rPr>
      </w:pPr>
    </w:p>
    <w:p w14:paraId="6817A1D8"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 xml:space="preserve">El MAIC dentro de sus funcionalidades refleja alertas oportunas de la(s) área(s) que reflejan oportunidad de mejora y que requieren ser abordadas, esto, independientemente de la cantidad de áreas críticas que presente un despacho u oficina. El Modelo se basa en el nivel de alejamiento negativo que presente un resultado en la matriz de indicadores con relación al parámetro establecido (rango en el que debería mantenerse el resultado para considerarlo estándar), así se detecte una sola área crítica o muchas, esto contribuye con la visión global del Circuito Judicial por nivel de criticidad de áreas y además evita que se deje de lado alguna área con oportunidad de mejora detectada en el Circuito.  </w:t>
      </w:r>
    </w:p>
    <w:p w14:paraId="6DA8CFD4" w14:textId="77777777" w:rsidR="00CF7396" w:rsidRPr="00CF7396" w:rsidRDefault="00CF7396" w:rsidP="00CF7396">
      <w:pPr>
        <w:ind w:left="851" w:right="851" w:firstLine="709"/>
        <w:jc w:val="both"/>
        <w:rPr>
          <w:color w:val="000000" w:themeColor="text1"/>
          <w:lang w:val="es-CR" w:eastAsia="es-CR"/>
        </w:rPr>
      </w:pPr>
    </w:p>
    <w:p w14:paraId="0039FB98"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El análisis integral que se realiza de los resultados de la Matriz de Indicadores de Gestión de cada despacho u oficina permite ubicar a cada una de ellas en un estado general, que se identifica con una letra específica (A, B, C, D o E) donde la letra “A” califica al Despacho como excelente hasta la letra “E” como crítico con rendimiento de personal aceptable, se muestra el detalle en el siguiente cuadro:</w:t>
      </w:r>
    </w:p>
    <w:p w14:paraId="4B75A832"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 xml:space="preserve">  </w:t>
      </w:r>
    </w:p>
    <w:p w14:paraId="7BC265EC" w14:textId="77777777" w:rsidR="00CF7396" w:rsidRPr="00CF7396" w:rsidRDefault="00CF7396" w:rsidP="00CF7396">
      <w:pPr>
        <w:ind w:left="360" w:right="48"/>
        <w:jc w:val="center"/>
        <w:rPr>
          <w:b/>
          <w:bCs/>
          <w:color w:val="000000" w:themeColor="text1"/>
          <w:lang w:val="es-CR"/>
        </w:rPr>
      </w:pPr>
    </w:p>
    <w:p w14:paraId="6BCCFC34" w14:textId="77777777" w:rsidR="00CF7396" w:rsidRPr="00CF7396" w:rsidRDefault="00CF7396" w:rsidP="00CF7396">
      <w:pPr>
        <w:ind w:left="360" w:right="48"/>
        <w:jc w:val="center"/>
        <w:rPr>
          <w:b/>
          <w:bCs/>
          <w:color w:val="000000" w:themeColor="text1"/>
          <w:lang w:val="es-CR"/>
        </w:rPr>
      </w:pPr>
      <w:r w:rsidRPr="00CF7396">
        <w:rPr>
          <w:b/>
          <w:bCs/>
          <w:color w:val="000000" w:themeColor="text1"/>
          <w:lang w:val="es-CR"/>
        </w:rPr>
        <w:t xml:space="preserve">Detalle de calificaciones y parámetros del Análisis Integral de Circuitos Judiciales (MAIC) </w:t>
      </w:r>
    </w:p>
    <w:p w14:paraId="31F43F44" w14:textId="77777777" w:rsidR="00CF7396" w:rsidRPr="00CF7396" w:rsidRDefault="00CF7396" w:rsidP="00CF7396">
      <w:pPr>
        <w:ind w:left="360" w:right="48"/>
        <w:jc w:val="center"/>
        <w:rPr>
          <w:b/>
          <w:bCs/>
          <w:color w:val="000000" w:themeColor="text1"/>
          <w:lang w:val="es-CR"/>
        </w:rPr>
      </w:pPr>
    </w:p>
    <w:tbl>
      <w:tblPr>
        <w:tblW w:w="0" w:type="auto"/>
        <w:tblInd w:w="93" w:type="dxa"/>
        <w:tblCellMar>
          <w:left w:w="70" w:type="dxa"/>
          <w:right w:w="70" w:type="dxa"/>
        </w:tblCellMar>
        <w:tblLook w:val="04A0" w:firstRow="1" w:lastRow="0" w:firstColumn="1" w:lastColumn="0" w:noHBand="0" w:noVBand="1"/>
      </w:tblPr>
      <w:tblGrid>
        <w:gridCol w:w="1554"/>
        <w:gridCol w:w="1199"/>
        <w:gridCol w:w="980"/>
        <w:gridCol w:w="1433"/>
        <w:gridCol w:w="4100"/>
      </w:tblGrid>
      <w:tr w:rsidR="00CF7396" w:rsidRPr="00CF7396" w14:paraId="15FE77B0" w14:textId="77777777" w:rsidTr="00AF369B">
        <w:trPr>
          <w:trHeight w:val="800"/>
          <w:tblHeader/>
        </w:trPr>
        <w:tc>
          <w:tcPr>
            <w:tcW w:w="1430" w:type="dxa"/>
            <w:tcBorders>
              <w:top w:val="double" w:sz="6" w:space="0" w:color="auto"/>
              <w:left w:val="double" w:sz="6" w:space="0" w:color="auto"/>
              <w:bottom w:val="double" w:sz="6" w:space="0" w:color="auto"/>
              <w:right w:val="double" w:sz="6" w:space="0" w:color="auto"/>
            </w:tcBorders>
            <w:shd w:val="clear" w:color="000000" w:fill="D9D9D9"/>
            <w:vAlign w:val="center"/>
            <w:hideMark/>
          </w:tcPr>
          <w:p w14:paraId="022BEE9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Definición Breve</w:t>
            </w:r>
          </w:p>
        </w:tc>
        <w:tc>
          <w:tcPr>
            <w:tcW w:w="1199" w:type="dxa"/>
            <w:tcBorders>
              <w:top w:val="double" w:sz="6" w:space="0" w:color="auto"/>
              <w:left w:val="nil"/>
              <w:bottom w:val="double" w:sz="6" w:space="0" w:color="auto"/>
              <w:right w:val="double" w:sz="6" w:space="0" w:color="auto"/>
            </w:tcBorders>
            <w:shd w:val="clear" w:color="000000" w:fill="D9D9D9"/>
            <w:vAlign w:val="center"/>
            <w:hideMark/>
          </w:tcPr>
          <w:p w14:paraId="6A6CFD5B" w14:textId="77777777" w:rsidR="00CF7396" w:rsidRPr="00CF7396" w:rsidRDefault="00CF7396" w:rsidP="00CF7396">
            <w:pPr>
              <w:jc w:val="center"/>
              <w:rPr>
                <w:b/>
                <w:bCs/>
                <w:color w:val="000000" w:themeColor="text1"/>
                <w:lang w:val="es-CR" w:eastAsia="es-CR"/>
              </w:rPr>
            </w:pPr>
            <w:proofErr w:type="spellStart"/>
            <w:r w:rsidRPr="00CF7396">
              <w:rPr>
                <w:b/>
                <w:bCs/>
                <w:color w:val="000000" w:themeColor="text1"/>
                <w:lang w:val="es-CR" w:eastAsia="es-CR"/>
              </w:rPr>
              <w:t>Calif</w:t>
            </w:r>
            <w:proofErr w:type="spellEnd"/>
            <w:r w:rsidRPr="00CF7396">
              <w:rPr>
                <w:b/>
                <w:bCs/>
                <w:color w:val="000000" w:themeColor="text1"/>
                <w:lang w:val="es-CR" w:eastAsia="es-CR"/>
              </w:rPr>
              <w:t>.</w:t>
            </w:r>
          </w:p>
        </w:tc>
        <w:tc>
          <w:tcPr>
            <w:tcW w:w="0" w:type="auto"/>
            <w:tcBorders>
              <w:top w:val="double" w:sz="6" w:space="0" w:color="auto"/>
              <w:left w:val="nil"/>
              <w:bottom w:val="double" w:sz="6" w:space="0" w:color="auto"/>
              <w:right w:val="double" w:sz="6" w:space="0" w:color="auto"/>
            </w:tcBorders>
            <w:shd w:val="clear" w:color="000000" w:fill="D9D9D9"/>
            <w:vAlign w:val="center"/>
            <w:hideMark/>
          </w:tcPr>
          <w:p w14:paraId="7240787B" w14:textId="77777777" w:rsidR="00CF7396" w:rsidRPr="00CF7396" w:rsidRDefault="00CF7396" w:rsidP="00CF7396">
            <w:pPr>
              <w:jc w:val="center"/>
              <w:rPr>
                <w:b/>
                <w:bCs/>
                <w:color w:val="000000" w:themeColor="text1"/>
                <w:lang w:val="es-CR" w:eastAsia="es-CR"/>
              </w:rPr>
            </w:pPr>
            <w:proofErr w:type="spellStart"/>
            <w:r w:rsidRPr="00CF7396">
              <w:rPr>
                <w:b/>
                <w:bCs/>
                <w:color w:val="000000" w:themeColor="text1"/>
                <w:lang w:val="es-CR" w:eastAsia="es-CR"/>
              </w:rPr>
              <w:t>Cant</w:t>
            </w:r>
            <w:proofErr w:type="spellEnd"/>
            <w:r w:rsidRPr="00CF7396">
              <w:rPr>
                <w:b/>
                <w:bCs/>
                <w:color w:val="000000" w:themeColor="text1"/>
                <w:lang w:val="es-CR" w:eastAsia="es-CR"/>
              </w:rPr>
              <w:t xml:space="preserve">. </w:t>
            </w:r>
            <w:proofErr w:type="spellStart"/>
            <w:r w:rsidRPr="00CF7396">
              <w:rPr>
                <w:b/>
                <w:bCs/>
                <w:color w:val="000000" w:themeColor="text1"/>
                <w:lang w:val="es-CR" w:eastAsia="es-CR"/>
              </w:rPr>
              <w:t>indic</w:t>
            </w:r>
            <w:proofErr w:type="spellEnd"/>
            <w:r w:rsidRPr="00CF7396">
              <w:rPr>
                <w:b/>
                <w:bCs/>
                <w:color w:val="000000" w:themeColor="text1"/>
                <w:lang w:val="es-CR" w:eastAsia="es-CR"/>
              </w:rPr>
              <w:t xml:space="preserve">. en color rojo </w:t>
            </w:r>
            <w:r w:rsidRPr="00CF7396">
              <w:rPr>
                <w:b/>
                <w:bCs/>
                <w:color w:val="000000" w:themeColor="text1"/>
                <w:lang w:val="es-CR" w:eastAsia="es-CR"/>
              </w:rPr>
              <w:br/>
              <w:t>(</w:t>
            </w:r>
            <w:proofErr w:type="spellStart"/>
            <w:r w:rsidRPr="00CF7396">
              <w:rPr>
                <w:b/>
                <w:bCs/>
                <w:color w:val="000000" w:themeColor="text1"/>
                <w:lang w:val="es-CR" w:eastAsia="es-CR"/>
              </w:rPr>
              <w:t>oport</w:t>
            </w:r>
            <w:proofErr w:type="spellEnd"/>
            <w:r w:rsidRPr="00CF7396">
              <w:rPr>
                <w:b/>
                <w:bCs/>
                <w:color w:val="000000" w:themeColor="text1"/>
                <w:lang w:val="es-CR" w:eastAsia="es-CR"/>
              </w:rPr>
              <w:t>. de mejora)</w:t>
            </w:r>
          </w:p>
        </w:tc>
        <w:tc>
          <w:tcPr>
            <w:tcW w:w="1437" w:type="dxa"/>
            <w:tcBorders>
              <w:top w:val="double" w:sz="6" w:space="0" w:color="auto"/>
              <w:left w:val="nil"/>
              <w:bottom w:val="double" w:sz="6" w:space="0" w:color="auto"/>
              <w:right w:val="double" w:sz="6" w:space="0" w:color="auto"/>
            </w:tcBorders>
            <w:shd w:val="clear" w:color="000000" w:fill="D9D9D9"/>
            <w:vAlign w:val="center"/>
            <w:hideMark/>
          </w:tcPr>
          <w:p w14:paraId="2E5AF12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Alejamiento de rango establecido</w:t>
            </w:r>
          </w:p>
        </w:tc>
        <w:tc>
          <w:tcPr>
            <w:tcW w:w="4371" w:type="dxa"/>
            <w:tcBorders>
              <w:top w:val="double" w:sz="6" w:space="0" w:color="auto"/>
              <w:left w:val="nil"/>
              <w:bottom w:val="double" w:sz="6" w:space="0" w:color="auto"/>
              <w:right w:val="double" w:sz="6" w:space="0" w:color="auto"/>
            </w:tcBorders>
            <w:shd w:val="clear" w:color="000000" w:fill="D9D9D9"/>
            <w:vAlign w:val="center"/>
            <w:hideMark/>
          </w:tcPr>
          <w:p w14:paraId="71E269B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Observaciones</w:t>
            </w:r>
          </w:p>
        </w:tc>
      </w:tr>
      <w:tr w:rsidR="00CF7396" w:rsidRPr="00CF7396" w14:paraId="76D7FCD0" w14:textId="77777777" w:rsidTr="00AF369B">
        <w:trPr>
          <w:trHeight w:val="1060"/>
        </w:trPr>
        <w:tc>
          <w:tcPr>
            <w:tcW w:w="1430" w:type="dxa"/>
            <w:tcBorders>
              <w:top w:val="nil"/>
              <w:left w:val="double" w:sz="6" w:space="0" w:color="auto"/>
              <w:bottom w:val="double" w:sz="6" w:space="0" w:color="auto"/>
              <w:right w:val="double" w:sz="6" w:space="0" w:color="auto"/>
            </w:tcBorders>
            <w:shd w:val="clear" w:color="auto" w:fill="auto"/>
            <w:vAlign w:val="center"/>
            <w:hideMark/>
          </w:tcPr>
          <w:p w14:paraId="5E42451F" w14:textId="77777777" w:rsidR="00CF7396" w:rsidRPr="00CF7396" w:rsidRDefault="00CF7396" w:rsidP="00CF7396">
            <w:pPr>
              <w:jc w:val="right"/>
              <w:rPr>
                <w:b/>
                <w:bCs/>
                <w:i/>
                <w:iCs/>
                <w:color w:val="000000" w:themeColor="text1"/>
                <w:lang w:val="es-CR" w:eastAsia="es-CR"/>
              </w:rPr>
            </w:pPr>
            <w:r w:rsidRPr="00CF7396">
              <w:rPr>
                <w:b/>
                <w:bCs/>
                <w:i/>
                <w:iCs/>
                <w:color w:val="000000" w:themeColor="text1"/>
                <w:lang w:val="es-CR" w:eastAsia="es-CR"/>
              </w:rPr>
              <w:t>Crítico, pero a menos el 80% del personal tienen rendimientos aceptables</w:t>
            </w:r>
          </w:p>
        </w:tc>
        <w:tc>
          <w:tcPr>
            <w:tcW w:w="1199" w:type="dxa"/>
            <w:tcBorders>
              <w:top w:val="nil"/>
              <w:left w:val="nil"/>
              <w:bottom w:val="nil"/>
              <w:right w:val="nil"/>
            </w:tcBorders>
            <w:shd w:val="clear" w:color="000000" w:fill="FF9933"/>
            <w:noWrap/>
            <w:vAlign w:val="center"/>
            <w:hideMark/>
          </w:tcPr>
          <w:p w14:paraId="2F629A3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0" w:type="auto"/>
            <w:tcBorders>
              <w:top w:val="nil"/>
              <w:left w:val="double" w:sz="6" w:space="0" w:color="auto"/>
              <w:bottom w:val="double" w:sz="6" w:space="0" w:color="auto"/>
              <w:right w:val="double" w:sz="6" w:space="0" w:color="auto"/>
            </w:tcBorders>
            <w:shd w:val="clear" w:color="auto" w:fill="auto"/>
            <w:vAlign w:val="center"/>
            <w:hideMark/>
          </w:tcPr>
          <w:p w14:paraId="74C315A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De uno hasta su totalidad</w:t>
            </w:r>
          </w:p>
        </w:tc>
        <w:tc>
          <w:tcPr>
            <w:tcW w:w="1437" w:type="dxa"/>
            <w:tcBorders>
              <w:top w:val="nil"/>
              <w:left w:val="nil"/>
              <w:bottom w:val="double" w:sz="6" w:space="0" w:color="auto"/>
              <w:right w:val="double" w:sz="6" w:space="0" w:color="auto"/>
            </w:tcBorders>
            <w:shd w:val="clear" w:color="auto" w:fill="auto"/>
            <w:vAlign w:val="center"/>
            <w:hideMark/>
          </w:tcPr>
          <w:p w14:paraId="7B22BA8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100% en adelante</w:t>
            </w:r>
          </w:p>
        </w:tc>
        <w:tc>
          <w:tcPr>
            <w:tcW w:w="4371" w:type="dxa"/>
            <w:tcBorders>
              <w:top w:val="nil"/>
              <w:left w:val="nil"/>
              <w:bottom w:val="double" w:sz="6" w:space="0" w:color="auto"/>
              <w:right w:val="double" w:sz="6" w:space="0" w:color="auto"/>
            </w:tcBorders>
            <w:shd w:val="clear" w:color="auto" w:fill="auto"/>
            <w:vAlign w:val="center"/>
            <w:hideMark/>
          </w:tcPr>
          <w:p w14:paraId="7E5AA77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Si en la matriz se detecta al menos un indicador que su resultado se aleja negativamente un </w:t>
            </w:r>
            <w:r w:rsidRPr="00CF7396">
              <w:rPr>
                <w:b/>
                <w:bCs/>
                <w:color w:val="000000" w:themeColor="text1"/>
                <w:lang w:val="es-CR" w:eastAsia="es-CR"/>
              </w:rPr>
              <w:t>100%</w:t>
            </w:r>
            <w:r w:rsidRPr="00CF7396">
              <w:rPr>
                <w:color w:val="000000" w:themeColor="text1"/>
                <w:lang w:val="es-CR" w:eastAsia="es-CR"/>
              </w:rPr>
              <w:t xml:space="preserve"> o más del rango establecido </w:t>
            </w:r>
            <w:r w:rsidRPr="00CF7396">
              <w:rPr>
                <w:b/>
                <w:bCs/>
                <w:i/>
                <w:iCs/>
                <w:color w:val="000000" w:themeColor="text1"/>
                <w:lang w:val="es-CR" w:eastAsia="es-CR"/>
              </w:rPr>
              <w:t>pero el rendimiento de al menos el 80% del personal se encuentra dentro del rango "estándar" o "muy bueno"</w:t>
            </w:r>
            <w:r w:rsidRPr="00CF7396">
              <w:rPr>
                <w:color w:val="000000" w:themeColor="text1"/>
                <w:lang w:val="es-CR" w:eastAsia="es-CR"/>
              </w:rPr>
              <w:t xml:space="preserve"> se debe ubicar en esta categoría.</w:t>
            </w:r>
          </w:p>
        </w:tc>
      </w:tr>
      <w:tr w:rsidR="00CF7396" w:rsidRPr="00CF7396" w14:paraId="7678DDC2" w14:textId="77777777" w:rsidTr="00AF369B">
        <w:trPr>
          <w:trHeight w:val="1118"/>
        </w:trPr>
        <w:tc>
          <w:tcPr>
            <w:tcW w:w="1430" w:type="dxa"/>
            <w:tcBorders>
              <w:top w:val="nil"/>
              <w:left w:val="double" w:sz="6" w:space="0" w:color="auto"/>
              <w:bottom w:val="double" w:sz="6" w:space="0" w:color="auto"/>
              <w:right w:val="double" w:sz="6" w:space="0" w:color="auto"/>
            </w:tcBorders>
            <w:shd w:val="clear" w:color="auto" w:fill="auto"/>
            <w:noWrap/>
            <w:vAlign w:val="center"/>
            <w:hideMark/>
          </w:tcPr>
          <w:p w14:paraId="570A9D64" w14:textId="77777777" w:rsidR="00CF7396" w:rsidRPr="00CF7396" w:rsidRDefault="00CF7396" w:rsidP="00CF7396">
            <w:pPr>
              <w:jc w:val="right"/>
              <w:rPr>
                <w:b/>
                <w:bCs/>
                <w:i/>
                <w:iCs/>
                <w:color w:val="000000" w:themeColor="text1"/>
                <w:lang w:val="es-CR" w:eastAsia="es-CR"/>
              </w:rPr>
            </w:pPr>
            <w:r w:rsidRPr="00CF7396">
              <w:rPr>
                <w:b/>
                <w:bCs/>
                <w:i/>
                <w:iCs/>
                <w:color w:val="000000" w:themeColor="text1"/>
                <w:lang w:val="es-CR" w:eastAsia="es-CR"/>
              </w:rPr>
              <w:t>Crítico y mayoría del personal no alcanza cuotas de trabajo</w:t>
            </w:r>
          </w:p>
        </w:tc>
        <w:tc>
          <w:tcPr>
            <w:tcW w:w="1199" w:type="dxa"/>
            <w:tcBorders>
              <w:top w:val="double" w:sz="6" w:space="0" w:color="auto"/>
              <w:left w:val="double" w:sz="6" w:space="0" w:color="auto"/>
              <w:bottom w:val="double" w:sz="6" w:space="0" w:color="auto"/>
              <w:right w:val="double" w:sz="6" w:space="0" w:color="auto"/>
            </w:tcBorders>
            <w:shd w:val="clear" w:color="000000" w:fill="FF0000"/>
            <w:noWrap/>
            <w:vAlign w:val="center"/>
            <w:hideMark/>
          </w:tcPr>
          <w:p w14:paraId="4D44D97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0" w:type="auto"/>
            <w:tcBorders>
              <w:top w:val="nil"/>
              <w:left w:val="nil"/>
              <w:bottom w:val="double" w:sz="6" w:space="0" w:color="auto"/>
              <w:right w:val="double" w:sz="6" w:space="0" w:color="auto"/>
            </w:tcBorders>
            <w:shd w:val="clear" w:color="auto" w:fill="auto"/>
            <w:vAlign w:val="center"/>
            <w:hideMark/>
          </w:tcPr>
          <w:p w14:paraId="6557D01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De uno hasta su totalidad</w:t>
            </w:r>
          </w:p>
        </w:tc>
        <w:tc>
          <w:tcPr>
            <w:tcW w:w="1437" w:type="dxa"/>
            <w:tcBorders>
              <w:top w:val="nil"/>
              <w:left w:val="nil"/>
              <w:bottom w:val="double" w:sz="6" w:space="0" w:color="auto"/>
              <w:right w:val="double" w:sz="6" w:space="0" w:color="auto"/>
            </w:tcBorders>
            <w:shd w:val="clear" w:color="auto" w:fill="auto"/>
            <w:vAlign w:val="center"/>
            <w:hideMark/>
          </w:tcPr>
          <w:p w14:paraId="74D814F1"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100% en adelante</w:t>
            </w:r>
          </w:p>
        </w:tc>
        <w:tc>
          <w:tcPr>
            <w:tcW w:w="4371" w:type="dxa"/>
            <w:tcBorders>
              <w:top w:val="nil"/>
              <w:left w:val="nil"/>
              <w:bottom w:val="double" w:sz="6" w:space="0" w:color="auto"/>
              <w:right w:val="double" w:sz="6" w:space="0" w:color="auto"/>
            </w:tcBorders>
            <w:shd w:val="clear" w:color="auto" w:fill="auto"/>
            <w:vAlign w:val="center"/>
            <w:hideMark/>
          </w:tcPr>
          <w:p w14:paraId="20A8600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Si en la matriz se detecta al menos un indicador que su resultado se aleja negativamente un </w:t>
            </w:r>
            <w:r w:rsidRPr="00CF7396">
              <w:rPr>
                <w:b/>
                <w:bCs/>
                <w:color w:val="000000" w:themeColor="text1"/>
                <w:lang w:val="es-CR" w:eastAsia="es-CR"/>
              </w:rPr>
              <w:t>100%</w:t>
            </w:r>
            <w:r w:rsidRPr="00CF7396">
              <w:rPr>
                <w:color w:val="000000" w:themeColor="text1"/>
                <w:lang w:val="es-CR" w:eastAsia="es-CR"/>
              </w:rPr>
              <w:t xml:space="preserve"> o más del rango establecido se debe ubicar en esta categoría.</w:t>
            </w:r>
          </w:p>
        </w:tc>
      </w:tr>
      <w:tr w:rsidR="00CF7396" w:rsidRPr="00CF7396" w14:paraId="1643E6BF" w14:textId="77777777" w:rsidTr="00AF369B">
        <w:trPr>
          <w:trHeight w:val="853"/>
        </w:trPr>
        <w:tc>
          <w:tcPr>
            <w:tcW w:w="1430" w:type="dxa"/>
            <w:tcBorders>
              <w:top w:val="nil"/>
              <w:left w:val="double" w:sz="6" w:space="0" w:color="auto"/>
              <w:bottom w:val="double" w:sz="6" w:space="0" w:color="auto"/>
              <w:right w:val="double" w:sz="6" w:space="0" w:color="auto"/>
            </w:tcBorders>
            <w:shd w:val="clear" w:color="auto" w:fill="auto"/>
            <w:vAlign w:val="center"/>
            <w:hideMark/>
          </w:tcPr>
          <w:p w14:paraId="15E046ED" w14:textId="77777777" w:rsidR="00CF7396" w:rsidRPr="00CF7396" w:rsidRDefault="00CF7396" w:rsidP="00CF7396">
            <w:pPr>
              <w:jc w:val="right"/>
              <w:rPr>
                <w:b/>
                <w:bCs/>
                <w:i/>
                <w:iCs/>
                <w:color w:val="000000" w:themeColor="text1"/>
                <w:lang w:val="es-CR" w:eastAsia="es-CR"/>
              </w:rPr>
            </w:pPr>
            <w:r w:rsidRPr="00CF7396">
              <w:rPr>
                <w:b/>
                <w:bCs/>
                <w:i/>
                <w:iCs/>
                <w:color w:val="000000" w:themeColor="text1"/>
                <w:lang w:val="es-CR" w:eastAsia="es-CR"/>
              </w:rPr>
              <w:t>Con oportunidades de mejora manejables</w:t>
            </w:r>
          </w:p>
        </w:tc>
        <w:tc>
          <w:tcPr>
            <w:tcW w:w="1199" w:type="dxa"/>
            <w:tcBorders>
              <w:top w:val="double" w:sz="6" w:space="0" w:color="auto"/>
              <w:left w:val="double" w:sz="6" w:space="0" w:color="auto"/>
              <w:bottom w:val="double" w:sz="6" w:space="0" w:color="auto"/>
              <w:right w:val="double" w:sz="6" w:space="0" w:color="auto"/>
            </w:tcBorders>
            <w:shd w:val="clear" w:color="000000" w:fill="FFFF00"/>
            <w:noWrap/>
            <w:vAlign w:val="center"/>
            <w:hideMark/>
          </w:tcPr>
          <w:p w14:paraId="580DB7D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C</w:t>
            </w:r>
          </w:p>
        </w:tc>
        <w:tc>
          <w:tcPr>
            <w:tcW w:w="0" w:type="auto"/>
            <w:tcBorders>
              <w:top w:val="nil"/>
              <w:left w:val="nil"/>
              <w:bottom w:val="double" w:sz="6" w:space="0" w:color="auto"/>
              <w:right w:val="double" w:sz="6" w:space="0" w:color="auto"/>
            </w:tcBorders>
            <w:shd w:val="clear" w:color="auto" w:fill="auto"/>
            <w:vAlign w:val="center"/>
            <w:hideMark/>
          </w:tcPr>
          <w:p w14:paraId="21532A8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De uno hasta su totalidad</w:t>
            </w:r>
          </w:p>
        </w:tc>
        <w:tc>
          <w:tcPr>
            <w:tcW w:w="1437" w:type="dxa"/>
            <w:tcBorders>
              <w:top w:val="nil"/>
              <w:left w:val="nil"/>
              <w:bottom w:val="double" w:sz="6" w:space="0" w:color="auto"/>
              <w:right w:val="double" w:sz="6" w:space="0" w:color="auto"/>
            </w:tcBorders>
            <w:shd w:val="clear" w:color="auto" w:fill="auto"/>
            <w:vAlign w:val="center"/>
            <w:hideMark/>
          </w:tcPr>
          <w:p w14:paraId="0E93019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50% a 99%</w:t>
            </w:r>
          </w:p>
        </w:tc>
        <w:tc>
          <w:tcPr>
            <w:tcW w:w="4371" w:type="dxa"/>
            <w:tcBorders>
              <w:top w:val="nil"/>
              <w:left w:val="nil"/>
              <w:bottom w:val="double" w:sz="6" w:space="0" w:color="auto"/>
              <w:right w:val="double" w:sz="6" w:space="0" w:color="auto"/>
            </w:tcBorders>
            <w:shd w:val="clear" w:color="auto" w:fill="auto"/>
            <w:vAlign w:val="center"/>
            <w:hideMark/>
          </w:tcPr>
          <w:p w14:paraId="38B1C0F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Si en la matriz se detecta al menos un indicador que su resultado se aleja negativamente de un </w:t>
            </w:r>
            <w:r w:rsidRPr="00CF7396">
              <w:rPr>
                <w:b/>
                <w:bCs/>
                <w:color w:val="000000" w:themeColor="text1"/>
                <w:lang w:val="es-CR" w:eastAsia="es-CR"/>
              </w:rPr>
              <w:t>50% a un 99%</w:t>
            </w:r>
            <w:r w:rsidRPr="00CF7396">
              <w:rPr>
                <w:color w:val="000000" w:themeColor="text1"/>
                <w:lang w:val="es-CR" w:eastAsia="es-CR"/>
              </w:rPr>
              <w:t xml:space="preserve"> del rango establecido se debe ubicar en esta categoría.</w:t>
            </w:r>
          </w:p>
        </w:tc>
      </w:tr>
      <w:tr w:rsidR="00CF7396" w:rsidRPr="00CF7396" w14:paraId="2F9F92A1" w14:textId="77777777" w:rsidTr="00AF369B">
        <w:trPr>
          <w:trHeight w:val="800"/>
        </w:trPr>
        <w:tc>
          <w:tcPr>
            <w:tcW w:w="1430" w:type="dxa"/>
            <w:tcBorders>
              <w:top w:val="nil"/>
              <w:left w:val="double" w:sz="6" w:space="0" w:color="auto"/>
              <w:bottom w:val="double" w:sz="6" w:space="0" w:color="auto"/>
              <w:right w:val="double" w:sz="6" w:space="0" w:color="auto"/>
            </w:tcBorders>
            <w:shd w:val="clear" w:color="auto" w:fill="auto"/>
            <w:noWrap/>
            <w:vAlign w:val="center"/>
            <w:hideMark/>
          </w:tcPr>
          <w:p w14:paraId="45F7F744" w14:textId="77777777" w:rsidR="00CF7396" w:rsidRPr="00CF7396" w:rsidRDefault="00CF7396" w:rsidP="00CF7396">
            <w:pPr>
              <w:jc w:val="right"/>
              <w:rPr>
                <w:b/>
                <w:bCs/>
                <w:i/>
                <w:iCs/>
                <w:color w:val="000000" w:themeColor="text1"/>
                <w:lang w:val="es-CR" w:eastAsia="es-CR"/>
              </w:rPr>
            </w:pPr>
            <w:r w:rsidRPr="00CF7396">
              <w:rPr>
                <w:b/>
                <w:bCs/>
                <w:i/>
                <w:iCs/>
                <w:color w:val="000000" w:themeColor="text1"/>
                <w:lang w:val="es-CR" w:eastAsia="es-CR"/>
              </w:rPr>
              <w:t>Bien</w:t>
            </w:r>
          </w:p>
        </w:tc>
        <w:tc>
          <w:tcPr>
            <w:tcW w:w="1199" w:type="dxa"/>
            <w:tcBorders>
              <w:top w:val="double" w:sz="6" w:space="0" w:color="auto"/>
              <w:left w:val="double" w:sz="6" w:space="0" w:color="auto"/>
              <w:bottom w:val="double" w:sz="6" w:space="0" w:color="auto"/>
              <w:right w:val="double" w:sz="6" w:space="0" w:color="auto"/>
            </w:tcBorders>
            <w:shd w:val="clear" w:color="000000" w:fill="92D050"/>
            <w:noWrap/>
            <w:vAlign w:val="center"/>
            <w:hideMark/>
          </w:tcPr>
          <w:p w14:paraId="54D5C94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B</w:t>
            </w:r>
          </w:p>
        </w:tc>
        <w:tc>
          <w:tcPr>
            <w:tcW w:w="0" w:type="auto"/>
            <w:tcBorders>
              <w:top w:val="nil"/>
              <w:left w:val="nil"/>
              <w:bottom w:val="double" w:sz="6" w:space="0" w:color="auto"/>
              <w:right w:val="double" w:sz="6" w:space="0" w:color="auto"/>
            </w:tcBorders>
            <w:shd w:val="clear" w:color="auto" w:fill="auto"/>
            <w:vAlign w:val="center"/>
            <w:hideMark/>
          </w:tcPr>
          <w:p w14:paraId="2897F0B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De uno hasta su totalidad</w:t>
            </w:r>
          </w:p>
        </w:tc>
        <w:tc>
          <w:tcPr>
            <w:tcW w:w="1437" w:type="dxa"/>
            <w:tcBorders>
              <w:top w:val="nil"/>
              <w:left w:val="nil"/>
              <w:bottom w:val="double" w:sz="6" w:space="0" w:color="auto"/>
              <w:right w:val="double" w:sz="6" w:space="0" w:color="auto"/>
            </w:tcBorders>
            <w:shd w:val="clear" w:color="auto" w:fill="auto"/>
            <w:vAlign w:val="center"/>
            <w:hideMark/>
          </w:tcPr>
          <w:p w14:paraId="67F9F48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De 11% a 49%</w:t>
            </w:r>
          </w:p>
        </w:tc>
        <w:tc>
          <w:tcPr>
            <w:tcW w:w="4371" w:type="dxa"/>
            <w:tcBorders>
              <w:top w:val="nil"/>
              <w:left w:val="nil"/>
              <w:bottom w:val="double" w:sz="6" w:space="0" w:color="auto"/>
              <w:right w:val="double" w:sz="6" w:space="0" w:color="auto"/>
            </w:tcBorders>
            <w:shd w:val="clear" w:color="auto" w:fill="auto"/>
            <w:vAlign w:val="center"/>
            <w:hideMark/>
          </w:tcPr>
          <w:p w14:paraId="7B27597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Si en la matriz se detecta al menos un indicador que su resultado se aleja negativamente de un </w:t>
            </w:r>
            <w:r w:rsidRPr="00CF7396">
              <w:rPr>
                <w:b/>
                <w:bCs/>
                <w:color w:val="000000" w:themeColor="text1"/>
                <w:lang w:val="es-CR" w:eastAsia="es-CR"/>
              </w:rPr>
              <w:t>11% a un 49%</w:t>
            </w:r>
            <w:r w:rsidRPr="00CF7396">
              <w:rPr>
                <w:color w:val="000000" w:themeColor="text1"/>
                <w:lang w:val="es-CR" w:eastAsia="es-CR"/>
              </w:rPr>
              <w:t xml:space="preserve"> del rango establecido se debe ubicar en esta categoría.</w:t>
            </w:r>
          </w:p>
        </w:tc>
      </w:tr>
      <w:tr w:rsidR="00CF7396" w:rsidRPr="00CF7396" w14:paraId="2AC9E723" w14:textId="77777777" w:rsidTr="00AF369B">
        <w:trPr>
          <w:trHeight w:val="800"/>
        </w:trPr>
        <w:tc>
          <w:tcPr>
            <w:tcW w:w="1430" w:type="dxa"/>
            <w:tcBorders>
              <w:top w:val="nil"/>
              <w:left w:val="double" w:sz="6" w:space="0" w:color="auto"/>
              <w:bottom w:val="double" w:sz="6" w:space="0" w:color="auto"/>
              <w:right w:val="double" w:sz="6" w:space="0" w:color="auto"/>
            </w:tcBorders>
            <w:shd w:val="clear" w:color="auto" w:fill="auto"/>
            <w:noWrap/>
            <w:vAlign w:val="center"/>
            <w:hideMark/>
          </w:tcPr>
          <w:p w14:paraId="17C8FC17" w14:textId="77777777" w:rsidR="00CF7396" w:rsidRPr="00CF7396" w:rsidRDefault="00CF7396" w:rsidP="00CF7396">
            <w:pPr>
              <w:jc w:val="right"/>
              <w:rPr>
                <w:b/>
                <w:bCs/>
                <w:i/>
                <w:iCs/>
                <w:color w:val="000000" w:themeColor="text1"/>
                <w:lang w:val="es-CR" w:eastAsia="es-CR"/>
              </w:rPr>
            </w:pPr>
            <w:r w:rsidRPr="00CF7396">
              <w:rPr>
                <w:b/>
                <w:bCs/>
                <w:i/>
                <w:iCs/>
                <w:color w:val="000000" w:themeColor="text1"/>
                <w:lang w:val="es-CR" w:eastAsia="es-CR"/>
              </w:rPr>
              <w:t>Excelente</w:t>
            </w:r>
          </w:p>
        </w:tc>
        <w:tc>
          <w:tcPr>
            <w:tcW w:w="1199" w:type="dxa"/>
            <w:tcBorders>
              <w:top w:val="double" w:sz="6" w:space="0" w:color="auto"/>
              <w:left w:val="double" w:sz="6" w:space="0" w:color="auto"/>
              <w:bottom w:val="double" w:sz="6" w:space="0" w:color="auto"/>
              <w:right w:val="double" w:sz="6" w:space="0" w:color="auto"/>
            </w:tcBorders>
            <w:shd w:val="clear" w:color="000000" w:fill="2537E3"/>
            <w:noWrap/>
            <w:vAlign w:val="center"/>
            <w:hideMark/>
          </w:tcPr>
          <w:p w14:paraId="147BAA6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w:t>
            </w:r>
          </w:p>
        </w:tc>
        <w:tc>
          <w:tcPr>
            <w:tcW w:w="0" w:type="auto"/>
            <w:tcBorders>
              <w:top w:val="nil"/>
              <w:left w:val="nil"/>
              <w:bottom w:val="double" w:sz="6" w:space="0" w:color="auto"/>
              <w:right w:val="double" w:sz="6" w:space="0" w:color="auto"/>
            </w:tcBorders>
            <w:shd w:val="clear" w:color="auto" w:fill="auto"/>
            <w:vAlign w:val="center"/>
            <w:hideMark/>
          </w:tcPr>
          <w:p w14:paraId="674576D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Cero o bien de uno hasta su totalidad</w:t>
            </w:r>
          </w:p>
        </w:tc>
        <w:tc>
          <w:tcPr>
            <w:tcW w:w="1437" w:type="dxa"/>
            <w:tcBorders>
              <w:top w:val="nil"/>
              <w:left w:val="nil"/>
              <w:bottom w:val="double" w:sz="6" w:space="0" w:color="auto"/>
              <w:right w:val="double" w:sz="6" w:space="0" w:color="auto"/>
            </w:tcBorders>
            <w:shd w:val="clear" w:color="auto" w:fill="auto"/>
            <w:vAlign w:val="center"/>
            <w:hideMark/>
          </w:tcPr>
          <w:p w14:paraId="6EED7AE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De 0% a 10%</w:t>
            </w:r>
          </w:p>
        </w:tc>
        <w:tc>
          <w:tcPr>
            <w:tcW w:w="4371" w:type="dxa"/>
            <w:tcBorders>
              <w:top w:val="nil"/>
              <w:left w:val="nil"/>
              <w:bottom w:val="double" w:sz="6" w:space="0" w:color="auto"/>
              <w:right w:val="double" w:sz="6" w:space="0" w:color="auto"/>
            </w:tcBorders>
            <w:shd w:val="clear" w:color="auto" w:fill="auto"/>
            <w:vAlign w:val="center"/>
            <w:hideMark/>
          </w:tcPr>
          <w:p w14:paraId="279218B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Si en la matriz se detecta que el indicador con mayor oportunidad de mejora se aleja negativamente máximo un </w:t>
            </w:r>
            <w:r w:rsidRPr="00CF7396">
              <w:rPr>
                <w:b/>
                <w:bCs/>
                <w:color w:val="000000" w:themeColor="text1"/>
                <w:lang w:val="es-CR" w:eastAsia="es-CR"/>
              </w:rPr>
              <w:t>10%</w:t>
            </w:r>
            <w:r w:rsidRPr="00CF7396">
              <w:rPr>
                <w:color w:val="000000" w:themeColor="text1"/>
                <w:lang w:val="es-CR" w:eastAsia="es-CR"/>
              </w:rPr>
              <w:t xml:space="preserve"> del rango establecido, se debe ubicar en esta categoría.</w:t>
            </w:r>
          </w:p>
        </w:tc>
      </w:tr>
    </w:tbl>
    <w:p w14:paraId="1EB50355" w14:textId="77777777" w:rsidR="00CF7396" w:rsidRPr="00CF7396" w:rsidRDefault="00CF7396" w:rsidP="00CF7396">
      <w:pPr>
        <w:ind w:left="360"/>
        <w:rPr>
          <w:i/>
          <w:iCs/>
          <w:color w:val="000000" w:themeColor="text1"/>
          <w:lang w:val="es-CR"/>
        </w:rPr>
      </w:pPr>
      <w:r w:rsidRPr="00CF7396">
        <w:rPr>
          <w:i/>
          <w:iCs/>
          <w:color w:val="000000" w:themeColor="text1"/>
          <w:lang w:val="es-CR"/>
        </w:rPr>
        <w:t>Fuente: Subproceso de Evaluación</w:t>
      </w:r>
    </w:p>
    <w:p w14:paraId="214D90A6" w14:textId="77777777" w:rsidR="00CF7396" w:rsidRPr="00CF7396" w:rsidRDefault="00CF7396" w:rsidP="00CF7396">
      <w:pPr>
        <w:ind w:left="360"/>
        <w:rPr>
          <w:color w:val="000000" w:themeColor="text1"/>
          <w:lang w:val="es-CR"/>
        </w:rPr>
      </w:pPr>
    </w:p>
    <w:p w14:paraId="37B2EFB2"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Cada despacho y oficina es evaluado conforme a sus propios parámetros de medición definidos en la Matriz de Indicadores de Gestión implementada.</w:t>
      </w:r>
    </w:p>
    <w:p w14:paraId="66A24CC3" w14:textId="77777777" w:rsidR="00CF7396" w:rsidRPr="00CF7396" w:rsidRDefault="00CF7396" w:rsidP="00CF7396">
      <w:pPr>
        <w:ind w:left="851" w:right="851" w:firstLine="709"/>
        <w:jc w:val="both"/>
        <w:rPr>
          <w:color w:val="000000" w:themeColor="text1"/>
          <w:lang w:val="es-CR" w:eastAsia="es-CR"/>
        </w:rPr>
      </w:pPr>
    </w:p>
    <w:p w14:paraId="7B67D184"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La persona profesional de la Dirección de Planificación destacada en el Circuito Judicial todos los meses realiza el análisis respectivo de los resultados de los Indicadores De Gestión y asigna una calificación a las oficinas y despachos, de esta forma cuenta con una herramienta e insumo para identificar las oficinas que requieren colaboración inmediata, asimismo mantiene un seguimiento continuo que le permite identificar las oficinas que han mejorado su calificación o bien por el contrario han desmejorado su gestión en alguna área que se deba apoyar.</w:t>
      </w:r>
    </w:p>
    <w:p w14:paraId="58DDBEBF" w14:textId="77777777" w:rsidR="00CF7396" w:rsidRPr="00CF7396" w:rsidRDefault="00CF7396" w:rsidP="00CF7396">
      <w:pPr>
        <w:ind w:left="851" w:right="851" w:firstLine="709"/>
        <w:jc w:val="both"/>
        <w:rPr>
          <w:color w:val="000000" w:themeColor="text1"/>
          <w:lang w:val="es-CR" w:eastAsia="es-CR"/>
        </w:rPr>
      </w:pPr>
    </w:p>
    <w:p w14:paraId="4DEB80B9"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La persona profesional de la Dirección de Planificación destacada en el Circuito Judicial todos los meses realiza el análisis respectivo de los resultados de los Indicadores de Gestión y asigna una calificación a los despachos que conforman el Modelo, de esta forma cuenta con una herramienta e insumo para identificar las oficinas que requieren colaboración inmediata, asimismo mantiene un seguimiento continuo que le permite identificar las oficinas que han mejorado su calificación o bien por el contrario han desmejorado su gestión en alguna área que se deba apoyar.</w:t>
      </w:r>
    </w:p>
    <w:p w14:paraId="5EB62327" w14:textId="77777777" w:rsidR="00CF7396" w:rsidRPr="00CF7396" w:rsidRDefault="00CF7396" w:rsidP="00CF7396">
      <w:pPr>
        <w:ind w:left="851" w:right="851" w:firstLine="709"/>
        <w:jc w:val="both"/>
        <w:rPr>
          <w:color w:val="000000" w:themeColor="text1"/>
          <w:lang w:val="es-CR" w:eastAsia="es-CR"/>
        </w:rPr>
      </w:pPr>
    </w:p>
    <w:p w14:paraId="0C6F893B"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Seguidamente, se muestra el histórico de las calificaciones obtenidas por cada despacho que conforma el Modelo en el Primer Circuito Judicial de la Zona Atlántica y Periférica, del 2021:</w:t>
      </w:r>
    </w:p>
    <w:p w14:paraId="2DF04BCA" w14:textId="77777777" w:rsidR="00CF7396" w:rsidRPr="00CF7396" w:rsidRDefault="00CF7396" w:rsidP="00CF7396">
      <w:pPr>
        <w:rPr>
          <w:color w:val="000000" w:themeColor="text1"/>
          <w:lang w:val="es-CR"/>
        </w:rPr>
      </w:pPr>
    </w:p>
    <w:p w14:paraId="7698566D" w14:textId="77777777" w:rsidR="00CF7396" w:rsidRPr="00CF7396" w:rsidRDefault="00CF7396" w:rsidP="00CF7396">
      <w:pPr>
        <w:jc w:val="center"/>
        <w:rPr>
          <w:b/>
          <w:bCs/>
          <w:color w:val="000000" w:themeColor="text1"/>
          <w:lang w:val="es-CR"/>
        </w:rPr>
      </w:pPr>
      <w:r w:rsidRPr="00CF7396">
        <w:rPr>
          <w:color w:val="000000" w:themeColor="text1"/>
          <w:lang w:val="es-CR"/>
        </w:rPr>
        <w:t>Cuadro 12</w:t>
      </w:r>
    </w:p>
    <w:p w14:paraId="4D388FD4" w14:textId="77777777" w:rsidR="00CF7396" w:rsidRPr="00CF7396" w:rsidRDefault="00CF7396" w:rsidP="00CF7396">
      <w:pPr>
        <w:jc w:val="center"/>
        <w:rPr>
          <w:b/>
          <w:bCs/>
          <w:i/>
          <w:color w:val="000000" w:themeColor="text1"/>
          <w:lang w:val="es-CR"/>
        </w:rPr>
      </w:pPr>
      <w:r w:rsidRPr="00CF7396">
        <w:rPr>
          <w:b/>
          <w:bCs/>
          <w:i/>
          <w:color w:val="000000" w:themeColor="text1"/>
          <w:lang w:val="es-CR"/>
        </w:rPr>
        <w:t>Análisis Integral de despachos y oficinas del Primer Circuito Judicial de la Zona Atlántica y Periférica.</w:t>
      </w:r>
    </w:p>
    <w:p w14:paraId="0DF29827" w14:textId="77777777" w:rsidR="00CF7396" w:rsidRPr="00CF7396" w:rsidRDefault="00CF7396" w:rsidP="00CF7396">
      <w:pPr>
        <w:jc w:val="center"/>
        <w:rPr>
          <w:b/>
          <w:bCs/>
          <w:i/>
          <w:color w:val="000000" w:themeColor="text1"/>
          <w:lang w:val="es-CR"/>
        </w:rPr>
      </w:pPr>
      <w:r w:rsidRPr="00CF7396">
        <w:rPr>
          <w:b/>
          <w:bCs/>
          <w:i/>
          <w:color w:val="000000" w:themeColor="text1"/>
          <w:lang w:val="es-CR"/>
        </w:rPr>
        <w:t>Calificación obtenida por cada despacho y oficina basados en los resultados</w:t>
      </w:r>
    </w:p>
    <w:p w14:paraId="2EC3C55E" w14:textId="77777777" w:rsidR="00CF7396" w:rsidRPr="00CF7396" w:rsidRDefault="00CF7396" w:rsidP="00CF7396">
      <w:pPr>
        <w:jc w:val="center"/>
        <w:rPr>
          <w:b/>
          <w:bCs/>
          <w:i/>
          <w:color w:val="000000" w:themeColor="text1"/>
          <w:lang w:val="es-CR"/>
        </w:rPr>
      </w:pPr>
      <w:r w:rsidRPr="00CF7396">
        <w:rPr>
          <w:b/>
          <w:bCs/>
          <w:i/>
          <w:color w:val="000000" w:themeColor="text1"/>
          <w:lang w:val="es-CR"/>
        </w:rPr>
        <w:t xml:space="preserve"> de los Indicadores de gestión</w:t>
      </w:r>
    </w:p>
    <w:p w14:paraId="27777FA4" w14:textId="77777777" w:rsidR="00CF7396" w:rsidRPr="00CF7396" w:rsidRDefault="00CF7396" w:rsidP="00CF7396">
      <w:pPr>
        <w:jc w:val="center"/>
        <w:rPr>
          <w:b/>
          <w:bCs/>
          <w:i/>
          <w:color w:val="000000" w:themeColor="text1"/>
          <w:lang w:val="es-CR"/>
        </w:rPr>
      </w:pPr>
      <w:r w:rsidRPr="00CF7396">
        <w:rPr>
          <w:b/>
          <w:bCs/>
          <w:i/>
          <w:color w:val="000000" w:themeColor="text1"/>
          <w:lang w:val="es-CR"/>
        </w:rPr>
        <w:t>(2021)</w:t>
      </w:r>
    </w:p>
    <w:tbl>
      <w:tblPr>
        <w:tblW w:w="5000" w:type="pct"/>
        <w:jc w:val="center"/>
        <w:tblCellMar>
          <w:left w:w="70" w:type="dxa"/>
          <w:right w:w="70" w:type="dxa"/>
        </w:tblCellMar>
        <w:tblLook w:val="04A0" w:firstRow="1" w:lastRow="0" w:firstColumn="1" w:lastColumn="0" w:noHBand="0" w:noVBand="1"/>
      </w:tblPr>
      <w:tblGrid>
        <w:gridCol w:w="2783"/>
        <w:gridCol w:w="434"/>
        <w:gridCol w:w="527"/>
        <w:gridCol w:w="594"/>
        <w:gridCol w:w="614"/>
        <w:gridCol w:w="607"/>
        <w:gridCol w:w="527"/>
        <w:gridCol w:w="647"/>
        <w:gridCol w:w="647"/>
        <w:gridCol w:w="460"/>
        <w:gridCol w:w="514"/>
        <w:gridCol w:w="554"/>
        <w:gridCol w:w="487"/>
      </w:tblGrid>
      <w:tr w:rsidR="00CF7396" w:rsidRPr="00CF7396" w14:paraId="74C00C29" w14:textId="77777777" w:rsidTr="00AF369B">
        <w:trPr>
          <w:trHeight w:val="583"/>
          <w:jc w:val="center"/>
        </w:trPr>
        <w:tc>
          <w:tcPr>
            <w:tcW w:w="2161" w:type="pc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2E687DE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Despacho</w:t>
            </w:r>
          </w:p>
        </w:tc>
        <w:tc>
          <w:tcPr>
            <w:tcW w:w="174" w:type="pct"/>
            <w:tcBorders>
              <w:top w:val="single" w:sz="4" w:space="0" w:color="auto"/>
              <w:left w:val="nil"/>
              <w:bottom w:val="single" w:sz="4" w:space="0" w:color="auto"/>
              <w:right w:val="single" w:sz="4" w:space="0" w:color="auto"/>
            </w:tcBorders>
            <w:shd w:val="clear" w:color="000000" w:fill="E2EFDA"/>
            <w:noWrap/>
            <w:hideMark/>
          </w:tcPr>
          <w:p w14:paraId="79B32A7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En</w:t>
            </w:r>
          </w:p>
        </w:tc>
        <w:tc>
          <w:tcPr>
            <w:tcW w:w="265" w:type="pct"/>
            <w:tcBorders>
              <w:top w:val="single" w:sz="4" w:space="0" w:color="auto"/>
              <w:left w:val="nil"/>
              <w:bottom w:val="single" w:sz="4" w:space="0" w:color="auto"/>
              <w:right w:val="single" w:sz="4" w:space="0" w:color="auto"/>
            </w:tcBorders>
            <w:shd w:val="clear" w:color="000000" w:fill="E2EFDA"/>
            <w:noWrap/>
            <w:hideMark/>
          </w:tcPr>
          <w:p w14:paraId="6971C4E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Feb</w:t>
            </w:r>
          </w:p>
        </w:tc>
        <w:tc>
          <w:tcPr>
            <w:tcW w:w="240" w:type="pct"/>
            <w:tcBorders>
              <w:top w:val="single" w:sz="4" w:space="0" w:color="auto"/>
              <w:left w:val="nil"/>
              <w:bottom w:val="single" w:sz="4" w:space="0" w:color="auto"/>
              <w:right w:val="single" w:sz="4" w:space="0" w:color="auto"/>
            </w:tcBorders>
            <w:shd w:val="clear" w:color="000000" w:fill="E2EFDA"/>
            <w:noWrap/>
            <w:hideMark/>
          </w:tcPr>
          <w:p w14:paraId="4C9B43C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Mar</w:t>
            </w:r>
          </w:p>
        </w:tc>
        <w:tc>
          <w:tcPr>
            <w:tcW w:w="240" w:type="pct"/>
            <w:tcBorders>
              <w:top w:val="single" w:sz="4" w:space="0" w:color="auto"/>
              <w:left w:val="nil"/>
              <w:bottom w:val="single" w:sz="4" w:space="0" w:color="auto"/>
              <w:right w:val="single" w:sz="4" w:space="0" w:color="auto"/>
            </w:tcBorders>
            <w:shd w:val="clear" w:color="000000" w:fill="E2EFDA"/>
            <w:noWrap/>
            <w:hideMark/>
          </w:tcPr>
          <w:p w14:paraId="7B8336A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Abr.</w:t>
            </w:r>
          </w:p>
        </w:tc>
        <w:tc>
          <w:tcPr>
            <w:tcW w:w="240" w:type="pct"/>
            <w:tcBorders>
              <w:top w:val="single" w:sz="4" w:space="0" w:color="auto"/>
              <w:left w:val="nil"/>
              <w:bottom w:val="single" w:sz="4" w:space="0" w:color="auto"/>
              <w:right w:val="single" w:sz="4" w:space="0" w:color="auto"/>
            </w:tcBorders>
            <w:shd w:val="clear" w:color="000000" w:fill="E2EFDA"/>
            <w:noWrap/>
            <w:hideMark/>
          </w:tcPr>
          <w:p w14:paraId="73D481F3"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May</w:t>
            </w:r>
          </w:p>
        </w:tc>
        <w:tc>
          <w:tcPr>
            <w:tcW w:w="240" w:type="pct"/>
            <w:tcBorders>
              <w:top w:val="single" w:sz="4" w:space="0" w:color="auto"/>
              <w:left w:val="nil"/>
              <w:bottom w:val="single" w:sz="4" w:space="0" w:color="auto"/>
              <w:right w:val="single" w:sz="4" w:space="0" w:color="auto"/>
            </w:tcBorders>
            <w:shd w:val="clear" w:color="000000" w:fill="E2EFDA"/>
            <w:noWrap/>
            <w:hideMark/>
          </w:tcPr>
          <w:p w14:paraId="3A8A4D0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Jun</w:t>
            </w:r>
          </w:p>
        </w:tc>
        <w:tc>
          <w:tcPr>
            <w:tcW w:w="240" w:type="pct"/>
            <w:tcBorders>
              <w:top w:val="single" w:sz="4" w:space="0" w:color="auto"/>
              <w:left w:val="nil"/>
              <w:bottom w:val="single" w:sz="4" w:space="0" w:color="auto"/>
              <w:right w:val="single" w:sz="4" w:space="0" w:color="auto"/>
            </w:tcBorders>
            <w:shd w:val="clear" w:color="000000" w:fill="E2EFDA"/>
            <w:noWrap/>
            <w:hideMark/>
          </w:tcPr>
          <w:p w14:paraId="66B9C1D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Julio</w:t>
            </w:r>
          </w:p>
        </w:tc>
        <w:tc>
          <w:tcPr>
            <w:tcW w:w="240" w:type="pct"/>
            <w:tcBorders>
              <w:top w:val="single" w:sz="4" w:space="0" w:color="auto"/>
              <w:left w:val="nil"/>
              <w:bottom w:val="single" w:sz="4" w:space="0" w:color="auto"/>
              <w:right w:val="single" w:sz="4" w:space="0" w:color="auto"/>
            </w:tcBorders>
            <w:shd w:val="clear" w:color="000000" w:fill="E2EFDA"/>
            <w:noWrap/>
            <w:hideMark/>
          </w:tcPr>
          <w:p w14:paraId="7F4EF73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Agos</w:t>
            </w:r>
          </w:p>
        </w:tc>
        <w:tc>
          <w:tcPr>
            <w:tcW w:w="240" w:type="pct"/>
            <w:tcBorders>
              <w:top w:val="single" w:sz="4" w:space="0" w:color="auto"/>
              <w:left w:val="nil"/>
              <w:bottom w:val="single" w:sz="4" w:space="0" w:color="auto"/>
              <w:right w:val="single" w:sz="4" w:space="0" w:color="auto"/>
            </w:tcBorders>
            <w:shd w:val="clear" w:color="000000" w:fill="E2EFDA"/>
            <w:noWrap/>
            <w:hideMark/>
          </w:tcPr>
          <w:p w14:paraId="136F51E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Set</w:t>
            </w:r>
          </w:p>
        </w:tc>
        <w:tc>
          <w:tcPr>
            <w:tcW w:w="240" w:type="pct"/>
            <w:tcBorders>
              <w:top w:val="single" w:sz="4" w:space="0" w:color="auto"/>
              <w:left w:val="nil"/>
              <w:bottom w:val="single" w:sz="4" w:space="0" w:color="auto"/>
              <w:right w:val="single" w:sz="4" w:space="0" w:color="auto"/>
            </w:tcBorders>
            <w:shd w:val="clear" w:color="000000" w:fill="E2EFDA"/>
            <w:noWrap/>
            <w:hideMark/>
          </w:tcPr>
          <w:p w14:paraId="30A5B8B3"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Oct</w:t>
            </w:r>
          </w:p>
        </w:tc>
        <w:tc>
          <w:tcPr>
            <w:tcW w:w="240" w:type="pct"/>
            <w:tcBorders>
              <w:top w:val="single" w:sz="4" w:space="0" w:color="auto"/>
              <w:left w:val="nil"/>
              <w:bottom w:val="single" w:sz="4" w:space="0" w:color="auto"/>
              <w:right w:val="single" w:sz="4" w:space="0" w:color="auto"/>
            </w:tcBorders>
            <w:shd w:val="clear" w:color="000000" w:fill="E2EFDA"/>
            <w:noWrap/>
            <w:hideMark/>
          </w:tcPr>
          <w:p w14:paraId="60AB8431"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Nov</w:t>
            </w:r>
          </w:p>
        </w:tc>
        <w:tc>
          <w:tcPr>
            <w:tcW w:w="240" w:type="pct"/>
            <w:tcBorders>
              <w:top w:val="single" w:sz="4" w:space="0" w:color="auto"/>
              <w:left w:val="nil"/>
              <w:bottom w:val="single" w:sz="4" w:space="0" w:color="auto"/>
              <w:right w:val="single" w:sz="4" w:space="0" w:color="auto"/>
            </w:tcBorders>
            <w:shd w:val="clear" w:color="000000" w:fill="E2EFDA"/>
            <w:noWrap/>
            <w:hideMark/>
          </w:tcPr>
          <w:p w14:paraId="2EFB2B7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Dic</w:t>
            </w:r>
          </w:p>
        </w:tc>
      </w:tr>
      <w:tr w:rsidR="00CF7396" w:rsidRPr="00CF7396" w14:paraId="73D30E3E" w14:textId="77777777" w:rsidTr="00AF369B">
        <w:trPr>
          <w:trHeight w:val="360"/>
          <w:jc w:val="center"/>
        </w:trPr>
        <w:tc>
          <w:tcPr>
            <w:tcW w:w="2161" w:type="pct"/>
            <w:tcBorders>
              <w:top w:val="nil"/>
              <w:left w:val="single" w:sz="4" w:space="0" w:color="auto"/>
              <w:bottom w:val="single" w:sz="4" w:space="0" w:color="auto"/>
              <w:right w:val="single" w:sz="4" w:space="0" w:color="auto"/>
            </w:tcBorders>
            <w:shd w:val="clear" w:color="auto" w:fill="auto"/>
            <w:hideMark/>
          </w:tcPr>
          <w:p w14:paraId="069F721D" w14:textId="77777777" w:rsidR="00CF7396" w:rsidRPr="00CF7396" w:rsidRDefault="00CF7396" w:rsidP="00CF7396">
            <w:pPr>
              <w:rPr>
                <w:color w:val="000000" w:themeColor="text1"/>
                <w:lang w:val="es-CR" w:eastAsia="es-CR"/>
              </w:rPr>
            </w:pPr>
            <w:r w:rsidRPr="00CF7396">
              <w:rPr>
                <w:color w:val="000000" w:themeColor="text1"/>
                <w:lang w:val="es-CR" w:eastAsia="es-CR"/>
              </w:rPr>
              <w:t>Juzgado Agrario ICJ Zona Atlántica</w:t>
            </w:r>
          </w:p>
        </w:tc>
        <w:tc>
          <w:tcPr>
            <w:tcW w:w="439" w:type="pct"/>
            <w:gridSpan w:val="2"/>
            <w:tcBorders>
              <w:top w:val="single" w:sz="4" w:space="0" w:color="auto"/>
              <w:left w:val="nil"/>
              <w:bottom w:val="single" w:sz="4" w:space="0" w:color="auto"/>
              <w:right w:val="single" w:sz="4" w:space="0" w:color="auto"/>
            </w:tcBorders>
            <w:shd w:val="clear" w:color="000000" w:fill="808080"/>
            <w:noWrap/>
            <w:vAlign w:val="bottom"/>
            <w:hideMark/>
          </w:tcPr>
          <w:p w14:paraId="2DE987B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7307843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02690A6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12C1D19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092471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76BE989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08F0EB7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1D87066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600CADA0"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616DACA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4785D1E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r>
      <w:tr w:rsidR="00CF7396" w:rsidRPr="00CF7396" w14:paraId="65620784" w14:textId="77777777" w:rsidTr="00AF369B">
        <w:trPr>
          <w:trHeight w:val="673"/>
          <w:jc w:val="center"/>
        </w:trPr>
        <w:tc>
          <w:tcPr>
            <w:tcW w:w="2161" w:type="pct"/>
            <w:tcBorders>
              <w:top w:val="nil"/>
              <w:left w:val="single" w:sz="4" w:space="0" w:color="auto"/>
              <w:bottom w:val="single" w:sz="4" w:space="0" w:color="auto"/>
              <w:right w:val="single" w:sz="4" w:space="0" w:color="auto"/>
            </w:tcBorders>
            <w:shd w:val="clear" w:color="auto" w:fill="auto"/>
            <w:hideMark/>
          </w:tcPr>
          <w:p w14:paraId="02D6539E" w14:textId="77777777" w:rsidR="00CF7396" w:rsidRPr="00CF7396" w:rsidRDefault="00CF7396" w:rsidP="00CF7396">
            <w:pPr>
              <w:rPr>
                <w:color w:val="000000" w:themeColor="text1"/>
                <w:lang w:val="es-CR" w:eastAsia="es-CR"/>
              </w:rPr>
            </w:pPr>
            <w:r w:rsidRPr="00CF7396">
              <w:rPr>
                <w:color w:val="000000" w:themeColor="text1"/>
                <w:lang w:val="es-CR" w:eastAsia="es-CR"/>
              </w:rPr>
              <w:t>Juzgado Civil del Primer Circuito Judicial de la Zona Atlántica</w:t>
            </w:r>
          </w:p>
        </w:tc>
        <w:tc>
          <w:tcPr>
            <w:tcW w:w="174"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735287D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65"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40336E0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1011B2D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12063B2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1417C2E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6E9CBDD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E2B6AC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C</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32ABF20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097147B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59DA234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20876FA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06D2F08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r>
      <w:tr w:rsidR="00CF7396" w:rsidRPr="00CF7396" w14:paraId="16A600E1" w14:textId="77777777" w:rsidTr="00AF369B">
        <w:trPr>
          <w:trHeight w:val="360"/>
          <w:jc w:val="center"/>
        </w:trPr>
        <w:tc>
          <w:tcPr>
            <w:tcW w:w="2161" w:type="pct"/>
            <w:tcBorders>
              <w:top w:val="nil"/>
              <w:left w:val="single" w:sz="4" w:space="0" w:color="auto"/>
              <w:bottom w:val="single" w:sz="4" w:space="0" w:color="auto"/>
              <w:right w:val="single" w:sz="4" w:space="0" w:color="auto"/>
            </w:tcBorders>
            <w:shd w:val="clear" w:color="auto" w:fill="auto"/>
            <w:hideMark/>
          </w:tcPr>
          <w:p w14:paraId="7CC72DB0" w14:textId="77777777" w:rsidR="00CF7396" w:rsidRPr="00CF7396" w:rsidRDefault="00CF7396" w:rsidP="00CF7396">
            <w:pPr>
              <w:rPr>
                <w:color w:val="000000" w:themeColor="text1"/>
                <w:lang w:val="es-CR" w:eastAsia="es-CR"/>
              </w:rPr>
            </w:pPr>
            <w:r w:rsidRPr="00CF7396">
              <w:rPr>
                <w:color w:val="000000" w:themeColor="text1"/>
                <w:lang w:val="es-CR" w:eastAsia="es-CR"/>
              </w:rPr>
              <w:t xml:space="preserve">Juzgado Contravencional de </w:t>
            </w:r>
            <w:proofErr w:type="spellStart"/>
            <w:r w:rsidRPr="00CF7396">
              <w:rPr>
                <w:color w:val="000000" w:themeColor="text1"/>
                <w:lang w:val="es-CR" w:eastAsia="es-CR"/>
              </w:rPr>
              <w:t>Bribrí</w:t>
            </w:r>
            <w:proofErr w:type="spellEnd"/>
          </w:p>
        </w:tc>
        <w:tc>
          <w:tcPr>
            <w:tcW w:w="174"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0030B7D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65"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680A8E1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77FA35B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54EC880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112B2B7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402F538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72A4B0C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31E550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2DB0B0E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6E7F731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2A6E5B9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66BDB3C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r>
      <w:tr w:rsidR="00CF7396" w:rsidRPr="00CF7396" w14:paraId="5C509B5F" w14:textId="77777777" w:rsidTr="00AF369B">
        <w:trPr>
          <w:trHeight w:val="360"/>
          <w:jc w:val="center"/>
        </w:trPr>
        <w:tc>
          <w:tcPr>
            <w:tcW w:w="2161" w:type="pct"/>
            <w:tcBorders>
              <w:top w:val="nil"/>
              <w:left w:val="single" w:sz="4" w:space="0" w:color="auto"/>
              <w:bottom w:val="single" w:sz="4" w:space="0" w:color="auto"/>
              <w:right w:val="single" w:sz="4" w:space="0" w:color="auto"/>
            </w:tcBorders>
            <w:shd w:val="clear" w:color="auto" w:fill="auto"/>
            <w:hideMark/>
          </w:tcPr>
          <w:p w14:paraId="797C84B0" w14:textId="77777777" w:rsidR="00CF7396" w:rsidRPr="00CF7396" w:rsidRDefault="00CF7396" w:rsidP="00CF7396">
            <w:pPr>
              <w:rPr>
                <w:color w:val="000000" w:themeColor="text1"/>
                <w:lang w:val="es-CR" w:eastAsia="es-CR"/>
              </w:rPr>
            </w:pPr>
            <w:r w:rsidRPr="00CF7396">
              <w:rPr>
                <w:color w:val="000000" w:themeColor="text1"/>
                <w:lang w:val="es-CR" w:eastAsia="es-CR"/>
              </w:rPr>
              <w:t>Juzgado Contravencional de Matina</w:t>
            </w:r>
          </w:p>
        </w:tc>
        <w:tc>
          <w:tcPr>
            <w:tcW w:w="174"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8FB42A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65"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1A39F90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3D13905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3295D4D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913178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2C7A13D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6259219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106A4D9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592F420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05047B1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17F29020"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4F8FD7A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r>
      <w:tr w:rsidR="00CF7396" w:rsidRPr="00CF7396" w14:paraId="33883B4E" w14:textId="77777777" w:rsidTr="00AF369B">
        <w:trPr>
          <w:trHeight w:val="553"/>
          <w:jc w:val="center"/>
        </w:trPr>
        <w:tc>
          <w:tcPr>
            <w:tcW w:w="2161" w:type="pct"/>
            <w:tcBorders>
              <w:top w:val="nil"/>
              <w:left w:val="single" w:sz="4" w:space="0" w:color="auto"/>
              <w:bottom w:val="single" w:sz="4" w:space="0" w:color="auto"/>
              <w:right w:val="single" w:sz="4" w:space="0" w:color="auto"/>
            </w:tcBorders>
            <w:shd w:val="clear" w:color="auto" w:fill="auto"/>
            <w:hideMark/>
          </w:tcPr>
          <w:p w14:paraId="1B6581D3" w14:textId="77777777" w:rsidR="00CF7396" w:rsidRPr="00CF7396" w:rsidRDefault="00CF7396" w:rsidP="00CF7396">
            <w:pPr>
              <w:rPr>
                <w:color w:val="000000" w:themeColor="text1"/>
                <w:lang w:val="es-CR" w:eastAsia="es-CR"/>
              </w:rPr>
            </w:pPr>
            <w:r w:rsidRPr="00CF7396">
              <w:rPr>
                <w:color w:val="000000" w:themeColor="text1"/>
                <w:lang w:val="es-CR" w:eastAsia="es-CR"/>
              </w:rPr>
              <w:t>Juzgado de Cobro del Primer Circuito Judicial de la Zona Atlántica</w:t>
            </w:r>
          </w:p>
        </w:tc>
        <w:tc>
          <w:tcPr>
            <w:tcW w:w="174"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20324E3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65"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44EFC0F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0000FF"/>
            <w:noWrap/>
            <w:vAlign w:val="bottom"/>
            <w:hideMark/>
          </w:tcPr>
          <w:p w14:paraId="3CCB936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w:t>
            </w:r>
          </w:p>
        </w:tc>
        <w:tc>
          <w:tcPr>
            <w:tcW w:w="240" w:type="pct"/>
            <w:tcBorders>
              <w:top w:val="single" w:sz="4" w:space="0" w:color="auto"/>
              <w:left w:val="single" w:sz="4" w:space="0" w:color="auto"/>
              <w:bottom w:val="single" w:sz="4" w:space="0" w:color="auto"/>
              <w:right w:val="single" w:sz="4" w:space="0" w:color="auto"/>
            </w:tcBorders>
            <w:shd w:val="clear" w:color="000000" w:fill="0000FF"/>
            <w:noWrap/>
            <w:vAlign w:val="bottom"/>
            <w:hideMark/>
          </w:tcPr>
          <w:p w14:paraId="68E2F36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w:t>
            </w:r>
          </w:p>
        </w:tc>
        <w:tc>
          <w:tcPr>
            <w:tcW w:w="240" w:type="pct"/>
            <w:tcBorders>
              <w:top w:val="single" w:sz="4" w:space="0" w:color="auto"/>
              <w:left w:val="single" w:sz="4" w:space="0" w:color="auto"/>
              <w:bottom w:val="single" w:sz="4" w:space="0" w:color="auto"/>
              <w:right w:val="single" w:sz="4" w:space="0" w:color="auto"/>
            </w:tcBorders>
            <w:shd w:val="clear" w:color="000000" w:fill="0000FF"/>
            <w:noWrap/>
            <w:vAlign w:val="bottom"/>
            <w:hideMark/>
          </w:tcPr>
          <w:p w14:paraId="65A031C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4DA248B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65CCF291"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B</w:t>
            </w:r>
          </w:p>
        </w:tc>
        <w:tc>
          <w:tcPr>
            <w:tcW w:w="240" w:type="pct"/>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02828D3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B</w:t>
            </w:r>
          </w:p>
        </w:tc>
        <w:tc>
          <w:tcPr>
            <w:tcW w:w="240" w:type="pct"/>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656FC64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B</w:t>
            </w:r>
          </w:p>
        </w:tc>
        <w:tc>
          <w:tcPr>
            <w:tcW w:w="240" w:type="pct"/>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0C16691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B</w:t>
            </w:r>
          </w:p>
        </w:tc>
        <w:tc>
          <w:tcPr>
            <w:tcW w:w="240" w:type="pct"/>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52CA52E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B</w:t>
            </w:r>
          </w:p>
        </w:tc>
        <w:tc>
          <w:tcPr>
            <w:tcW w:w="240" w:type="pct"/>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36DC111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B</w:t>
            </w:r>
          </w:p>
        </w:tc>
      </w:tr>
      <w:tr w:rsidR="00CF7396" w:rsidRPr="00CF7396" w14:paraId="01B106C9" w14:textId="77777777" w:rsidTr="00AF369B">
        <w:trPr>
          <w:trHeight w:val="553"/>
          <w:jc w:val="center"/>
        </w:trPr>
        <w:tc>
          <w:tcPr>
            <w:tcW w:w="2161" w:type="pct"/>
            <w:tcBorders>
              <w:top w:val="nil"/>
              <w:left w:val="single" w:sz="4" w:space="0" w:color="auto"/>
              <w:bottom w:val="single" w:sz="4" w:space="0" w:color="auto"/>
              <w:right w:val="single" w:sz="4" w:space="0" w:color="auto"/>
            </w:tcBorders>
            <w:shd w:val="clear" w:color="auto" w:fill="auto"/>
            <w:hideMark/>
          </w:tcPr>
          <w:p w14:paraId="0C57EFAA" w14:textId="77777777" w:rsidR="00CF7396" w:rsidRPr="00CF7396" w:rsidRDefault="00CF7396" w:rsidP="00CF7396">
            <w:pPr>
              <w:rPr>
                <w:color w:val="000000" w:themeColor="text1"/>
                <w:lang w:val="es-CR" w:eastAsia="es-CR"/>
              </w:rPr>
            </w:pPr>
            <w:r w:rsidRPr="00CF7396">
              <w:rPr>
                <w:color w:val="000000" w:themeColor="text1"/>
                <w:lang w:val="es-CR" w:eastAsia="es-CR"/>
              </w:rPr>
              <w:t xml:space="preserve">Juzgado de Familia del Primer Circuito Judicial de la Zona Atlántica </w:t>
            </w:r>
          </w:p>
        </w:tc>
        <w:tc>
          <w:tcPr>
            <w:tcW w:w="174"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2491F57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65"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0E81E21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27CB77B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43BCFF93"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44A57E8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1BF49A0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11C5B7D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692B716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42AA474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197D0D8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6D7C468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53ABD25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r>
      <w:tr w:rsidR="00CF7396" w:rsidRPr="00CF7396" w14:paraId="6517FFC0" w14:textId="77777777" w:rsidTr="00AF369B">
        <w:trPr>
          <w:trHeight w:val="643"/>
          <w:jc w:val="center"/>
        </w:trPr>
        <w:tc>
          <w:tcPr>
            <w:tcW w:w="2161" w:type="pct"/>
            <w:tcBorders>
              <w:top w:val="nil"/>
              <w:left w:val="single" w:sz="4" w:space="0" w:color="auto"/>
              <w:bottom w:val="single" w:sz="4" w:space="0" w:color="auto"/>
              <w:right w:val="single" w:sz="4" w:space="0" w:color="auto"/>
            </w:tcBorders>
            <w:shd w:val="clear" w:color="auto" w:fill="auto"/>
            <w:hideMark/>
          </w:tcPr>
          <w:p w14:paraId="7F5E02D1" w14:textId="77777777" w:rsidR="00CF7396" w:rsidRPr="00CF7396" w:rsidRDefault="00CF7396" w:rsidP="00CF7396">
            <w:pPr>
              <w:rPr>
                <w:color w:val="000000" w:themeColor="text1"/>
                <w:lang w:val="es-CR" w:eastAsia="es-CR"/>
              </w:rPr>
            </w:pPr>
            <w:r w:rsidRPr="00CF7396">
              <w:rPr>
                <w:color w:val="000000" w:themeColor="text1"/>
                <w:lang w:val="es-CR" w:eastAsia="es-CR"/>
              </w:rPr>
              <w:t>Juzgado de Pensiones Alimentarias del Primer Circuito Judicial de la Zona Atlántica</w:t>
            </w:r>
          </w:p>
        </w:tc>
        <w:tc>
          <w:tcPr>
            <w:tcW w:w="174"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549EF5C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65"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71489D33"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09C3A4A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B</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3190E06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1DFDB6A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2955A380"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556E361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B</w:t>
            </w:r>
          </w:p>
        </w:tc>
        <w:tc>
          <w:tcPr>
            <w:tcW w:w="240" w:type="pct"/>
            <w:tcBorders>
              <w:top w:val="single" w:sz="4" w:space="0" w:color="auto"/>
              <w:left w:val="single" w:sz="4" w:space="0" w:color="auto"/>
              <w:bottom w:val="single" w:sz="4" w:space="0" w:color="auto"/>
              <w:right w:val="single" w:sz="4" w:space="0" w:color="auto"/>
            </w:tcBorders>
            <w:shd w:val="clear" w:color="000000" w:fill="0000FF"/>
            <w:noWrap/>
            <w:vAlign w:val="bottom"/>
            <w:hideMark/>
          </w:tcPr>
          <w:p w14:paraId="001F2E30"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w:t>
            </w:r>
          </w:p>
        </w:tc>
        <w:tc>
          <w:tcPr>
            <w:tcW w:w="240" w:type="pct"/>
            <w:tcBorders>
              <w:top w:val="single" w:sz="4" w:space="0" w:color="auto"/>
              <w:left w:val="single" w:sz="4" w:space="0" w:color="auto"/>
              <w:bottom w:val="single" w:sz="4" w:space="0" w:color="auto"/>
              <w:right w:val="single" w:sz="4" w:space="0" w:color="auto"/>
            </w:tcBorders>
            <w:shd w:val="clear" w:color="000000" w:fill="0000FF"/>
            <w:noWrap/>
            <w:vAlign w:val="bottom"/>
            <w:hideMark/>
          </w:tcPr>
          <w:p w14:paraId="473BA2A1"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55DAE75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49EA99B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48183E3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r>
      <w:tr w:rsidR="00CF7396" w:rsidRPr="00CF7396" w14:paraId="2F429576" w14:textId="77777777" w:rsidTr="00AF369B">
        <w:trPr>
          <w:trHeight w:val="470"/>
          <w:jc w:val="center"/>
        </w:trPr>
        <w:tc>
          <w:tcPr>
            <w:tcW w:w="2161" w:type="pct"/>
            <w:tcBorders>
              <w:top w:val="nil"/>
              <w:left w:val="single" w:sz="4" w:space="0" w:color="auto"/>
              <w:bottom w:val="single" w:sz="4" w:space="0" w:color="auto"/>
              <w:right w:val="single" w:sz="4" w:space="0" w:color="auto"/>
            </w:tcBorders>
            <w:shd w:val="clear" w:color="auto" w:fill="auto"/>
            <w:hideMark/>
          </w:tcPr>
          <w:p w14:paraId="64BB49EE" w14:textId="77777777" w:rsidR="00CF7396" w:rsidRPr="00CF7396" w:rsidRDefault="00CF7396" w:rsidP="00CF7396">
            <w:pPr>
              <w:rPr>
                <w:color w:val="000000" w:themeColor="text1"/>
                <w:lang w:val="es-CR" w:eastAsia="es-CR"/>
              </w:rPr>
            </w:pPr>
            <w:r w:rsidRPr="00CF7396">
              <w:rPr>
                <w:color w:val="000000" w:themeColor="text1"/>
                <w:lang w:val="es-CR" w:eastAsia="es-CR"/>
              </w:rPr>
              <w:t>Juzgado de Trabajo del Primer Circuito Judicial de la Zona Atlántica</w:t>
            </w:r>
          </w:p>
        </w:tc>
        <w:tc>
          <w:tcPr>
            <w:tcW w:w="174"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00101FD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65"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05A2D9B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5387346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04F2ECC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7672FC0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43BF2B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7ADBEDB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623C448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D1DB301"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768FD8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51D3583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3ED3CC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r>
      <w:tr w:rsidR="00CF7396" w:rsidRPr="00CF7396" w14:paraId="0540F2FC" w14:textId="77777777" w:rsidTr="00AF369B">
        <w:trPr>
          <w:trHeight w:val="560"/>
          <w:jc w:val="center"/>
        </w:trPr>
        <w:tc>
          <w:tcPr>
            <w:tcW w:w="2161" w:type="pct"/>
            <w:tcBorders>
              <w:top w:val="nil"/>
              <w:left w:val="single" w:sz="4" w:space="0" w:color="auto"/>
              <w:bottom w:val="single" w:sz="4" w:space="0" w:color="auto"/>
              <w:right w:val="single" w:sz="4" w:space="0" w:color="auto"/>
            </w:tcBorders>
            <w:shd w:val="clear" w:color="auto" w:fill="auto"/>
            <w:hideMark/>
          </w:tcPr>
          <w:p w14:paraId="286C958D" w14:textId="77777777" w:rsidR="00CF7396" w:rsidRPr="00CF7396" w:rsidRDefault="00CF7396" w:rsidP="00CF7396">
            <w:pPr>
              <w:rPr>
                <w:color w:val="000000" w:themeColor="text1"/>
                <w:lang w:val="es-CR" w:eastAsia="es-CR"/>
              </w:rPr>
            </w:pPr>
            <w:r w:rsidRPr="00CF7396">
              <w:rPr>
                <w:color w:val="000000" w:themeColor="text1"/>
                <w:lang w:val="es-CR" w:eastAsia="es-CR"/>
              </w:rPr>
              <w:t>Tribunal Colegiado Primera Instancia Civil del Primer Circuito Judicial de la Zona Atlántica</w:t>
            </w:r>
          </w:p>
        </w:tc>
        <w:tc>
          <w:tcPr>
            <w:tcW w:w="174"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68B2193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65"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137E286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69E0AD9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6B70603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5127AFBD"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7A8DC17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2B431FD0"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4928298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24CE1E60"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127005C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6E9B0A1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4CDE3FC3"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r>
      <w:tr w:rsidR="00CF7396" w:rsidRPr="00CF7396" w14:paraId="52C38EA5" w14:textId="77777777" w:rsidTr="00AF369B">
        <w:trPr>
          <w:trHeight w:val="673"/>
          <w:jc w:val="center"/>
        </w:trPr>
        <w:tc>
          <w:tcPr>
            <w:tcW w:w="2161" w:type="pct"/>
            <w:tcBorders>
              <w:top w:val="nil"/>
              <w:left w:val="single" w:sz="4" w:space="0" w:color="auto"/>
              <w:bottom w:val="single" w:sz="4" w:space="0" w:color="auto"/>
              <w:right w:val="single" w:sz="4" w:space="0" w:color="auto"/>
            </w:tcBorders>
            <w:shd w:val="clear" w:color="auto" w:fill="auto"/>
            <w:hideMark/>
          </w:tcPr>
          <w:p w14:paraId="27B66A8A" w14:textId="77777777" w:rsidR="00CF7396" w:rsidRPr="00CF7396" w:rsidRDefault="00CF7396" w:rsidP="00CF7396">
            <w:pPr>
              <w:rPr>
                <w:color w:val="000000" w:themeColor="text1"/>
                <w:lang w:val="es-CR" w:eastAsia="es-CR"/>
              </w:rPr>
            </w:pPr>
            <w:r w:rsidRPr="00CF7396">
              <w:rPr>
                <w:color w:val="000000" w:themeColor="text1"/>
                <w:lang w:val="es-CR" w:eastAsia="es-CR"/>
              </w:rPr>
              <w:t xml:space="preserve">Tribunal de Apelación Civil y Laboral del Primer Circuito Judicial de la Zona Atlántica </w:t>
            </w:r>
          </w:p>
        </w:tc>
        <w:tc>
          <w:tcPr>
            <w:tcW w:w="174" w:type="pct"/>
            <w:tcBorders>
              <w:top w:val="single" w:sz="4" w:space="0" w:color="auto"/>
              <w:left w:val="single" w:sz="4" w:space="0" w:color="auto"/>
              <w:bottom w:val="single" w:sz="4" w:space="0" w:color="auto"/>
              <w:right w:val="single" w:sz="4" w:space="0" w:color="auto"/>
            </w:tcBorders>
            <w:shd w:val="clear" w:color="000000" w:fill="0000FF"/>
            <w:noWrap/>
            <w:vAlign w:val="bottom"/>
            <w:hideMark/>
          </w:tcPr>
          <w:p w14:paraId="1C22046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w:t>
            </w:r>
          </w:p>
        </w:tc>
        <w:tc>
          <w:tcPr>
            <w:tcW w:w="265" w:type="pct"/>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6010B0B3"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B</w:t>
            </w:r>
          </w:p>
        </w:tc>
        <w:tc>
          <w:tcPr>
            <w:tcW w:w="240"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7B579A7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C</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6ACDC67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734360D3"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0000FF"/>
            <w:noWrap/>
            <w:vAlign w:val="bottom"/>
            <w:hideMark/>
          </w:tcPr>
          <w:p w14:paraId="7AE67543"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A</w:t>
            </w:r>
          </w:p>
        </w:tc>
        <w:tc>
          <w:tcPr>
            <w:tcW w:w="240" w:type="pct"/>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762D79D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B</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49A8C3C3"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6A6AFDC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2595E73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02D45731"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2721B25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r>
      <w:tr w:rsidR="00CF7396" w:rsidRPr="00CF7396" w14:paraId="490F9F11" w14:textId="77777777" w:rsidTr="00AF369B">
        <w:trPr>
          <w:trHeight w:val="360"/>
          <w:jc w:val="center"/>
        </w:trPr>
        <w:tc>
          <w:tcPr>
            <w:tcW w:w="2161" w:type="pct"/>
            <w:tcBorders>
              <w:top w:val="nil"/>
              <w:left w:val="single" w:sz="4" w:space="0" w:color="auto"/>
              <w:bottom w:val="single" w:sz="4" w:space="0" w:color="auto"/>
              <w:right w:val="single" w:sz="4" w:space="0" w:color="auto"/>
            </w:tcBorders>
            <w:shd w:val="clear" w:color="auto" w:fill="auto"/>
            <w:hideMark/>
          </w:tcPr>
          <w:p w14:paraId="33443505" w14:textId="77777777" w:rsidR="00CF7396" w:rsidRPr="00CF7396" w:rsidRDefault="00CF7396" w:rsidP="00CF7396">
            <w:pPr>
              <w:rPr>
                <w:color w:val="000000" w:themeColor="text1"/>
                <w:lang w:val="es-CR" w:eastAsia="es-CR"/>
              </w:rPr>
            </w:pPr>
            <w:r w:rsidRPr="00CF7396">
              <w:rPr>
                <w:color w:val="000000" w:themeColor="text1"/>
                <w:lang w:val="es-CR" w:eastAsia="es-CR"/>
              </w:rPr>
              <w:t>Tribunal de Flagrancia de Limón</w:t>
            </w:r>
          </w:p>
        </w:tc>
        <w:tc>
          <w:tcPr>
            <w:tcW w:w="174"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5AB2DBE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65"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1AAC0E8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55B54AE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27081455"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7C00B720"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427E33F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7E9BA559"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42350C0"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49DDB4A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59697CB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EE305F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2669EF5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r>
      <w:tr w:rsidR="00CF7396" w:rsidRPr="00CF7396" w14:paraId="7B647F3F" w14:textId="77777777" w:rsidTr="00AF369B">
        <w:trPr>
          <w:trHeight w:val="360"/>
          <w:jc w:val="center"/>
        </w:trPr>
        <w:tc>
          <w:tcPr>
            <w:tcW w:w="2161" w:type="pct"/>
            <w:tcBorders>
              <w:top w:val="nil"/>
              <w:left w:val="single" w:sz="4" w:space="0" w:color="auto"/>
              <w:bottom w:val="single" w:sz="4" w:space="0" w:color="auto"/>
              <w:right w:val="single" w:sz="4" w:space="0" w:color="auto"/>
            </w:tcBorders>
            <w:shd w:val="clear" w:color="auto" w:fill="auto"/>
            <w:hideMark/>
          </w:tcPr>
          <w:p w14:paraId="77562D6F" w14:textId="77777777" w:rsidR="00CF7396" w:rsidRPr="00CF7396" w:rsidRDefault="00CF7396" w:rsidP="00CF7396">
            <w:pPr>
              <w:rPr>
                <w:color w:val="000000" w:themeColor="text1"/>
                <w:lang w:val="es-CR" w:eastAsia="es-CR"/>
              </w:rPr>
            </w:pPr>
            <w:r w:rsidRPr="00CF7396">
              <w:rPr>
                <w:color w:val="000000" w:themeColor="text1"/>
                <w:lang w:val="es-CR" w:eastAsia="es-CR"/>
              </w:rPr>
              <w:t>Tribunal Penal de Limón</w:t>
            </w:r>
          </w:p>
        </w:tc>
        <w:tc>
          <w:tcPr>
            <w:tcW w:w="174"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4019E87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65"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CF91CA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BCC8483"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300473A0"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0000"/>
            <w:noWrap/>
            <w:vAlign w:val="bottom"/>
            <w:hideMark/>
          </w:tcPr>
          <w:p w14:paraId="35D4996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D</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380D6A1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75ACE41A"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04B7A62C"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146E88A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6F7E3281"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57648103"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c>
          <w:tcPr>
            <w:tcW w:w="240" w:type="pct"/>
            <w:tcBorders>
              <w:top w:val="single" w:sz="4" w:space="0" w:color="auto"/>
              <w:left w:val="single" w:sz="4" w:space="0" w:color="auto"/>
              <w:bottom w:val="single" w:sz="4" w:space="0" w:color="auto"/>
              <w:right w:val="single" w:sz="4" w:space="0" w:color="auto"/>
            </w:tcBorders>
            <w:shd w:val="clear" w:color="000000" w:fill="FF9933"/>
            <w:noWrap/>
            <w:vAlign w:val="bottom"/>
            <w:hideMark/>
          </w:tcPr>
          <w:p w14:paraId="45B63D8F"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E</w:t>
            </w:r>
          </w:p>
        </w:tc>
      </w:tr>
    </w:tbl>
    <w:p w14:paraId="59728E18" w14:textId="77777777" w:rsidR="00CF7396" w:rsidRPr="00CF7396" w:rsidRDefault="00CF7396" w:rsidP="00CF7396">
      <w:pPr>
        <w:rPr>
          <w:color w:val="000000" w:themeColor="text1"/>
          <w:lang w:val="es-CR"/>
        </w:rPr>
      </w:pPr>
      <w:r w:rsidRPr="00CF7396">
        <w:rPr>
          <w:b/>
          <w:bCs/>
          <w:color w:val="000000" w:themeColor="text1"/>
          <w:lang w:val="es-CR"/>
        </w:rPr>
        <w:t>Fuente:</w:t>
      </w:r>
      <w:r w:rsidRPr="00CF7396">
        <w:rPr>
          <w:color w:val="000000" w:themeColor="text1"/>
          <w:lang w:val="es-CR"/>
        </w:rPr>
        <w:t xml:space="preserve"> Elaboración propia del Subproceso de Evaluación.</w:t>
      </w:r>
    </w:p>
    <w:p w14:paraId="1AC21273" w14:textId="77777777" w:rsidR="00CF7396" w:rsidRPr="00CF7396" w:rsidRDefault="00CF7396" w:rsidP="00CF7396">
      <w:pPr>
        <w:jc w:val="both"/>
        <w:rPr>
          <w:color w:val="000000" w:themeColor="text1"/>
          <w:lang w:val="es-CR"/>
        </w:rPr>
      </w:pPr>
    </w:p>
    <w:p w14:paraId="224A968D"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En promedio durante el 2021 un 6% de los despachos mantuvieron durante dicho período una calificación “A” (excelente), </w:t>
      </w:r>
      <w:r w:rsidRPr="00CF7396">
        <w:rPr>
          <w:b/>
          <w:bCs/>
          <w:color w:val="000000" w:themeColor="text1"/>
          <w:lang w:val="es-CR"/>
        </w:rPr>
        <w:t xml:space="preserve">siendo el Juzgado de Cobro en destacarse consecutivamente con dicha ponderación, mientras que un 8% resultó con calificación “B” (bien) </w:t>
      </w:r>
      <w:r w:rsidRPr="00CF7396">
        <w:rPr>
          <w:color w:val="000000" w:themeColor="text1"/>
          <w:lang w:val="es-CR"/>
        </w:rPr>
        <w:t xml:space="preserve">como lo fue el Juzgado de Cobro, el Tribunal de Apelación Civil y Laboral, y el Juzgado de Pensiones Alimentarias. De las oficinas que obtuvieron una calificación “C” (con oportunidad de mejora manejables), fue solo un 1% por parte del Juzgado Civil y el Tribunal de Apelación Civil y Laboral; </w:t>
      </w:r>
      <w:r w:rsidRPr="00CF7396">
        <w:rPr>
          <w:b/>
          <w:bCs/>
          <w:color w:val="000000" w:themeColor="text1"/>
          <w:lang w:val="es-CR"/>
        </w:rPr>
        <w:t xml:space="preserve">mientras que un 41% de los despachos tuvieron calificaciones “E” (crítico, pero con buen rendimiento de personal), </w:t>
      </w:r>
      <w:r w:rsidRPr="00CF7396">
        <w:rPr>
          <w:color w:val="000000" w:themeColor="text1"/>
          <w:lang w:val="es-CR"/>
        </w:rPr>
        <w:t xml:space="preserve">tal como obtuvieron el Juzgado Contravencional de Matina, Juzgado de Pensiones Alimentarias, Juzgado Civil, Tribunal Penal y Tribunal de Apelación Civil y Laboral. </w:t>
      </w:r>
      <w:r w:rsidRPr="00CF7396">
        <w:rPr>
          <w:b/>
          <w:bCs/>
          <w:color w:val="000000" w:themeColor="text1"/>
          <w:u w:val="single"/>
          <w:lang w:val="es-CR"/>
        </w:rPr>
        <w:t xml:space="preserve">Finalmente, un 44% recibió calificación “D” (crítico) </w:t>
      </w:r>
      <w:r w:rsidRPr="00CF7396">
        <w:rPr>
          <w:color w:val="000000" w:themeColor="text1"/>
          <w:lang w:val="es-CR"/>
        </w:rPr>
        <w:t xml:space="preserve">en su gran mayoría el Juzgado Contravencional de </w:t>
      </w:r>
      <w:proofErr w:type="spellStart"/>
      <w:r w:rsidRPr="00CF7396">
        <w:rPr>
          <w:color w:val="000000" w:themeColor="text1"/>
          <w:lang w:val="es-CR"/>
        </w:rPr>
        <w:t>Bribrí</w:t>
      </w:r>
      <w:proofErr w:type="spellEnd"/>
      <w:r w:rsidRPr="00CF7396">
        <w:rPr>
          <w:color w:val="000000" w:themeColor="text1"/>
          <w:lang w:val="es-CR"/>
        </w:rPr>
        <w:t>, Juzgado Agrario, Juzgado de Trabajo, Juzgado de Familia y Sección de Flagrancia. En el punto 4.2 se ampliará el tema.</w:t>
      </w:r>
    </w:p>
    <w:p w14:paraId="227E71B9" w14:textId="77777777" w:rsidR="00CF7396" w:rsidRPr="00CF7396" w:rsidRDefault="00CF7396" w:rsidP="00CF7396">
      <w:pPr>
        <w:ind w:left="851" w:right="851" w:firstLine="709"/>
        <w:rPr>
          <w:b/>
          <w:bCs/>
          <w:color w:val="000000" w:themeColor="text1"/>
          <w:lang w:val="es-CR"/>
        </w:rPr>
      </w:pPr>
    </w:p>
    <w:p w14:paraId="67DD7928"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Para el período en análisis, se muestra el siguiente detalle de la cantidad de oficinas y despachos del Circuito según su calificación obtenida cada mes:</w:t>
      </w:r>
    </w:p>
    <w:p w14:paraId="367DE127" w14:textId="77777777" w:rsidR="00CF7396" w:rsidRPr="00CF7396" w:rsidRDefault="00CF7396" w:rsidP="00CF7396">
      <w:pPr>
        <w:rPr>
          <w:b/>
          <w:bCs/>
          <w:color w:val="000000" w:themeColor="text1"/>
          <w:lang w:val="es-CR"/>
        </w:rPr>
      </w:pPr>
    </w:p>
    <w:p w14:paraId="1633650B" w14:textId="77777777" w:rsidR="00CF7396" w:rsidRPr="00CF7396" w:rsidRDefault="00CF7396" w:rsidP="00CF7396">
      <w:pPr>
        <w:jc w:val="center"/>
        <w:rPr>
          <w:color w:val="000000" w:themeColor="text1"/>
          <w:lang w:val="es-CR" w:eastAsia="zh-CN"/>
        </w:rPr>
      </w:pPr>
      <w:r w:rsidRPr="00CF7396">
        <w:rPr>
          <w:b/>
          <w:bCs/>
          <w:color w:val="000000" w:themeColor="text1"/>
          <w:lang w:val="es-CR" w:eastAsia="zh-CN"/>
        </w:rPr>
        <w:t>Gráfico 1</w:t>
      </w:r>
    </w:p>
    <w:p w14:paraId="4CB82299" w14:textId="77777777" w:rsidR="00CF7396" w:rsidRPr="00CF7396" w:rsidRDefault="00CF7396" w:rsidP="00CF7396">
      <w:pPr>
        <w:jc w:val="center"/>
        <w:rPr>
          <w:b/>
          <w:bCs/>
          <w:i/>
          <w:color w:val="000000" w:themeColor="text1"/>
          <w:lang w:val="es-CR"/>
        </w:rPr>
      </w:pPr>
      <w:r w:rsidRPr="00CF7396">
        <w:rPr>
          <w:b/>
          <w:bCs/>
          <w:i/>
          <w:color w:val="000000" w:themeColor="text1"/>
          <w:lang w:val="es-CR"/>
        </w:rPr>
        <w:t>Cantidad de oficinas según calificación del Análisis Integral de despachos y oficinas del</w:t>
      </w:r>
    </w:p>
    <w:p w14:paraId="4F142BFC" w14:textId="77777777" w:rsidR="00CF7396" w:rsidRPr="00CF7396" w:rsidRDefault="00CF7396" w:rsidP="00CF7396">
      <w:pPr>
        <w:jc w:val="center"/>
        <w:rPr>
          <w:b/>
          <w:bCs/>
          <w:i/>
          <w:color w:val="000000" w:themeColor="text1"/>
          <w:lang w:val="es-CR"/>
        </w:rPr>
      </w:pPr>
      <w:r w:rsidRPr="00CF7396">
        <w:rPr>
          <w:b/>
          <w:bCs/>
          <w:i/>
          <w:color w:val="000000" w:themeColor="text1"/>
          <w:lang w:val="es-CR"/>
        </w:rPr>
        <w:t xml:space="preserve"> Primer Circuito Judicial de la Zona Atlántica y Periférica.</w:t>
      </w:r>
    </w:p>
    <w:p w14:paraId="53E84BAC" w14:textId="77777777" w:rsidR="00CF7396" w:rsidRPr="00CF7396" w:rsidRDefault="00CF7396" w:rsidP="00CF7396">
      <w:pPr>
        <w:jc w:val="center"/>
        <w:rPr>
          <w:b/>
          <w:bCs/>
          <w:i/>
          <w:color w:val="000000" w:themeColor="text1"/>
          <w:lang w:val="es-CR"/>
        </w:rPr>
      </w:pPr>
      <w:r w:rsidRPr="00CF7396">
        <w:rPr>
          <w:b/>
          <w:bCs/>
          <w:i/>
          <w:color w:val="000000" w:themeColor="text1"/>
          <w:lang w:val="es-CR"/>
        </w:rPr>
        <w:t>(2021)</w:t>
      </w:r>
    </w:p>
    <w:p w14:paraId="11ABD942" w14:textId="77777777" w:rsidR="00CF7396" w:rsidRPr="00CF7396" w:rsidRDefault="00CF7396" w:rsidP="00CF7396">
      <w:pPr>
        <w:rPr>
          <w:color w:val="000000" w:themeColor="text1"/>
          <w:lang w:val="es-CR" w:eastAsia="es-CR"/>
        </w:rPr>
      </w:pPr>
    </w:p>
    <w:p w14:paraId="08BA6F4E" w14:textId="77777777" w:rsidR="00CF7396" w:rsidRPr="00CF7396" w:rsidRDefault="00CF7396" w:rsidP="00CF7396">
      <w:pPr>
        <w:ind w:left="-709"/>
        <w:rPr>
          <w:color w:val="000000" w:themeColor="text1"/>
          <w:lang w:val="es-CR" w:eastAsia="es-CR"/>
        </w:rPr>
      </w:pPr>
      <w:r w:rsidRPr="00CF7396">
        <w:rPr>
          <w:noProof/>
          <w:color w:val="000000" w:themeColor="text1"/>
          <w:lang w:val="es-CR"/>
        </w:rPr>
        <w:drawing>
          <wp:inline distT="0" distB="0" distL="0" distR="0" wp14:anchorId="371C2B95" wp14:editId="4EC0C746">
            <wp:extent cx="6572250" cy="3713480"/>
            <wp:effectExtent l="0" t="0" r="0" b="1270"/>
            <wp:docPr id="9" name="Gráfico 9">
              <a:extLst xmlns:a="http://schemas.openxmlformats.org/drawingml/2006/main">
                <a:ext uri="{FF2B5EF4-FFF2-40B4-BE49-F238E27FC236}">
                  <a16:creationId xmlns:a16="http://schemas.microsoft.com/office/drawing/2014/main" id="{DE9224F9-BF7B-41B9-9842-45AFAD7FFF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34CAAE5" w14:textId="77777777" w:rsidR="00CF7396" w:rsidRPr="00CF7396" w:rsidRDefault="00CF7396" w:rsidP="00CF7396">
      <w:pPr>
        <w:rPr>
          <w:b/>
          <w:bCs/>
          <w:color w:val="000000" w:themeColor="text1"/>
          <w:lang w:val="es-CR"/>
        </w:rPr>
      </w:pPr>
      <w:r w:rsidRPr="00CF7396">
        <w:rPr>
          <w:b/>
          <w:bCs/>
          <w:color w:val="000000" w:themeColor="text1"/>
          <w:lang w:val="es-CR"/>
        </w:rPr>
        <w:t xml:space="preserve">Fuente: </w:t>
      </w:r>
      <w:r w:rsidRPr="00CF7396">
        <w:rPr>
          <w:color w:val="000000" w:themeColor="text1"/>
          <w:lang w:val="es-CR"/>
        </w:rPr>
        <w:t>Elaboración propia del Subproceso de Evaluación.</w:t>
      </w:r>
    </w:p>
    <w:p w14:paraId="5F450FCC" w14:textId="77777777" w:rsidR="00CF7396" w:rsidRPr="00CF7396" w:rsidRDefault="00CF7396" w:rsidP="00CF7396">
      <w:pPr>
        <w:jc w:val="both"/>
        <w:rPr>
          <w:color w:val="000000" w:themeColor="text1"/>
          <w:lang w:val="es-CR" w:eastAsia="es-CR"/>
        </w:rPr>
      </w:pPr>
    </w:p>
    <w:p w14:paraId="777BE1A5"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 xml:space="preserve">Como se puede observar de forma general durante el 2021 en la posición azul “Excelente” y verde “Bien” solo un despacho se posicionó en dicha calificación, a excepción de julio que aumentó a tres oficinas. Sin embargo, la mayoría de los despachos judiciales se encuentran en las líneas de color naranja “crítico con buen rendimiento de personal” y de color rojo “Crítico”, cuyo comportamiento ha sido variable en el tiempo; no obstante, para el color naranja “crítico con buen rendimiento de personal” el mes que obtuvo mayor cantidad de despachos en esa categoría fue abril con 7 oficinas; por ende fue el mismo mes en donde se posicionaron menos oficinas con el color rojo “Crítico” con únicamente dos. </w:t>
      </w:r>
    </w:p>
    <w:p w14:paraId="668C5D4B" w14:textId="77777777" w:rsidR="00CF7396" w:rsidRPr="00CF7396" w:rsidRDefault="00CF7396" w:rsidP="00CF7396">
      <w:pPr>
        <w:ind w:left="851" w:right="851" w:firstLine="709"/>
        <w:contextualSpacing/>
        <w:jc w:val="both"/>
        <w:rPr>
          <w:color w:val="000000" w:themeColor="text1"/>
          <w:lang w:val="es-CR" w:eastAsia="es-CR"/>
        </w:rPr>
      </w:pPr>
    </w:p>
    <w:p w14:paraId="31E3E4E2" w14:textId="77777777" w:rsidR="00CF7396" w:rsidRPr="00CF7396" w:rsidRDefault="00CF7396" w:rsidP="00CF7396">
      <w:pPr>
        <w:ind w:left="851" w:right="851" w:firstLine="709"/>
        <w:jc w:val="both"/>
        <w:rPr>
          <w:i/>
          <w:iCs/>
          <w:color w:val="000000" w:themeColor="text1"/>
          <w:lang w:val="es-CR"/>
        </w:rPr>
      </w:pPr>
      <w:r w:rsidRPr="00CF7396">
        <w:rPr>
          <w:color w:val="000000" w:themeColor="text1"/>
          <w:lang w:val="es-CR"/>
        </w:rPr>
        <w:t>4.2 Grado de criticidad de los despachos del Modelo y su evolución</w:t>
      </w:r>
    </w:p>
    <w:p w14:paraId="0ED07564" w14:textId="77777777" w:rsidR="00CF7396" w:rsidRPr="00CF7396" w:rsidRDefault="00CF7396" w:rsidP="00CF7396">
      <w:pPr>
        <w:ind w:left="851" w:right="851" w:firstLine="709"/>
        <w:jc w:val="both"/>
        <w:rPr>
          <w:color w:val="000000" w:themeColor="text1"/>
          <w:lang w:val="es-CR"/>
        </w:rPr>
      </w:pPr>
    </w:p>
    <w:p w14:paraId="6E343526" w14:textId="77777777" w:rsidR="00CF7396" w:rsidRPr="00CF7396" w:rsidRDefault="00CF7396" w:rsidP="00CF7396">
      <w:pPr>
        <w:ind w:left="851" w:right="851" w:firstLine="709"/>
        <w:jc w:val="both"/>
        <w:rPr>
          <w:b/>
          <w:i/>
          <w:iCs/>
          <w:color w:val="000000" w:themeColor="text1"/>
          <w:lang w:val="es-CR"/>
        </w:rPr>
      </w:pPr>
      <w:bookmarkStart w:id="11" w:name="_Toc78876664"/>
      <w:r w:rsidRPr="00CF7396">
        <w:rPr>
          <w:b/>
          <w:iCs/>
          <w:color w:val="000000" w:themeColor="text1"/>
          <w:lang w:val="es-CR"/>
        </w:rPr>
        <w:t>4.2.1 Despachos que se encuentran con un muy buen desempeño en el cumplimiento de los Indicadores al finalizar el 2021.</w:t>
      </w:r>
      <w:bookmarkEnd w:id="11"/>
      <w:r w:rsidRPr="00CF7396">
        <w:rPr>
          <w:b/>
          <w:iCs/>
          <w:color w:val="000000" w:themeColor="text1"/>
          <w:lang w:val="es-CR"/>
        </w:rPr>
        <w:t xml:space="preserve"> </w:t>
      </w:r>
    </w:p>
    <w:p w14:paraId="63E7D901" w14:textId="77777777" w:rsidR="00CF7396" w:rsidRPr="00CF7396" w:rsidRDefault="00CF7396" w:rsidP="00CF7396">
      <w:pPr>
        <w:ind w:left="851" w:right="851" w:firstLine="709"/>
        <w:rPr>
          <w:color w:val="000000" w:themeColor="text1"/>
          <w:lang w:val="es-CR"/>
        </w:rPr>
      </w:pPr>
    </w:p>
    <w:p w14:paraId="507CF246"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Al concluir el 2021 el único despacho que obtuvo una buena calificación fue el Juzgado de Cobro del Primer Circuito Judicial de la Zona Atlántica, con calificación de “Bien” (color verde, letra B), y de manera general durante el 2021 mantuvo un 50% en dicha calificación, mientras que en la calificación “Excelente” (color azul, letra A) y “Crítico con buen rendimiento de personal” (color amarillo, letra C) estuvo 25% en ambos casos. Lo anterior, producto del esfuerzo de la mayoría del personal titular del despacho, quién durante el período tuvo en promedio un 117% del rendimiento por parte de todas las personas juzgadoras, y un 104% para las personas técnicas judiciales. Sin embargo, es importante mencionar que lo anterior es producto también de los diversos planes de trabajo que se han realizado de forma conjunta con la Administración Regional de dicho Circuito y la Profesional de Planificación, en dónde se le brindó apoyo con una plaza juzgadora supernumeraria y dos plazas técnicas supernumerarias, para disminuir la cantidad de demandas nuevas pendientes y así mantener estabilizado el Indicador de Gestión “plazo para resolver demandas nuevas” el cual para febrero del 2022 se encontraba en cero días, posicionando el Indicador dentro del rango “Muy bueno”. Lo anterior según planes de trabajo 889-PLA-EV-TR-2020, 1853-PLA-EV-TR-2020, 229-PLA-EV-TR-2021, 362-PLA-EV-TR-2021, entre otros. E igualmente por el plan de trabajo cobro-civil contemplado en el informe 720-PLA-EV-2021.</w:t>
      </w:r>
    </w:p>
    <w:p w14:paraId="64674B62" w14:textId="77777777" w:rsidR="00CF7396" w:rsidRPr="00CF7396" w:rsidRDefault="00CF7396" w:rsidP="00CF7396">
      <w:pPr>
        <w:ind w:left="851" w:right="851" w:firstLine="709"/>
        <w:jc w:val="both"/>
        <w:rPr>
          <w:color w:val="000000" w:themeColor="text1"/>
          <w:lang w:val="es-CR"/>
        </w:rPr>
      </w:pPr>
    </w:p>
    <w:p w14:paraId="69C3D447"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Sí es importante aclarar que en relación con el bajo rendimiento de la persona juzgadora 3, se procedió a informar ante el Consejo de Administración del Primer Circuito Judicial de la Zona Atlántica, mensualmente y en sesión 3-2022 del 24 de febrero del 2022, se dio a conocer nuevamente que el rendimiento para enero fue de un 33,90%, y firmó 251 asuntos (aproximadamente 12 asuntos diarios), representando un 78% faltante para cumplir con su cuota de trabajo y no dictó sentencias. Adicionalmente, en la minuta de reunión del despacho y en la bitácora rebajaron tiempos por: 1 día por incapacidad, 26 horas en reuniones varias (PAO, SEVRI, PAI), sin técnico para tramitar 3 días y 30 minutos en reunión para plan remedial (lo anterior fue considerado para la cuota de trabajo). Adicionalmente justificaron sobre una contestación de la Contraloría de Servicios y de la Inspección Judicial. Igualmente se informó que al 23 de febrero del 2022 mantenía 3033 escritos pendientes de firma, concluyendo que el Juez 3 no cumple con sus cuotas de trabajo tomando en consideración las justificaciones dadas, conforme ha sido informado mensualmente ante el Consejo de Administración. </w:t>
      </w:r>
    </w:p>
    <w:p w14:paraId="18B3944B" w14:textId="77777777" w:rsidR="00CF7396" w:rsidRPr="00CF7396" w:rsidRDefault="00CF7396" w:rsidP="00CF7396">
      <w:pPr>
        <w:ind w:left="851" w:right="851" w:firstLine="709"/>
        <w:jc w:val="both"/>
        <w:rPr>
          <w:color w:val="000000" w:themeColor="text1"/>
          <w:lang w:val="es-CR"/>
        </w:rPr>
      </w:pPr>
    </w:p>
    <w:p w14:paraId="3C4CB552"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Concluyendo que las personas juzgadoras 1 y 2 han cumplido cabalmente con sus cuotas de trabajo en la firma (54 asuntos diarios), a excepción del juez 3. En cuanto a la cuota de fallo (4 asuntos mensuales), en algunos meses no cumplían con la cuota de trabajo, por lo que se recomendaba ante el Consejo de Administración para que cumplieran con sus cuotas. Al respecto, los meses en los cuales las personas juzgadoras sí cumplieron con las cuotas de trabajo en fallo fueron: Persona juzgadora 1 de julio a noviembre del 2021 </w:t>
      </w:r>
      <w:proofErr w:type="gramStart"/>
      <w:r w:rsidRPr="00CF7396">
        <w:rPr>
          <w:color w:val="000000" w:themeColor="text1"/>
          <w:lang w:val="es-CR"/>
        </w:rPr>
        <w:t>y  la</w:t>
      </w:r>
      <w:proofErr w:type="gramEnd"/>
      <w:r w:rsidRPr="00CF7396">
        <w:rPr>
          <w:color w:val="000000" w:themeColor="text1"/>
          <w:lang w:val="es-CR"/>
        </w:rPr>
        <w:t xml:space="preserve"> persona juzgadora 2 de julio a octubre del 2021; importante agregar que no todos los meses las personas juzgadoras contaban con la cantidad suficiente de expedientes de fallo para poder cubrir la cuota de trabajo. La persona juzgadora 3no cumplió con sus cuotas de trabajo en fallo por todo el 2021.</w:t>
      </w:r>
    </w:p>
    <w:p w14:paraId="65D4EDD8" w14:textId="77777777" w:rsidR="00CF7396" w:rsidRPr="00CF7396" w:rsidRDefault="00CF7396" w:rsidP="00CF7396">
      <w:pPr>
        <w:ind w:left="851" w:right="851" w:firstLine="709"/>
        <w:jc w:val="both"/>
        <w:rPr>
          <w:color w:val="000000" w:themeColor="text1"/>
          <w:lang w:val="es-CR"/>
        </w:rPr>
      </w:pPr>
    </w:p>
    <w:p w14:paraId="34B55641"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Importante hacer mención que en relación con el rendimiento del Juez 3, en sesión del 27 de enero del 2022 del Consejo de Administración del Primer Circuito Judicial de la Zona Atlántica, mediante presentación 542-PLA-EV-TR-2022, la Dirección de Planificación -entre otros puntos- recomendó lo siguiente al Consejo de Administración: </w:t>
      </w:r>
    </w:p>
    <w:p w14:paraId="2BBACCD6" w14:textId="77777777" w:rsidR="00CF7396" w:rsidRPr="00CF7396" w:rsidRDefault="00CF7396" w:rsidP="00CF7396">
      <w:pPr>
        <w:ind w:left="851" w:right="851" w:firstLine="709"/>
        <w:jc w:val="both"/>
        <w:rPr>
          <w:color w:val="000000" w:themeColor="text1"/>
          <w:lang w:val="es-CR"/>
        </w:rPr>
      </w:pPr>
    </w:p>
    <w:p w14:paraId="385103B0" w14:textId="77777777" w:rsidR="00CF7396" w:rsidRPr="00CF7396" w:rsidRDefault="00CF7396" w:rsidP="00CF7396">
      <w:pPr>
        <w:ind w:left="851" w:right="851" w:firstLine="709"/>
        <w:jc w:val="both"/>
        <w:rPr>
          <w:b/>
          <w:bCs/>
          <w:i/>
          <w:iCs/>
          <w:color w:val="000000" w:themeColor="text1"/>
          <w:lang w:val="es-CR"/>
        </w:rPr>
      </w:pPr>
      <w:r w:rsidRPr="00CF7396">
        <w:rPr>
          <w:b/>
          <w:bCs/>
          <w:i/>
          <w:iCs/>
          <w:color w:val="000000" w:themeColor="text1"/>
          <w:lang w:val="es-CR"/>
        </w:rPr>
        <w:t>“(…)</w:t>
      </w:r>
    </w:p>
    <w:p w14:paraId="17073787" w14:textId="77777777" w:rsidR="00CF7396" w:rsidRPr="00CF7396" w:rsidRDefault="00CF7396" w:rsidP="00CF7396">
      <w:pPr>
        <w:ind w:left="851" w:right="851" w:firstLine="709"/>
        <w:jc w:val="both"/>
        <w:rPr>
          <w:b/>
          <w:bCs/>
          <w:i/>
          <w:iCs/>
          <w:color w:val="000000" w:themeColor="text1"/>
          <w:lang w:val="es-CR"/>
        </w:rPr>
      </w:pPr>
    </w:p>
    <w:p w14:paraId="0AE9FF8D" w14:textId="77777777" w:rsidR="00CF7396" w:rsidRPr="00CF7396" w:rsidRDefault="00CF7396" w:rsidP="00CF7396">
      <w:pPr>
        <w:ind w:left="851" w:right="851" w:firstLine="709"/>
        <w:jc w:val="both"/>
        <w:rPr>
          <w:b/>
          <w:bCs/>
          <w:i/>
          <w:iCs/>
          <w:color w:val="000000" w:themeColor="text1"/>
          <w:lang w:val="es-CR"/>
        </w:rPr>
      </w:pPr>
      <w:r w:rsidRPr="00CF7396">
        <w:rPr>
          <w:b/>
          <w:bCs/>
          <w:i/>
          <w:iCs/>
          <w:color w:val="000000" w:themeColor="text1"/>
          <w:lang w:val="es-CR"/>
        </w:rPr>
        <w:t>Al Consejo de Administración del Primer Circuito Judicial de la Zona Atlántica:</w:t>
      </w:r>
    </w:p>
    <w:p w14:paraId="4DFD7EF7" w14:textId="77777777" w:rsidR="00CF7396" w:rsidRPr="00CF7396" w:rsidRDefault="00CF7396" w:rsidP="00CF7396">
      <w:pPr>
        <w:ind w:left="851" w:right="851" w:firstLine="709"/>
        <w:jc w:val="both"/>
        <w:rPr>
          <w:i/>
          <w:iCs/>
          <w:color w:val="000000" w:themeColor="text1"/>
          <w:lang w:val="es-CR"/>
        </w:rPr>
      </w:pPr>
      <w:r w:rsidRPr="00CF7396">
        <w:rPr>
          <w:i/>
          <w:iCs/>
          <w:color w:val="000000" w:themeColor="text1"/>
          <w:lang w:val="es-CR"/>
        </w:rPr>
        <w:br/>
      </w:r>
      <w:r w:rsidRPr="00CF7396">
        <w:rPr>
          <w:i/>
          <w:iCs/>
          <w:color w:val="000000" w:themeColor="text1"/>
          <w:lang w:val="es-CR"/>
        </w:rPr>
        <w:br/>
      </w:r>
      <w:r w:rsidRPr="00CF7396">
        <w:rPr>
          <w:b/>
          <w:bCs/>
          <w:i/>
          <w:iCs/>
          <w:color w:val="000000" w:themeColor="text1"/>
          <w:lang w:val="es-CR"/>
        </w:rPr>
        <w:t xml:space="preserve">12. </w:t>
      </w:r>
      <w:r w:rsidRPr="00CF7396">
        <w:rPr>
          <w:i/>
          <w:iCs/>
          <w:color w:val="000000" w:themeColor="text1"/>
          <w:lang w:val="es-CR"/>
        </w:rPr>
        <w:t>Remitir al Consejo Superior, a la Comisión de la Jurisdicción Civil y al Centro de Apoyo, Coordinación y Mejoramiento de la Función Jurisdiccional el incumplimiento de cuota de trabajo por parte del licenciado Diego Alejandro Meoño Piedra, Juez Coordinador del Juzgado de Cobro del Primer Circuito Judicial de la Zona Atlántica, por cuanto el Consejo de Administración le ha solicitado en múltiples ocasiones cumplir con las cuotas de trabajo, mediante actas 06-2021 del 25/02/21, acta 16-2021 del 29-07-21, acta 17-2021 del 26/08/21, acta 18-2021 del 30/09/2021, acta 19-2021 del 28/10/21, así como la presentación 2637-PLA-EV-TR-2021 en dónde se le recomendó al licenciado cumplir con sus cuotas de trabajo por cuanto se detectó que desde que se reincorporó al despacho en julio del 2021, su rendimiento en promedio ha sido de 78,46%. Así como el último acuerdo de la sesión celebrada el 27-01-22 que en lo conducente dice: “Reiterar al licenciado Diego Meoño, que según acuerdo del Consejo Superior en sesión 95-2021 del 4 de noviembre del 2021, artículo XXXIII, se aprobó el plan de cobro-civil por lo que el personal técnico titular del despacho debe cumplir con sus cuotas de trabajo. Adicionalmente licenciado Diego deber de cumplir con la cuota mínima de 54 expedientes diarios y 1 dictado de sentencia mensual, dando prioridad a los expedientes de vieja data, por lo que de evidenciarse el no cumplimiento y compromiso por parte del personal titular del despacho se hará del conocimiento del Consejo Superior para los fines correspondientes, lo anterior según el acuerdo citado”.</w:t>
      </w:r>
      <w:r w:rsidRPr="00CF7396">
        <w:rPr>
          <w:i/>
          <w:iCs/>
          <w:color w:val="000000" w:themeColor="text1"/>
          <w:lang w:val="es-CR"/>
        </w:rPr>
        <w:br/>
      </w:r>
      <w:r w:rsidRPr="00CF7396">
        <w:rPr>
          <w:i/>
          <w:iCs/>
          <w:color w:val="000000" w:themeColor="text1"/>
          <w:lang w:val="es-CR"/>
        </w:rPr>
        <w:br/>
      </w:r>
      <w:r w:rsidRPr="00CF7396">
        <w:rPr>
          <w:b/>
          <w:bCs/>
          <w:i/>
          <w:iCs/>
          <w:color w:val="000000" w:themeColor="text1"/>
          <w:lang w:val="es-CR"/>
        </w:rPr>
        <w:t>Se acuerda:</w:t>
      </w:r>
      <w:r w:rsidRPr="00CF7396">
        <w:rPr>
          <w:i/>
          <w:iCs/>
          <w:color w:val="000000" w:themeColor="text1"/>
          <w:lang w:val="es-CR"/>
        </w:rPr>
        <w:t xml:space="preserve"> En atención al informe técnico presentado por la Profesional de la Dirección de Planificación dentro del Modelo de Sostenibilidad Licda. Arellys Hernández Ovares y avalado por su jefatura respectiva, en relación con el incumplimiento de las cuotas de trabajo por el Lic. Diego Meoño Piedra del Juzgado de Cobro del Primer Circuito de la Zona Atlántica, donde informa y detecta que desde que el Lic. Piedra Meoño se incorporó al despacho el rendimiento promedio ha sido de un 78,46%, se le ha reiterado en varias ocasiones la solicitud de cumplir con las cuotas de trabajo y permanece aún por debajo de las cuotas establecidas, se procede según la recomendación externada, elevar el presente asunto a conocimiento del Consejo Superior, a la Comisión de la Jurisdicción Civil y al Centro de Apoyo, Coordinación y Mejoramiento de la Función Jurisdiccional para lo que corresponda.</w:t>
      </w:r>
    </w:p>
    <w:p w14:paraId="10FCB328" w14:textId="77777777" w:rsidR="00CF7396" w:rsidRPr="00CF7396" w:rsidRDefault="00CF7396" w:rsidP="00CF7396">
      <w:pPr>
        <w:ind w:left="851" w:right="851" w:firstLine="709"/>
        <w:jc w:val="both"/>
        <w:rPr>
          <w:i/>
          <w:iCs/>
          <w:color w:val="000000" w:themeColor="text1"/>
          <w:lang w:val="es-CR"/>
        </w:rPr>
      </w:pPr>
      <w:r w:rsidRPr="00CF7396">
        <w:rPr>
          <w:rFonts w:eastAsia="Tahoma"/>
          <w:i/>
          <w:iCs/>
          <w:color w:val="000000" w:themeColor="text1"/>
          <w:lang w:val="es-CR"/>
        </w:rPr>
        <w:t xml:space="preserve"> </w:t>
      </w:r>
      <w:r w:rsidRPr="00CF7396">
        <w:rPr>
          <w:i/>
          <w:iCs/>
          <w:color w:val="000000" w:themeColor="text1"/>
          <w:lang w:val="es-CR"/>
        </w:rPr>
        <w:br/>
        <w:t xml:space="preserve">El informe fue presentado mediante oficio N°542-PLA-EV-TR-2022, emitido por la </w:t>
      </w:r>
      <w:proofErr w:type="spellStart"/>
      <w:r w:rsidRPr="00CF7396">
        <w:rPr>
          <w:i/>
          <w:iCs/>
          <w:color w:val="000000" w:themeColor="text1"/>
          <w:lang w:val="es-CR"/>
        </w:rPr>
        <w:t>Licda</w:t>
      </w:r>
      <w:proofErr w:type="spellEnd"/>
      <w:r w:rsidRPr="00CF7396">
        <w:rPr>
          <w:i/>
          <w:iCs/>
          <w:color w:val="000000" w:themeColor="text1"/>
          <w:lang w:val="es-CR"/>
        </w:rPr>
        <w:t xml:space="preserve"> Arelys Hernández, Profesional del Departamento de Planificación”.</w:t>
      </w:r>
    </w:p>
    <w:p w14:paraId="4971CED0" w14:textId="77777777" w:rsidR="00CF7396" w:rsidRPr="00CF7396" w:rsidRDefault="00CF7396" w:rsidP="00CF7396">
      <w:pPr>
        <w:shd w:val="clear" w:color="auto" w:fill="FFFFFF"/>
        <w:ind w:left="851" w:right="851" w:firstLine="709"/>
        <w:jc w:val="both"/>
        <w:rPr>
          <w:color w:val="000000" w:themeColor="text1"/>
          <w:lang w:val="es-CR" w:eastAsia="es-CR"/>
        </w:rPr>
      </w:pPr>
    </w:p>
    <w:p w14:paraId="2E17CDC4" w14:textId="77777777" w:rsidR="00CF7396" w:rsidRPr="00CF7396" w:rsidRDefault="00CF7396" w:rsidP="00CF7396">
      <w:pPr>
        <w:shd w:val="clear" w:color="auto" w:fill="FFFFFF"/>
        <w:ind w:left="851" w:right="851" w:firstLine="709"/>
        <w:jc w:val="both"/>
        <w:rPr>
          <w:color w:val="000000" w:themeColor="text1"/>
          <w:lang w:val="es-CR" w:eastAsia="es-CR"/>
        </w:rPr>
      </w:pPr>
      <w:r w:rsidRPr="00CF7396">
        <w:rPr>
          <w:color w:val="000000" w:themeColor="text1"/>
          <w:lang w:val="es-CR" w:eastAsia="es-CR"/>
        </w:rPr>
        <w:t>A esos efectos, el Consejo de Administración, mediante oficio 21-CAICJZA-2022 de 3 de marzo del 2022, remitió a la Secretaría de la Corte dicho acuerdo y el Consejo Superior en sesión 27-2022 del 29 de marzo del 2022, artículo LI, acordó trasladarlo al Tribunal de la Inspección Judicial.</w:t>
      </w:r>
    </w:p>
    <w:p w14:paraId="623DA7A0" w14:textId="77777777" w:rsidR="00CF7396" w:rsidRPr="00CF7396" w:rsidRDefault="00CF7396" w:rsidP="00CF7396">
      <w:pPr>
        <w:shd w:val="clear" w:color="auto" w:fill="FFFFFF"/>
        <w:ind w:left="851" w:right="851" w:firstLine="709"/>
        <w:jc w:val="both"/>
        <w:rPr>
          <w:color w:val="000000" w:themeColor="text1"/>
          <w:lang w:val="es-CR" w:eastAsia="es-CR"/>
        </w:rPr>
      </w:pPr>
    </w:p>
    <w:p w14:paraId="725493A4" w14:textId="77777777" w:rsidR="00CF7396" w:rsidRPr="00CF7396" w:rsidRDefault="00CF7396" w:rsidP="00CF7396">
      <w:pPr>
        <w:shd w:val="clear" w:color="auto" w:fill="FFFFFF"/>
        <w:ind w:left="851" w:right="851" w:firstLine="709"/>
        <w:jc w:val="both"/>
        <w:rPr>
          <w:color w:val="000000" w:themeColor="text1"/>
          <w:lang w:val="es-CR" w:eastAsia="es-CR"/>
        </w:rPr>
      </w:pPr>
      <w:r w:rsidRPr="00CF7396">
        <w:rPr>
          <w:color w:val="000000" w:themeColor="text1"/>
          <w:lang w:val="es-CR" w:eastAsia="es-CR"/>
        </w:rPr>
        <w:t>Referente a lo anterior, la Profesional del Modelo de Seguimiento y Sostenibilidad y la Administración Regional de dicho Circuito, formularon planes de trabajo 286, 566, 814-PLA-EV-TR-2022, para diciembre del 2021, febrero, marzo y abril del 2022,  con el fin de que el Juez 3se dedicara a firmar el rezago de firma pendiente, y en su lugar se apoyó con una persona juzgadora supernumeraria para la firma del proveído de las personas técnicas judiciales de cobro que tiene a cargo asignadas el licenciado Diego; en el entendido que la persona juzgadora supernumeraria atendería suplencias.</w:t>
      </w:r>
    </w:p>
    <w:p w14:paraId="31B0F7B6" w14:textId="77777777" w:rsidR="00CF7396" w:rsidRPr="00CF7396" w:rsidRDefault="00CF7396" w:rsidP="00CF7396">
      <w:pPr>
        <w:shd w:val="clear" w:color="auto" w:fill="FFFFFF"/>
        <w:ind w:left="851" w:right="851" w:firstLine="709"/>
        <w:jc w:val="both"/>
        <w:rPr>
          <w:color w:val="000000" w:themeColor="text1"/>
          <w:lang w:val="es-CR" w:eastAsia="es-CR"/>
        </w:rPr>
      </w:pPr>
    </w:p>
    <w:p w14:paraId="6D1BC1C7"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Volviendo al tema sobre los despachos que obtuvieron buenas calificaciones al concluir el 2021; es relevante mencionar que durante dicho período el Juzgado de Pensiones Alimentarias del Primer Circuito Judicial de la Zona Atlántica obtuvo en marzo y julio del 2021 una calificación “Bien” y en agosto y setiembre del 2021 de “Excelente”. Igualmente, el Tribunal de Apelación Civil y de Trabajo del citado Circuito, en enero y junio del 2021 tuvo una calificación “Excelente” y en febrero y julio del 2021 de “Bien” y en marzo de “Con oportunidades de mejora manejables.”.</w:t>
      </w:r>
    </w:p>
    <w:p w14:paraId="5CE5E621" w14:textId="77777777" w:rsidR="00CF7396" w:rsidRPr="00CF7396" w:rsidRDefault="00CF7396" w:rsidP="00CF7396">
      <w:pPr>
        <w:ind w:left="851" w:right="851" w:firstLine="709"/>
        <w:jc w:val="both"/>
        <w:rPr>
          <w:color w:val="000000" w:themeColor="text1"/>
          <w:lang w:val="es-CR"/>
        </w:rPr>
      </w:pPr>
    </w:p>
    <w:p w14:paraId="7ABA5D1F" w14:textId="77777777" w:rsidR="00CF7396" w:rsidRPr="00CF7396" w:rsidRDefault="00CF7396" w:rsidP="00CF7396">
      <w:pPr>
        <w:ind w:left="851" w:right="851" w:firstLine="709"/>
        <w:rPr>
          <w:b/>
          <w:i/>
          <w:iCs/>
          <w:color w:val="000000" w:themeColor="text1"/>
          <w:lang w:val="es-CR"/>
        </w:rPr>
      </w:pPr>
      <w:bookmarkStart w:id="12" w:name="_Toc78876665"/>
      <w:proofErr w:type="gramStart"/>
      <w:r w:rsidRPr="00CF7396">
        <w:rPr>
          <w:b/>
          <w:iCs/>
          <w:color w:val="000000" w:themeColor="text1"/>
          <w:lang w:val="es-CR"/>
        </w:rPr>
        <w:t>4.2.2  Despachos</w:t>
      </w:r>
      <w:proofErr w:type="gramEnd"/>
      <w:r w:rsidRPr="00CF7396">
        <w:rPr>
          <w:b/>
          <w:iCs/>
          <w:color w:val="000000" w:themeColor="text1"/>
          <w:lang w:val="es-CR"/>
        </w:rPr>
        <w:t xml:space="preserve"> que se encuentran en estado crítico al finalizar el 202</w:t>
      </w:r>
      <w:bookmarkEnd w:id="12"/>
      <w:r w:rsidRPr="00CF7396">
        <w:rPr>
          <w:b/>
          <w:iCs/>
          <w:color w:val="000000" w:themeColor="text1"/>
          <w:lang w:val="es-CR"/>
        </w:rPr>
        <w:t>1</w:t>
      </w:r>
    </w:p>
    <w:p w14:paraId="5A9365FF" w14:textId="77777777" w:rsidR="00CF7396" w:rsidRPr="00CF7396" w:rsidRDefault="00CF7396" w:rsidP="00CF7396">
      <w:pPr>
        <w:ind w:left="851" w:right="851" w:firstLine="709"/>
        <w:rPr>
          <w:color w:val="000000" w:themeColor="text1"/>
          <w:lang w:val="es-CR"/>
        </w:rPr>
      </w:pPr>
    </w:p>
    <w:p w14:paraId="63BCCBAA"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Seguidamente, se explican los despachos judiciales que se encontraron con calificaciones “críticos, pero con buen rendimiento de personal” (corresponde cuando al menos un Indicador se aleja negativamente del 100% del rango establecido, pero el rendimiento de al menos el 80% del personal se encuentra dentro del rango “estándar”, corresponde al color naranja, letra E</w:t>
      </w:r>
      <w:r w:rsidRPr="00CF7396">
        <w:rPr>
          <w:i/>
          <w:iCs/>
          <w:color w:val="000000" w:themeColor="text1"/>
          <w:lang w:val="es-CR"/>
        </w:rPr>
        <w:t>)</w:t>
      </w:r>
      <w:r w:rsidRPr="00CF7396">
        <w:rPr>
          <w:color w:val="000000" w:themeColor="text1"/>
          <w:lang w:val="es-CR"/>
        </w:rPr>
        <w:t>:</w:t>
      </w:r>
    </w:p>
    <w:p w14:paraId="5CDE2567" w14:textId="77777777" w:rsidR="00CF7396" w:rsidRPr="00CF7396" w:rsidRDefault="00CF7396" w:rsidP="00CF7396">
      <w:pPr>
        <w:ind w:left="851" w:right="851" w:firstLine="709"/>
        <w:jc w:val="both"/>
        <w:rPr>
          <w:color w:val="000000" w:themeColor="text1"/>
          <w:lang w:val="es-CR"/>
        </w:rPr>
      </w:pPr>
    </w:p>
    <w:p w14:paraId="514DC8CB" w14:textId="77777777" w:rsidR="00CF7396" w:rsidRPr="00CF7396" w:rsidRDefault="00CF7396" w:rsidP="00CF7396">
      <w:pPr>
        <w:numPr>
          <w:ilvl w:val="0"/>
          <w:numId w:val="35"/>
        </w:numPr>
        <w:ind w:left="851" w:right="851" w:firstLine="709"/>
        <w:jc w:val="both"/>
        <w:rPr>
          <w:b/>
          <w:bCs/>
          <w:color w:val="000000" w:themeColor="text1"/>
          <w:u w:val="single"/>
          <w:lang w:val="es-CR"/>
        </w:rPr>
      </w:pPr>
      <w:r w:rsidRPr="00CF7396">
        <w:rPr>
          <w:b/>
          <w:bCs/>
          <w:color w:val="000000" w:themeColor="text1"/>
          <w:u w:val="single"/>
          <w:lang w:val="es-CR"/>
        </w:rPr>
        <w:t>Juzgado Contravencional de Matina:</w:t>
      </w:r>
    </w:p>
    <w:p w14:paraId="301CEE8F" w14:textId="77777777" w:rsidR="00CF7396" w:rsidRPr="00CF7396" w:rsidRDefault="00CF7396" w:rsidP="00CF7396">
      <w:pPr>
        <w:ind w:left="851" w:right="851" w:firstLine="709"/>
        <w:jc w:val="both"/>
        <w:rPr>
          <w:color w:val="000000" w:themeColor="text1"/>
          <w:lang w:val="es-CR"/>
        </w:rPr>
      </w:pPr>
    </w:p>
    <w:p w14:paraId="60F8C37B"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Los Indicadores que lo posicionaron en dicha calificación fueron los siguientes:</w:t>
      </w:r>
    </w:p>
    <w:p w14:paraId="4270363A" w14:textId="77777777" w:rsidR="00CF7396" w:rsidRPr="00CF7396" w:rsidRDefault="00CF7396" w:rsidP="00CF7396">
      <w:pPr>
        <w:ind w:left="851" w:right="851" w:firstLine="709"/>
        <w:jc w:val="both"/>
        <w:rPr>
          <w:color w:val="000000" w:themeColor="text1"/>
          <w:lang w:val="es-CR"/>
        </w:rPr>
      </w:pPr>
    </w:p>
    <w:p w14:paraId="65DD222A" w14:textId="77777777" w:rsidR="00CF7396" w:rsidRPr="00CF7396" w:rsidRDefault="00CF7396" w:rsidP="00CF7396">
      <w:pPr>
        <w:numPr>
          <w:ilvl w:val="0"/>
          <w:numId w:val="41"/>
        </w:numPr>
        <w:ind w:left="851" w:right="851" w:firstLine="709"/>
        <w:jc w:val="both"/>
        <w:rPr>
          <w:color w:val="000000" w:themeColor="text1"/>
          <w:lang w:val="es-CR"/>
        </w:rPr>
      </w:pPr>
      <w:r w:rsidRPr="00CF7396">
        <w:rPr>
          <w:b/>
          <w:bCs/>
          <w:color w:val="000000" w:themeColor="text1"/>
          <w:lang w:val="es-CR"/>
        </w:rPr>
        <w:t>Plazo de espera de dictado de sentencia:</w:t>
      </w:r>
      <w:r w:rsidRPr="00CF7396">
        <w:rPr>
          <w:color w:val="000000" w:themeColor="text1"/>
          <w:lang w:val="es-CR"/>
        </w:rPr>
        <w:t xml:space="preserve"> Al concluir el 2021 se encontró en 213 días; con un alejamiento del 914% del rango establecido en la matriz de Indicadores (21 días), el mismo tiene relación con la cantidad de expedientes pendientes de fallo el cual para diciembre fue de 46 asuntos, posicionándolo dentro del rango “Muy bueno” por cuanto el parámetro máximo es de 100. Las justificaciones aportadas en la minuta de reunión indican que corresponde a 38 expedientes pendientes de fallo por parte de una persona juzgadora del Centro de Apoyo, Coordinación y Mejoramiento de la Función Jurisdiccional.</w:t>
      </w:r>
    </w:p>
    <w:p w14:paraId="6F748FF4" w14:textId="77777777" w:rsidR="00CF7396" w:rsidRPr="00CF7396" w:rsidRDefault="00CF7396" w:rsidP="00CF7396">
      <w:pPr>
        <w:ind w:left="851" w:right="851" w:firstLine="709"/>
        <w:jc w:val="both"/>
        <w:rPr>
          <w:color w:val="000000" w:themeColor="text1"/>
          <w:lang w:val="es-CR"/>
        </w:rPr>
      </w:pPr>
    </w:p>
    <w:p w14:paraId="65C376A7" w14:textId="77777777" w:rsidR="00CF7396" w:rsidRPr="00CF7396" w:rsidRDefault="00CF7396" w:rsidP="00CF7396">
      <w:pPr>
        <w:numPr>
          <w:ilvl w:val="0"/>
          <w:numId w:val="41"/>
        </w:numPr>
        <w:ind w:left="851" w:right="851" w:firstLine="709"/>
        <w:jc w:val="both"/>
        <w:rPr>
          <w:color w:val="000000" w:themeColor="text1"/>
          <w:lang w:val="es-CR"/>
        </w:rPr>
      </w:pPr>
      <w:r w:rsidRPr="00CF7396">
        <w:rPr>
          <w:b/>
          <w:bCs/>
          <w:color w:val="000000" w:themeColor="text1"/>
          <w:lang w:val="es-CR"/>
        </w:rPr>
        <w:t>Plazo de fijación de provisionales:</w:t>
      </w:r>
      <w:r w:rsidRPr="00CF7396">
        <w:rPr>
          <w:color w:val="000000" w:themeColor="text1"/>
          <w:lang w:val="es-CR"/>
        </w:rPr>
        <w:t xml:space="preserve"> Para diciembre el Indicador fue de 17 días, un 467% de alejamiento del rango establecido (3 días); las justificaciones aportadas por el despacho en la minuta de reunión citan que estuvieron con el PAO y varios ajustes a inicios de año, provocando tener poco tiempo para realizar las provisionales; sin embargo, las mismas iban hacer resueltas a la brevedad posible.</w:t>
      </w:r>
    </w:p>
    <w:p w14:paraId="16ABDDFB" w14:textId="77777777" w:rsidR="00CF7396" w:rsidRPr="00CF7396" w:rsidRDefault="00CF7396" w:rsidP="00CF7396">
      <w:pPr>
        <w:ind w:left="851" w:right="851" w:firstLine="709"/>
        <w:rPr>
          <w:color w:val="000000" w:themeColor="text1"/>
          <w:lang w:val="es-CR"/>
        </w:rPr>
      </w:pPr>
    </w:p>
    <w:p w14:paraId="5A6F9C95"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Se destaca que los rendimientos de las personas técnicas judiciales en promedio fueron de 105% y el de la persona juzgadora fue de 117%, por el período analizado.</w:t>
      </w:r>
    </w:p>
    <w:p w14:paraId="06D6D507" w14:textId="77777777" w:rsidR="00CF7396" w:rsidRPr="00CF7396" w:rsidRDefault="00CF7396" w:rsidP="00CF7396">
      <w:pPr>
        <w:ind w:left="851" w:right="851" w:firstLine="709"/>
        <w:jc w:val="both"/>
        <w:rPr>
          <w:color w:val="000000" w:themeColor="text1"/>
          <w:lang w:val="es-CR"/>
        </w:rPr>
      </w:pPr>
    </w:p>
    <w:p w14:paraId="7AB7194C"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De manera general las calificaciones que obtuvo durante el 2021 fueron en promedio de un 67% con calificación “Crítico, pero con buen rendimiento de personal” (letra E color anaranjado) y un 33% con calificación “Crítico” (letra D color rojo); concluyendo que el comportamiento histórico del Juzgado fue “Crítico, pero con buen rendimiento de personal” por dicho período.</w:t>
      </w:r>
    </w:p>
    <w:p w14:paraId="5D527BCF" w14:textId="77777777" w:rsidR="00CF7396" w:rsidRPr="00CF7396" w:rsidRDefault="00CF7396" w:rsidP="00CF7396">
      <w:pPr>
        <w:ind w:left="851" w:right="851" w:firstLine="709"/>
        <w:jc w:val="both"/>
        <w:rPr>
          <w:color w:val="000000" w:themeColor="text1"/>
          <w:lang w:val="es-CR"/>
        </w:rPr>
      </w:pPr>
    </w:p>
    <w:p w14:paraId="40649023"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Durante el 2021 se realizaron diversos planes de trabajo los cuales se ampliarán en el punto 6 del presente informe, así como diversos hallazgos conforme se citarán en el apartado 5. </w:t>
      </w:r>
    </w:p>
    <w:p w14:paraId="6CFA63AE" w14:textId="77777777" w:rsidR="00CF7396" w:rsidRPr="00CF7396" w:rsidRDefault="00CF7396" w:rsidP="00CF7396">
      <w:pPr>
        <w:ind w:left="851" w:right="851" w:firstLine="709"/>
        <w:jc w:val="both"/>
        <w:rPr>
          <w:color w:val="000000" w:themeColor="text1"/>
          <w:lang w:val="es-CR"/>
        </w:rPr>
      </w:pPr>
    </w:p>
    <w:p w14:paraId="5CCF09AA"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Producto de la implementación de la Reforma de Familia, el despacho inició en octubre del 2020 con dicho proceso, por lo que los seguimientos y realimentaciones propiamente de la oficina estuvieron a cargo del Profesional del Subproceso de Modernización Institucional de la Dirección de Planificación, durante todo el 2021; sin embargo, se mantuvo una comunicación constante entre la persona Profesional del Modelo de Seguimiento de Sostenibilidad para la formulación de planes de trabajo de personal supernumerario, así como para exponer ante el Consejo de Administración del Circuito y otros temas de interés; aunado a que el despacho con anterioridad conformaba parte del Modelo.</w:t>
      </w:r>
    </w:p>
    <w:p w14:paraId="0DB2978D" w14:textId="77777777" w:rsidR="00CF7396" w:rsidRPr="00CF7396" w:rsidRDefault="00CF7396" w:rsidP="00CF7396">
      <w:pPr>
        <w:ind w:left="851" w:right="851" w:firstLine="709"/>
        <w:jc w:val="both"/>
        <w:rPr>
          <w:color w:val="000000" w:themeColor="text1"/>
          <w:lang w:val="es-CR"/>
        </w:rPr>
      </w:pPr>
    </w:p>
    <w:p w14:paraId="176CB911" w14:textId="77777777" w:rsidR="00CF7396" w:rsidRPr="00CF7396" w:rsidRDefault="00CF7396" w:rsidP="00CF7396">
      <w:pPr>
        <w:numPr>
          <w:ilvl w:val="0"/>
          <w:numId w:val="35"/>
        </w:numPr>
        <w:ind w:left="851" w:right="851" w:firstLine="709"/>
        <w:jc w:val="both"/>
        <w:rPr>
          <w:b/>
          <w:bCs/>
          <w:color w:val="000000" w:themeColor="text1"/>
          <w:u w:val="single"/>
          <w:lang w:val="es-CR"/>
        </w:rPr>
      </w:pPr>
      <w:r w:rsidRPr="00CF7396">
        <w:rPr>
          <w:b/>
          <w:bCs/>
          <w:color w:val="000000" w:themeColor="text1"/>
          <w:u w:val="single"/>
          <w:lang w:val="es-CR"/>
        </w:rPr>
        <w:t>Juzgado de Pensiones Alimentarias del Primer Circuito Judicial de la Zona Atlántica:</w:t>
      </w:r>
    </w:p>
    <w:p w14:paraId="41048789" w14:textId="77777777" w:rsidR="00CF7396" w:rsidRPr="00CF7396" w:rsidRDefault="00CF7396" w:rsidP="00CF7396">
      <w:pPr>
        <w:ind w:left="851" w:right="851" w:firstLine="709"/>
        <w:jc w:val="both"/>
        <w:rPr>
          <w:color w:val="000000" w:themeColor="text1"/>
          <w:lang w:val="es-CR"/>
        </w:rPr>
      </w:pPr>
    </w:p>
    <w:p w14:paraId="65D05BBF" w14:textId="77777777" w:rsidR="00CF7396" w:rsidRPr="00CF7396" w:rsidRDefault="00CF7396" w:rsidP="00CF7396">
      <w:pPr>
        <w:numPr>
          <w:ilvl w:val="0"/>
          <w:numId w:val="42"/>
        </w:numPr>
        <w:ind w:left="851" w:right="851" w:firstLine="709"/>
        <w:jc w:val="both"/>
        <w:rPr>
          <w:color w:val="000000" w:themeColor="text1"/>
          <w:lang w:val="es-CR"/>
        </w:rPr>
      </w:pPr>
      <w:r w:rsidRPr="00CF7396">
        <w:rPr>
          <w:b/>
          <w:bCs/>
          <w:color w:val="000000" w:themeColor="text1"/>
          <w:lang w:val="es-CR"/>
        </w:rPr>
        <w:t>Plazo de resolución de apremios:</w:t>
      </w:r>
      <w:r w:rsidRPr="00CF7396">
        <w:rPr>
          <w:color w:val="000000" w:themeColor="text1"/>
          <w:lang w:val="es-CR"/>
        </w:rPr>
        <w:t xml:space="preserve"> En diciembre del 2021 el Indicador fue de 4 días, representando un alejamiento del 100% del rango establecido (2 días); sin embargo, la matriz de Indicadores considera los días naturales, por lo que en la minuta de reunión justificaron que es debido al cierre colectivo de fin de año. Dicho Indicador tiene relación con la cantidad de apremios pendientes, el cual se encontró con 80 asuntos en diciembre del 2021, dando un alejamiento de un 86% según los rangos establecidos en la matriz de Indicadores.</w:t>
      </w:r>
    </w:p>
    <w:p w14:paraId="055CAB72" w14:textId="77777777" w:rsidR="00CF7396" w:rsidRPr="00CF7396" w:rsidRDefault="00CF7396" w:rsidP="00CF7396">
      <w:pPr>
        <w:ind w:left="851" w:right="851" w:firstLine="709"/>
        <w:jc w:val="both"/>
        <w:rPr>
          <w:color w:val="000000" w:themeColor="text1"/>
          <w:lang w:val="es-CR"/>
        </w:rPr>
      </w:pPr>
    </w:p>
    <w:p w14:paraId="4F29EDF5"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Para el 2021 en promedio los rendimientos de las personas técnicas judiciales fueron de un 103%, el de la persona técnica judicial de audiencias tempranas o previas fue de un 98% (rango estándar), persona juzgadora de trámite de 260%, persona juzgadora de fondo de 266%. Por otro lado, el rendimiento de la persona juzgadora de conciliación fue de 76%y de la persona juzgadora sustituto de conciliación de 145%; justificaron en la minuta de reunión que se dio por causas externas al despacho, por cuanto las partes mantienen posiciones libres, voluntarias e informadas que generan la anuencia o renuencia a la conciliación. Lo anterior tiene relación con el porcentaje de efectividad de audiencias tempranas cuyo promedio fue de 74% durante el 2021.</w:t>
      </w:r>
    </w:p>
    <w:p w14:paraId="169ABD07" w14:textId="77777777" w:rsidR="00CF7396" w:rsidRPr="00CF7396" w:rsidRDefault="00CF7396" w:rsidP="00CF7396">
      <w:pPr>
        <w:ind w:left="851" w:right="851" w:firstLine="709"/>
        <w:jc w:val="both"/>
        <w:rPr>
          <w:color w:val="000000" w:themeColor="text1"/>
          <w:lang w:val="es-CR"/>
        </w:rPr>
      </w:pPr>
    </w:p>
    <w:p w14:paraId="49527408"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En cuanto al rendimiento de las dos personas técnicas de apremio fue de un 60%; debido a que la cantidad de apremios no fueron suficientes para cubrir las cuotas de trabajo; en promedio la entrada de apremios para el 2021 fue de 792 asuntos, y la cuota de trabajo es de 25 asuntos diarios, para un total de 1050 por todo el personal, es decir, tuvieron un faltante de 24% de asuntos para cubrir la cuota de trabajo, evidenciando que el rendimiento es producto de una causa ajena al despacho, tal como lo justifican en las minutas de reunión.</w:t>
      </w:r>
    </w:p>
    <w:p w14:paraId="7B3A4379" w14:textId="77777777" w:rsidR="00CF7396" w:rsidRPr="00CF7396" w:rsidRDefault="00CF7396" w:rsidP="00CF7396">
      <w:pPr>
        <w:ind w:left="851" w:right="851" w:firstLine="709"/>
        <w:jc w:val="both"/>
        <w:rPr>
          <w:color w:val="000000" w:themeColor="text1"/>
          <w:lang w:val="es-CR"/>
        </w:rPr>
      </w:pPr>
    </w:p>
    <w:p w14:paraId="053B80BB"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Durante el 2021 el promedio de las calificaciones del Juzgado fue de un 58% con calificación “Crítico, pero con buen rendimiento de personal” (letra E, color anaranjado), un 17% con calificación “Bien” (letra B, color verde) y “Excelente” (letra A, color azul), y un 8% con calificación “Crítica” (letra D, color rojo). Con base en lo anterior, se podría decir que en promedio mantuvo una calificación “Crítico, pero con buen rendimiento de personal”.   </w:t>
      </w:r>
    </w:p>
    <w:p w14:paraId="56C63E81" w14:textId="77777777" w:rsidR="00CF7396" w:rsidRPr="00CF7396" w:rsidRDefault="00CF7396" w:rsidP="00CF7396">
      <w:pPr>
        <w:ind w:left="851" w:right="851" w:firstLine="709"/>
        <w:jc w:val="both"/>
        <w:rPr>
          <w:color w:val="000000" w:themeColor="text1"/>
          <w:lang w:val="es-CR"/>
        </w:rPr>
      </w:pPr>
    </w:p>
    <w:p w14:paraId="0E58BA07" w14:textId="77777777" w:rsidR="00CF7396" w:rsidRPr="00CF7396" w:rsidRDefault="00CF7396" w:rsidP="00CF7396">
      <w:pPr>
        <w:numPr>
          <w:ilvl w:val="0"/>
          <w:numId w:val="35"/>
        </w:numPr>
        <w:ind w:left="851" w:right="851" w:firstLine="709"/>
        <w:jc w:val="both"/>
        <w:rPr>
          <w:b/>
          <w:bCs/>
          <w:color w:val="000000" w:themeColor="text1"/>
          <w:u w:val="single"/>
          <w:lang w:val="es-CR"/>
        </w:rPr>
      </w:pPr>
      <w:r w:rsidRPr="00CF7396">
        <w:rPr>
          <w:b/>
          <w:bCs/>
          <w:color w:val="000000" w:themeColor="text1"/>
          <w:u w:val="single"/>
          <w:lang w:val="es-CR"/>
        </w:rPr>
        <w:t>Tribunal Colegiado de Primera Instancia Civil del Primer Circuito Judicial de la Zona Atlántica:</w:t>
      </w:r>
    </w:p>
    <w:p w14:paraId="7CE545E0" w14:textId="77777777" w:rsidR="00CF7396" w:rsidRPr="00CF7396" w:rsidRDefault="00CF7396" w:rsidP="00CF7396">
      <w:pPr>
        <w:ind w:left="851" w:right="851" w:firstLine="709"/>
        <w:jc w:val="both"/>
        <w:rPr>
          <w:color w:val="000000" w:themeColor="text1"/>
          <w:lang w:val="es-CR"/>
        </w:rPr>
      </w:pPr>
    </w:p>
    <w:p w14:paraId="02B6B071" w14:textId="77777777" w:rsidR="00CF7396" w:rsidRPr="00CF7396" w:rsidRDefault="00CF7396" w:rsidP="00CF7396">
      <w:pPr>
        <w:numPr>
          <w:ilvl w:val="0"/>
          <w:numId w:val="42"/>
        </w:numPr>
        <w:ind w:left="851" w:right="851" w:firstLine="709"/>
        <w:jc w:val="both"/>
        <w:rPr>
          <w:color w:val="000000" w:themeColor="text1"/>
          <w:lang w:val="es-CR"/>
        </w:rPr>
      </w:pPr>
      <w:r w:rsidRPr="00CF7396">
        <w:rPr>
          <w:b/>
          <w:bCs/>
          <w:color w:val="000000" w:themeColor="text1"/>
          <w:lang w:val="es-CR"/>
        </w:rPr>
        <w:t>Plazo de espera de dictado de sentencia:</w:t>
      </w:r>
      <w:r w:rsidRPr="00CF7396">
        <w:rPr>
          <w:color w:val="000000" w:themeColor="text1"/>
          <w:lang w:val="es-CR"/>
        </w:rPr>
        <w:t xml:space="preserve"> El Indicador fue de 395 días al finalizar el 2021, teniendo un alejamiento del 161% del rango de la matriz; por otro lado, la cantidad de expedientes pendientes de fallo se encontró en 12 asuntos, posicionando el Indicador como “Muy bueno”, por cuanto el rango máximo es de 19. En la minuta de reunión justificaron que es debido al expediente complejo pendiente de sentencia 17-000212-0930-CI con fecha de pase a fallo de enero 2021; sin embargo, para noviembre y diciembre, el Centro de Apoyo, Coordinación y Mejoramiento de la Función Jurisdiccional aplicó un plan remedial apoyando con una plaza juzgadora adicional con la finalidad de que el Juez titular de dicho expediente continuara con la redacción del proyecto de sentencia. El apoyo se brindó en noviembre y en diciembre fue parcial por cuanto debía atender otras labores propias del cargo. </w:t>
      </w:r>
      <w:proofErr w:type="gramStart"/>
      <w:r w:rsidRPr="00CF7396">
        <w:rPr>
          <w:color w:val="000000" w:themeColor="text1"/>
          <w:lang w:val="es-CR"/>
        </w:rPr>
        <w:t>Indicar</w:t>
      </w:r>
      <w:proofErr w:type="gramEnd"/>
      <w:r w:rsidRPr="00CF7396">
        <w:rPr>
          <w:color w:val="000000" w:themeColor="text1"/>
          <w:lang w:val="es-CR"/>
        </w:rPr>
        <w:t xml:space="preserve"> que la sentencia de dicho expediente fue dictada a las 16:55 horas del 31 de mayo del 2022 mediante el número de sentencia 86-2022.</w:t>
      </w:r>
      <w:r w:rsidRPr="00CF7396">
        <w:rPr>
          <w:color w:val="000000" w:themeColor="text1"/>
          <w:vertAlign w:val="superscript"/>
          <w:lang w:val="es-CR"/>
        </w:rPr>
        <w:footnoteReference w:id="3"/>
      </w:r>
    </w:p>
    <w:p w14:paraId="359BA183" w14:textId="77777777" w:rsidR="00CF7396" w:rsidRPr="00CF7396" w:rsidRDefault="00CF7396" w:rsidP="00CF7396">
      <w:pPr>
        <w:ind w:left="851" w:right="851" w:firstLine="709"/>
        <w:jc w:val="both"/>
        <w:rPr>
          <w:color w:val="000000" w:themeColor="text1"/>
          <w:lang w:val="es-CR"/>
        </w:rPr>
      </w:pPr>
    </w:p>
    <w:p w14:paraId="2E8FFCDA" w14:textId="77777777" w:rsidR="00CF7396" w:rsidRPr="00CF7396" w:rsidRDefault="00CF7396" w:rsidP="00CF7396">
      <w:pPr>
        <w:numPr>
          <w:ilvl w:val="0"/>
          <w:numId w:val="42"/>
        </w:numPr>
        <w:ind w:left="851" w:right="851" w:firstLine="709"/>
        <w:jc w:val="both"/>
        <w:rPr>
          <w:color w:val="000000" w:themeColor="text1"/>
          <w:lang w:val="es-CR"/>
        </w:rPr>
      </w:pPr>
      <w:r w:rsidRPr="00CF7396">
        <w:rPr>
          <w:b/>
          <w:bCs/>
          <w:color w:val="000000" w:themeColor="text1"/>
          <w:lang w:val="es-CR"/>
        </w:rPr>
        <w:t>El rendimiento de las personas técnicas judiciales</w:t>
      </w:r>
      <w:r w:rsidRPr="00CF7396">
        <w:rPr>
          <w:color w:val="000000" w:themeColor="text1"/>
          <w:lang w:val="es-CR"/>
        </w:rPr>
        <w:t xml:space="preserve"> fue crítico durante todo el período; debido a la poca carga de trabajo que ingresa en el Tribunal, en promedio la entrada es de 12 asuntos mensuales y la cuota de trabajo es de 15 asuntos diarios; es decir 945 asuntos al mes por las tres personas técnicas judiciales, por lo que bajo dicha condición el Indicador del rendimiento no se considera para dar una calificación crítica, por cuanto corresponde a situaciones ajenas del despacho; lo anterior tiene relación con la reforma de la ley, en dónde la mayoría de las gestiones recae en el personal juzgador . </w:t>
      </w:r>
    </w:p>
    <w:p w14:paraId="64E41501" w14:textId="77777777" w:rsidR="00CF7396" w:rsidRPr="00CF7396" w:rsidRDefault="00CF7396" w:rsidP="00CF7396">
      <w:pPr>
        <w:ind w:left="851" w:right="851" w:firstLine="709"/>
        <w:rPr>
          <w:color w:val="000000" w:themeColor="text1"/>
          <w:lang w:val="es-CR"/>
        </w:rPr>
      </w:pPr>
    </w:p>
    <w:p w14:paraId="1D06B117"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Aunado a lo anterior, los Tribunales Colegiados de Primera Instancia Civil a nivel nacional, están siendo sujetos de análisis por parte del Subproceso de Modernización Institucional de la Dirección de Planificación, con el fin de maximizar el tema del uso de los recursos.</w:t>
      </w:r>
    </w:p>
    <w:p w14:paraId="24C47E26" w14:textId="77777777" w:rsidR="00CF7396" w:rsidRPr="00CF7396" w:rsidRDefault="00CF7396" w:rsidP="00CF7396">
      <w:pPr>
        <w:ind w:left="851" w:right="851" w:firstLine="709"/>
        <w:jc w:val="both"/>
        <w:rPr>
          <w:color w:val="000000" w:themeColor="text1"/>
          <w:lang w:val="es-CR"/>
        </w:rPr>
      </w:pPr>
    </w:p>
    <w:p w14:paraId="21283386"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El promedio de las calificaciones fue de un 67% “Crítico” (letra D, color rojo), y un 33% “Crítico, pero con buen rendimiento de personal” (letra E, color anaranjado); obteniendo un mayor porcentaje en la calificación “Crítico” por el período del 2021; sin embargo, para diciembre obtuvo una calificación “Crítico, pero con buen rendimiento de personal”.</w:t>
      </w:r>
    </w:p>
    <w:p w14:paraId="1E4D6C9B" w14:textId="77777777" w:rsidR="00CF7396" w:rsidRPr="00CF7396" w:rsidRDefault="00CF7396" w:rsidP="00CF7396">
      <w:pPr>
        <w:ind w:left="851" w:right="851" w:firstLine="709"/>
        <w:jc w:val="both"/>
        <w:rPr>
          <w:color w:val="000000" w:themeColor="text1"/>
          <w:lang w:val="es-CR"/>
        </w:rPr>
      </w:pPr>
    </w:p>
    <w:p w14:paraId="1B4C3061" w14:textId="77777777" w:rsidR="00CF7396" w:rsidRPr="00CF7396" w:rsidRDefault="00CF7396" w:rsidP="00CF7396">
      <w:pPr>
        <w:numPr>
          <w:ilvl w:val="0"/>
          <w:numId w:val="35"/>
        </w:numPr>
        <w:ind w:left="851" w:right="851" w:firstLine="709"/>
        <w:jc w:val="both"/>
        <w:rPr>
          <w:b/>
          <w:bCs/>
          <w:color w:val="000000" w:themeColor="text1"/>
          <w:u w:val="single"/>
          <w:lang w:val="es-CR"/>
        </w:rPr>
      </w:pPr>
      <w:r w:rsidRPr="00CF7396">
        <w:rPr>
          <w:b/>
          <w:bCs/>
          <w:color w:val="000000" w:themeColor="text1"/>
          <w:u w:val="single"/>
          <w:lang w:val="es-CR"/>
        </w:rPr>
        <w:t>Tribunal de Apelación Civil y de Trabajo del Primer Circuito Judicial de la Zona Atlántica:</w:t>
      </w:r>
    </w:p>
    <w:p w14:paraId="54E8CA4F" w14:textId="77777777" w:rsidR="00CF7396" w:rsidRPr="00CF7396" w:rsidRDefault="00CF7396" w:rsidP="00CF7396">
      <w:pPr>
        <w:ind w:left="851" w:right="851" w:firstLine="709"/>
        <w:jc w:val="both"/>
        <w:rPr>
          <w:color w:val="000000" w:themeColor="text1"/>
          <w:lang w:val="es-CR"/>
        </w:rPr>
      </w:pPr>
    </w:p>
    <w:p w14:paraId="01A62713" w14:textId="77777777" w:rsidR="00CF7396" w:rsidRPr="00CF7396" w:rsidRDefault="00CF7396" w:rsidP="00CF7396">
      <w:pPr>
        <w:numPr>
          <w:ilvl w:val="0"/>
          <w:numId w:val="43"/>
        </w:numPr>
        <w:ind w:left="851" w:right="851" w:firstLine="709"/>
        <w:jc w:val="both"/>
        <w:rPr>
          <w:color w:val="000000" w:themeColor="text1"/>
          <w:lang w:val="es-CR"/>
        </w:rPr>
      </w:pPr>
      <w:r w:rsidRPr="00CF7396">
        <w:rPr>
          <w:b/>
          <w:bCs/>
          <w:color w:val="000000" w:themeColor="text1"/>
          <w:u w:val="single"/>
          <w:lang w:val="es-CR"/>
        </w:rPr>
        <w:t>Plazo de espera para el dictado de sentencia</w:t>
      </w:r>
      <w:r w:rsidRPr="00CF7396">
        <w:rPr>
          <w:color w:val="000000" w:themeColor="text1"/>
          <w:lang w:val="es-CR"/>
        </w:rPr>
        <w:t>: En materia civil el Indicador fue de 172 días y en materia laboral de 144 días, alejándose un 311% y 391%, respectivamente del rango establecido de 35 días; relacionado con lo anterior, la cantidad de expedientes pendientes de fallo fue de 96 asuntos en materia civil, posicionando el Indicador como crítico al tener un alejamiento del 66% del rango y 27 asuntos en laboral dando como resultado de “Muy bueno”.</w:t>
      </w:r>
    </w:p>
    <w:p w14:paraId="5E35A65E" w14:textId="77777777" w:rsidR="00CF7396" w:rsidRPr="00CF7396" w:rsidRDefault="00CF7396" w:rsidP="00CF7396">
      <w:pPr>
        <w:ind w:left="851" w:right="851" w:firstLine="709"/>
        <w:jc w:val="both"/>
        <w:rPr>
          <w:b/>
          <w:bCs/>
          <w:color w:val="000000" w:themeColor="text1"/>
          <w:u w:val="single"/>
          <w:lang w:val="es-CR"/>
        </w:rPr>
      </w:pPr>
    </w:p>
    <w:p w14:paraId="4B3C5345"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Según minuta de reunión justificaron que en materia civil correspondía al proceso ordinario expediente 08-000209-0930-CI y en materia laboral citaron que era un proceso ordinario bajo el expediente 19-000919-0679-LA. Para ambos casos formularon un plan remedial para tramitar ambos expedientes al finalizar enero del 2022.</w:t>
      </w:r>
    </w:p>
    <w:p w14:paraId="64534B51" w14:textId="77777777" w:rsidR="00CF7396" w:rsidRPr="00CF7396" w:rsidRDefault="00CF7396" w:rsidP="00CF7396">
      <w:pPr>
        <w:ind w:left="851" w:right="851" w:firstLine="709"/>
        <w:jc w:val="both"/>
        <w:rPr>
          <w:color w:val="000000" w:themeColor="text1"/>
          <w:lang w:val="es-CR"/>
        </w:rPr>
      </w:pPr>
    </w:p>
    <w:p w14:paraId="6A7D46AD"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El rendimiento de las dos personas técnicas judiciales en promedio fue de 15%, en las minutas de reunión han justificado que es debido a poco proveído que tiene el personal, por cuanto el mismo surge “</w:t>
      </w:r>
      <w:r w:rsidRPr="00CF7396">
        <w:rPr>
          <w:i/>
          <w:iCs/>
          <w:color w:val="000000" w:themeColor="text1"/>
          <w:lang w:val="es-CR"/>
        </w:rPr>
        <w:t xml:space="preserve">cuando se trata de Emplazamientos a la Salas, o bien cual alguno de los jueces solicita alguna Prueba para Mejor Resolver dentro de un proceso y los técnicos tiene que redactar alguna resolución” </w:t>
      </w:r>
      <w:r w:rsidRPr="00CF7396">
        <w:rPr>
          <w:color w:val="000000" w:themeColor="text1"/>
          <w:lang w:val="es-CR"/>
        </w:rPr>
        <w:t xml:space="preserve">igualmente indican que </w:t>
      </w:r>
      <w:r w:rsidRPr="00CF7396">
        <w:rPr>
          <w:i/>
          <w:iCs/>
          <w:color w:val="000000" w:themeColor="text1"/>
          <w:lang w:val="es-CR"/>
        </w:rPr>
        <w:t>“los técnicos judiciales de éste despacho no solo proveen sino también realizan otras tareas administrativas como Cierre Estadístico de Carpetas Electrónicas, Confección de Oficios para devolver expedientes híbridos al despacho de origen que están fuera del Centro de Limón, donde se ubica la Sede de éste Tribunal, Confección de Oficio para remitir expedientes híbridos a la Sala Primera y Segunda de la Corte Suprema de Justicia, San José por Recurso de Casación”</w:t>
      </w:r>
      <w:r w:rsidRPr="00CF7396">
        <w:rPr>
          <w:color w:val="000000" w:themeColor="text1"/>
          <w:lang w:val="es-CR"/>
        </w:rPr>
        <w:t>. Por lo anterior y en vista que el rendimiento del personal técnico es una causa ajena a sus funciones, se le posicionan con una calificación “crítica, pero con buen rendimiento de personal”.</w:t>
      </w:r>
    </w:p>
    <w:p w14:paraId="630D5C66" w14:textId="77777777" w:rsidR="00CF7396" w:rsidRPr="00CF7396" w:rsidRDefault="00CF7396" w:rsidP="00CF7396">
      <w:pPr>
        <w:ind w:left="851" w:right="851" w:firstLine="709"/>
        <w:jc w:val="both"/>
        <w:rPr>
          <w:color w:val="000000" w:themeColor="text1"/>
          <w:lang w:val="es-CR"/>
        </w:rPr>
      </w:pPr>
    </w:p>
    <w:p w14:paraId="129E9112"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En cuanto al rendimiento de las personas juzgadoras, fue de un 118% posicionando el Indicador dentro del rango “Muy bueno”.</w:t>
      </w:r>
    </w:p>
    <w:p w14:paraId="6830151C" w14:textId="77777777" w:rsidR="00CF7396" w:rsidRPr="00CF7396" w:rsidRDefault="00CF7396" w:rsidP="00CF7396">
      <w:pPr>
        <w:ind w:left="851" w:right="851" w:firstLine="709"/>
        <w:jc w:val="both"/>
        <w:rPr>
          <w:color w:val="000000" w:themeColor="text1"/>
          <w:lang w:val="es-CR"/>
        </w:rPr>
      </w:pPr>
    </w:p>
    <w:p w14:paraId="17A6CE82"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Durante el 2021 el promedio de las calificaciones fue de un 58% “Crítico, pero con buen rendimiento de personal” </w:t>
      </w:r>
      <w:r w:rsidRPr="00CF7396">
        <w:rPr>
          <w:i/>
          <w:iCs/>
          <w:color w:val="000000" w:themeColor="text1"/>
          <w:lang w:val="es-CR"/>
        </w:rPr>
        <w:t>(</w:t>
      </w:r>
      <w:r w:rsidRPr="00CF7396">
        <w:rPr>
          <w:color w:val="000000" w:themeColor="text1"/>
          <w:lang w:val="es-CR"/>
        </w:rPr>
        <w:t>letra E, color anaranjado), 17% tanto en calificación “Excelente” (letra A, color azul), como “Bien” (letra B, color verde), y un 8% “Con oportunidades de mejora (letra C, color amarillo), deduciendo que en la mayoría del tiempo estuvo con calificación “Crítico, pero con buen rendimiento de personal”.</w:t>
      </w:r>
    </w:p>
    <w:p w14:paraId="754D03F3" w14:textId="77777777" w:rsidR="00CF7396" w:rsidRPr="00CF7396" w:rsidRDefault="00CF7396" w:rsidP="00CF7396">
      <w:pPr>
        <w:ind w:left="851" w:right="851" w:firstLine="709"/>
        <w:jc w:val="both"/>
        <w:rPr>
          <w:color w:val="000000" w:themeColor="text1"/>
          <w:lang w:val="es-CR"/>
        </w:rPr>
      </w:pPr>
    </w:p>
    <w:p w14:paraId="269D805C" w14:textId="77777777" w:rsidR="00CF7396" w:rsidRPr="00CF7396" w:rsidRDefault="00CF7396" w:rsidP="00CF7396">
      <w:pPr>
        <w:ind w:left="851" w:right="851" w:firstLine="709"/>
        <w:rPr>
          <w:color w:val="000000" w:themeColor="text1"/>
          <w:lang w:val="es-CR"/>
        </w:rPr>
      </w:pPr>
    </w:p>
    <w:p w14:paraId="0351FF4D" w14:textId="77777777" w:rsidR="00CF7396" w:rsidRPr="00CF7396" w:rsidRDefault="00CF7396" w:rsidP="00CF7396">
      <w:pPr>
        <w:numPr>
          <w:ilvl w:val="0"/>
          <w:numId w:val="35"/>
        </w:numPr>
        <w:ind w:left="851" w:right="851" w:firstLine="709"/>
        <w:jc w:val="both"/>
        <w:rPr>
          <w:b/>
          <w:bCs/>
          <w:color w:val="000000" w:themeColor="text1"/>
          <w:u w:val="single"/>
          <w:lang w:val="es-CR"/>
        </w:rPr>
      </w:pPr>
      <w:r w:rsidRPr="00CF7396">
        <w:rPr>
          <w:b/>
          <w:bCs/>
          <w:color w:val="000000" w:themeColor="text1"/>
          <w:u w:val="single"/>
          <w:lang w:val="es-CR"/>
        </w:rPr>
        <w:t>Tribunal Penal del Primer Circuito Judicial de la Zona Atlántica:</w:t>
      </w:r>
    </w:p>
    <w:p w14:paraId="7BBBD116" w14:textId="77777777" w:rsidR="00CF7396" w:rsidRPr="00CF7396" w:rsidRDefault="00CF7396" w:rsidP="00CF7396">
      <w:pPr>
        <w:ind w:left="851" w:right="851" w:firstLine="709"/>
        <w:jc w:val="both"/>
        <w:rPr>
          <w:color w:val="000000" w:themeColor="text1"/>
          <w:lang w:val="es-CR"/>
        </w:rPr>
      </w:pPr>
    </w:p>
    <w:p w14:paraId="6F5127F6" w14:textId="77777777" w:rsidR="00CF7396" w:rsidRPr="00CF7396" w:rsidRDefault="00CF7396" w:rsidP="00CF7396">
      <w:pPr>
        <w:numPr>
          <w:ilvl w:val="0"/>
          <w:numId w:val="43"/>
        </w:numPr>
        <w:ind w:left="851" w:right="851" w:firstLine="709"/>
        <w:jc w:val="both"/>
        <w:rPr>
          <w:b/>
          <w:bCs/>
          <w:color w:val="000000" w:themeColor="text1"/>
          <w:u w:val="single"/>
          <w:lang w:val="es-CR"/>
        </w:rPr>
      </w:pPr>
      <w:r w:rsidRPr="00CF7396">
        <w:rPr>
          <w:b/>
          <w:bCs/>
          <w:color w:val="000000" w:themeColor="text1"/>
          <w:u w:val="single"/>
          <w:lang w:val="es-CR"/>
        </w:rPr>
        <w:t xml:space="preserve">Tiempo promedio en trámite para la Sección Unipersonal: </w:t>
      </w:r>
      <w:r w:rsidRPr="00CF7396">
        <w:rPr>
          <w:color w:val="000000" w:themeColor="text1"/>
          <w:lang w:val="es-CR"/>
        </w:rPr>
        <w:t>El Indicador para diciembre fue de 40 meses; obteniendo un alejamiento del 256% del rango establecido (11). En la minuta de reunión no justificaron ni cumplieron con el procedimiento establecido, lo cual se les hizo ver en la realimentación realizada y ante el Consejo de Administración de dicho Circuito; sin embargo, en minutas de otros meses justificaron que corresponde a la gran cantidad de expedientes que hay en el despacho. Para el 2022 ya se muestra mejoría en la redacción de la minuta de reunión.</w:t>
      </w:r>
    </w:p>
    <w:p w14:paraId="1776F996" w14:textId="77777777" w:rsidR="00CF7396" w:rsidRPr="00CF7396" w:rsidRDefault="00CF7396" w:rsidP="00CF7396">
      <w:pPr>
        <w:ind w:left="851" w:right="851" w:firstLine="709"/>
        <w:jc w:val="both"/>
        <w:rPr>
          <w:b/>
          <w:bCs/>
          <w:color w:val="000000" w:themeColor="text1"/>
          <w:u w:val="single"/>
          <w:lang w:val="es-CR"/>
        </w:rPr>
      </w:pPr>
    </w:p>
    <w:p w14:paraId="4A51B4A7"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A pesar de que el Indicador que lo posicionó en dicha categoría fue el anterior, se considera oportuno hacer mención sobre las Secciones que no cumplieron con la cantidad de expedientes señalados a juicio para diciembre del 2021:</w:t>
      </w:r>
    </w:p>
    <w:p w14:paraId="3B8C373F" w14:textId="77777777" w:rsidR="00CF7396" w:rsidRPr="00CF7396" w:rsidRDefault="00CF7396" w:rsidP="00CF7396">
      <w:pPr>
        <w:ind w:left="851" w:right="851" w:firstLine="709"/>
        <w:jc w:val="both"/>
        <w:rPr>
          <w:b/>
          <w:bCs/>
          <w:color w:val="000000" w:themeColor="text1"/>
          <w:u w:val="single"/>
          <w:lang w:val="es-CR"/>
        </w:rPr>
      </w:pPr>
    </w:p>
    <w:p w14:paraId="0D3037CB" w14:textId="77777777" w:rsidR="00CF7396" w:rsidRPr="00CF7396" w:rsidRDefault="00CF7396" w:rsidP="00CF7396">
      <w:pPr>
        <w:numPr>
          <w:ilvl w:val="0"/>
          <w:numId w:val="35"/>
        </w:numPr>
        <w:ind w:left="851" w:right="851" w:firstLine="709"/>
        <w:jc w:val="both"/>
        <w:rPr>
          <w:color w:val="000000" w:themeColor="text1"/>
          <w:lang w:val="es-CR"/>
        </w:rPr>
      </w:pPr>
      <w:r w:rsidRPr="00CF7396">
        <w:rPr>
          <w:color w:val="000000" w:themeColor="text1"/>
          <w:lang w:val="es-CR"/>
        </w:rPr>
        <w:t>Secciones Colegiadas: La cantidad mínima de señalamientos es de 14 expedientes, en el caso de la Sección Colegiada 1 se registraron 10 asuntos, obteniendo un alejamiento del 29% del rango, mientras que para la Sección Colegiada 2 con 6 expedientes, dando un faltante del 57%, la Sección Colegiada 3 con 9 asuntos, obteniendo un alejamiento del 36% y la Sección Colegiada 4 (</w:t>
      </w:r>
      <w:proofErr w:type="spellStart"/>
      <w:r w:rsidRPr="00CF7396">
        <w:rPr>
          <w:color w:val="000000" w:themeColor="text1"/>
          <w:lang w:val="es-CR"/>
        </w:rPr>
        <w:t>Bribrí</w:t>
      </w:r>
      <w:proofErr w:type="spellEnd"/>
      <w:r w:rsidRPr="00CF7396">
        <w:rPr>
          <w:color w:val="000000" w:themeColor="text1"/>
          <w:lang w:val="es-CR"/>
        </w:rPr>
        <w:t>) tuvo 9 asuntos, con un alejamiento del 30%.</w:t>
      </w:r>
    </w:p>
    <w:p w14:paraId="0DD91A4D" w14:textId="77777777" w:rsidR="00CF7396" w:rsidRPr="00CF7396" w:rsidRDefault="00CF7396" w:rsidP="00CF7396">
      <w:pPr>
        <w:ind w:left="851" w:right="851" w:firstLine="709"/>
        <w:jc w:val="both"/>
        <w:rPr>
          <w:color w:val="000000" w:themeColor="text1"/>
          <w:lang w:val="es-CR"/>
        </w:rPr>
      </w:pPr>
    </w:p>
    <w:p w14:paraId="5CD2AE40" w14:textId="77777777" w:rsidR="00CF7396" w:rsidRPr="00CF7396" w:rsidRDefault="00CF7396" w:rsidP="00CF7396">
      <w:pPr>
        <w:numPr>
          <w:ilvl w:val="0"/>
          <w:numId w:val="35"/>
        </w:numPr>
        <w:ind w:left="851" w:right="851" w:firstLine="709"/>
        <w:jc w:val="both"/>
        <w:rPr>
          <w:color w:val="000000" w:themeColor="text1"/>
          <w:lang w:val="es-CR"/>
        </w:rPr>
      </w:pPr>
      <w:r w:rsidRPr="00CF7396">
        <w:rPr>
          <w:color w:val="000000" w:themeColor="text1"/>
          <w:lang w:val="es-CR"/>
        </w:rPr>
        <w:t xml:space="preserve">Secciones Unipersonales: La cantidad mínima de señalamientos es de 4 expedientes para </w:t>
      </w:r>
      <w:proofErr w:type="spellStart"/>
      <w:r w:rsidRPr="00CF7396">
        <w:rPr>
          <w:color w:val="000000" w:themeColor="text1"/>
          <w:lang w:val="es-CR"/>
        </w:rPr>
        <w:t>Bribrí</w:t>
      </w:r>
      <w:proofErr w:type="spellEnd"/>
      <w:r w:rsidRPr="00CF7396">
        <w:rPr>
          <w:color w:val="000000" w:themeColor="text1"/>
          <w:lang w:val="es-CR"/>
        </w:rPr>
        <w:t xml:space="preserve"> y 18 las demás Secciones Unipersonales, por lo que la Sección Unipersonal de </w:t>
      </w:r>
      <w:proofErr w:type="spellStart"/>
      <w:r w:rsidRPr="00CF7396">
        <w:rPr>
          <w:color w:val="000000" w:themeColor="text1"/>
          <w:lang w:val="es-CR"/>
        </w:rPr>
        <w:t>Bribrí</w:t>
      </w:r>
      <w:proofErr w:type="spellEnd"/>
      <w:r w:rsidRPr="00CF7396">
        <w:rPr>
          <w:color w:val="000000" w:themeColor="text1"/>
          <w:lang w:val="es-CR"/>
        </w:rPr>
        <w:t xml:space="preserve"> le señalaron 3 juicios, teniendo un 25% de alejamiento, la Sección Unipersonal de Limón con 15 juicios, dando un 17% de alejamiento, Sección de Flagrancia con asuntos del Ordinario les señalaron 5 asuntos, mostrando una diferencia del 72% y la Sección Unipersonal de Apoyo de </w:t>
      </w:r>
      <w:proofErr w:type="spellStart"/>
      <w:r w:rsidRPr="00CF7396">
        <w:rPr>
          <w:color w:val="000000" w:themeColor="text1"/>
          <w:lang w:val="es-CR"/>
        </w:rPr>
        <w:t>Bribrí</w:t>
      </w:r>
      <w:proofErr w:type="spellEnd"/>
      <w:r w:rsidRPr="00CF7396">
        <w:rPr>
          <w:color w:val="000000" w:themeColor="text1"/>
          <w:lang w:val="es-CR"/>
        </w:rPr>
        <w:t xml:space="preserve"> con 13 señalamientos, mostrando un alejamiento del 28%.  </w:t>
      </w:r>
    </w:p>
    <w:p w14:paraId="1973A285" w14:textId="77777777" w:rsidR="00CF7396" w:rsidRPr="00CF7396" w:rsidRDefault="00CF7396" w:rsidP="00CF7396">
      <w:pPr>
        <w:ind w:left="851" w:right="851" w:firstLine="709"/>
        <w:jc w:val="both"/>
        <w:rPr>
          <w:color w:val="000000" w:themeColor="text1"/>
          <w:lang w:val="es-CR"/>
        </w:rPr>
      </w:pPr>
    </w:p>
    <w:p w14:paraId="042E96EC"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A pesar de que en la minuta de reunión de diciembre no brindaron justificación, en otras minutas señalaron que las Secciones Colegiadas tenían juicios complejos y continuaciones. Por lo anterior se incluye en las recomendaciones para que a futuro incluyan las justificaciones al respecto (lo anterior a pesar de que se ha indicado al despacho en múltiples ocasiones por parte de la Profesional de Planificación).  </w:t>
      </w:r>
    </w:p>
    <w:p w14:paraId="0A607D9B" w14:textId="77777777" w:rsidR="00CF7396" w:rsidRPr="00CF7396" w:rsidRDefault="00CF7396" w:rsidP="00CF7396">
      <w:pPr>
        <w:ind w:left="851" w:right="851" w:firstLine="709"/>
        <w:jc w:val="both"/>
        <w:rPr>
          <w:color w:val="000000" w:themeColor="text1"/>
          <w:lang w:val="es-CR"/>
        </w:rPr>
      </w:pPr>
    </w:p>
    <w:p w14:paraId="32BF5AAF"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Importante agregar que en diciembre son menos días laborales, por lo que la cantidad de señalamientos serían menos a los estipulados en la matriz de Indicadores; sin embargo, el ajuste solo se realiza en el Indicador del “porcentaje de rendimientos”.</w:t>
      </w:r>
    </w:p>
    <w:p w14:paraId="7206A7F7" w14:textId="77777777" w:rsidR="00CF7396" w:rsidRPr="00CF7396" w:rsidRDefault="00CF7396" w:rsidP="00CF7396">
      <w:pPr>
        <w:ind w:left="851" w:right="851" w:firstLine="709"/>
        <w:jc w:val="both"/>
        <w:rPr>
          <w:color w:val="000000" w:themeColor="text1"/>
          <w:lang w:val="es-CR"/>
        </w:rPr>
      </w:pPr>
    </w:p>
    <w:p w14:paraId="04669802"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En cuanto a la suspensión de juicios justificaron en la matriz de Indicadores de manera general: rebeldías, reprogramaciones, incapacidades, entre otros. </w:t>
      </w:r>
    </w:p>
    <w:p w14:paraId="6EE24024" w14:textId="77777777" w:rsidR="00CF7396" w:rsidRPr="00CF7396" w:rsidRDefault="00CF7396" w:rsidP="00CF7396">
      <w:pPr>
        <w:ind w:left="851" w:right="851" w:firstLine="709"/>
        <w:jc w:val="both"/>
        <w:rPr>
          <w:color w:val="000000" w:themeColor="text1"/>
          <w:lang w:val="es-CR"/>
        </w:rPr>
      </w:pPr>
    </w:p>
    <w:p w14:paraId="78C3A6DA"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Durante el 2021 el promedio del porcentaje del cumplimiento en las cuotas de trabajo por todo el personal fue de un 93%, posicionando el Indicador dentro del rango estándar. </w:t>
      </w:r>
    </w:p>
    <w:p w14:paraId="04E4EA1E" w14:textId="77777777" w:rsidR="00CF7396" w:rsidRPr="00CF7396" w:rsidRDefault="00CF7396" w:rsidP="00CF7396">
      <w:pPr>
        <w:ind w:left="851" w:right="851" w:firstLine="709"/>
        <w:jc w:val="both"/>
        <w:rPr>
          <w:color w:val="000000" w:themeColor="text1"/>
          <w:lang w:val="es-CR"/>
        </w:rPr>
      </w:pPr>
    </w:p>
    <w:p w14:paraId="5CF62A2F"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Sobre el promedio de las calificaciones para el período analizado, presentó un 67% dentro de la calificación “Crítico, pero con buen rendimiento de personal” (letra E, color anaranjado) y 33% “Crítico” (letra D, color rojo).</w:t>
      </w:r>
    </w:p>
    <w:p w14:paraId="6ABD2A22" w14:textId="77777777" w:rsidR="00CF7396" w:rsidRPr="00CF7396" w:rsidRDefault="00CF7396" w:rsidP="00CF7396">
      <w:pPr>
        <w:ind w:left="851" w:right="851" w:firstLine="709"/>
        <w:jc w:val="both"/>
        <w:rPr>
          <w:color w:val="000000" w:themeColor="text1"/>
          <w:lang w:val="es-CR"/>
        </w:rPr>
      </w:pPr>
    </w:p>
    <w:p w14:paraId="76064B1E"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En el 2021 se realizaron diversas reuniones con el despacho, tal como fue mencionado en el punto 2 del presente informe. Igualmente se identificaron algunos hallazgos, los cuales se incluyen en el apartado 5 y se brindó apoyo con personas supernumerarias por medio de planes de trabajo, los cuales se ampliaría en el apartado 6.</w:t>
      </w:r>
    </w:p>
    <w:p w14:paraId="6A7CA5E6"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4AF546E4"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r w:rsidRPr="00CF7396">
        <w:rPr>
          <w:color w:val="000000" w:themeColor="text1"/>
          <w:lang w:val="es-CR" w:eastAsia="es-CR"/>
        </w:rPr>
        <w:t xml:space="preserve">A continuación, se presentan los despachos con calificación “Crítica” </w:t>
      </w:r>
      <w:r w:rsidRPr="00CF7396">
        <w:rPr>
          <w:i/>
          <w:iCs/>
          <w:color w:val="000000" w:themeColor="text1"/>
          <w:lang w:val="es-CR" w:eastAsia="es-CR"/>
        </w:rPr>
        <w:t>(letra D, color Roja)</w:t>
      </w:r>
      <w:r w:rsidRPr="00CF7396">
        <w:rPr>
          <w:color w:val="000000" w:themeColor="text1"/>
          <w:lang w:val="es-CR" w:eastAsia="es-CR"/>
        </w:rPr>
        <w:t xml:space="preserve"> al finalizar el 2021 y los principales Indicadores que posicionaron a las oficinas dentro de dicha categoría:</w:t>
      </w:r>
    </w:p>
    <w:p w14:paraId="3EAD669B"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1D46109E" w14:textId="77777777" w:rsidR="00CF7396" w:rsidRPr="00CF7396" w:rsidRDefault="00CF7396" w:rsidP="00CF7396">
      <w:pPr>
        <w:numPr>
          <w:ilvl w:val="0"/>
          <w:numId w:val="35"/>
        </w:numPr>
        <w:ind w:left="851" w:right="851" w:firstLine="709"/>
        <w:jc w:val="both"/>
        <w:rPr>
          <w:b/>
          <w:bCs/>
          <w:color w:val="000000" w:themeColor="text1"/>
          <w:u w:val="single"/>
          <w:lang w:val="es-CR"/>
        </w:rPr>
      </w:pPr>
      <w:r w:rsidRPr="00CF7396">
        <w:rPr>
          <w:b/>
          <w:bCs/>
          <w:color w:val="000000" w:themeColor="text1"/>
          <w:u w:val="single"/>
          <w:lang w:val="es-CR"/>
        </w:rPr>
        <w:t>Juzgado Agrario del Primer Circuito Judicial de la Zona Atlántica:</w:t>
      </w:r>
    </w:p>
    <w:p w14:paraId="23F83BBE" w14:textId="77777777" w:rsidR="00CF7396" w:rsidRPr="00CF7396" w:rsidRDefault="00CF7396" w:rsidP="00CF7396">
      <w:pPr>
        <w:ind w:left="851" w:right="851" w:firstLine="709"/>
        <w:jc w:val="both"/>
        <w:rPr>
          <w:b/>
          <w:bCs/>
          <w:color w:val="000000" w:themeColor="text1"/>
          <w:u w:val="single"/>
          <w:lang w:val="es-CR"/>
        </w:rPr>
      </w:pPr>
    </w:p>
    <w:p w14:paraId="0518A04C" w14:textId="77777777" w:rsidR="00CF7396" w:rsidRPr="00CF7396" w:rsidRDefault="00CF7396" w:rsidP="00CF7396">
      <w:pPr>
        <w:numPr>
          <w:ilvl w:val="0"/>
          <w:numId w:val="43"/>
        </w:numPr>
        <w:ind w:left="851" w:right="851" w:firstLine="709"/>
        <w:jc w:val="both"/>
        <w:rPr>
          <w:b/>
          <w:bCs/>
          <w:color w:val="000000" w:themeColor="text1"/>
          <w:u w:val="single"/>
          <w:lang w:val="es-CR"/>
        </w:rPr>
      </w:pPr>
      <w:r w:rsidRPr="00CF7396">
        <w:rPr>
          <w:b/>
          <w:bCs/>
          <w:color w:val="000000" w:themeColor="text1"/>
          <w:u w:val="single"/>
          <w:lang w:val="es-CR"/>
        </w:rPr>
        <w:t xml:space="preserve">Plazo de espera para dictado de sentencia: </w:t>
      </w:r>
      <w:r w:rsidRPr="00CF7396">
        <w:rPr>
          <w:color w:val="000000" w:themeColor="text1"/>
          <w:lang w:val="es-CR"/>
        </w:rPr>
        <w:t>Al concluir diciembre del 2021, el Indicador fue de 82 días, teniendo un alejamiento de 1071% (rango 7), el mismo tiene relación con la cantidad de audiencias pendientes de realización siendo de 49 asuntos (63% de alejamiento). No brindaron justificaciones en la minuta de reunión ni en los planes remediales; sin embargo, en la realimentación se hizo la observación.</w:t>
      </w:r>
    </w:p>
    <w:p w14:paraId="1CCA46E6" w14:textId="77777777" w:rsidR="00CF7396" w:rsidRPr="00CF7396" w:rsidRDefault="00CF7396" w:rsidP="00CF7396">
      <w:pPr>
        <w:ind w:left="851" w:right="851" w:firstLine="709"/>
        <w:jc w:val="both"/>
        <w:rPr>
          <w:b/>
          <w:bCs/>
          <w:color w:val="000000" w:themeColor="text1"/>
          <w:u w:val="single"/>
          <w:lang w:val="es-CR"/>
        </w:rPr>
      </w:pPr>
    </w:p>
    <w:p w14:paraId="170E9D61" w14:textId="77777777" w:rsidR="00CF7396" w:rsidRPr="00CF7396" w:rsidRDefault="00CF7396" w:rsidP="00CF7396">
      <w:pPr>
        <w:numPr>
          <w:ilvl w:val="0"/>
          <w:numId w:val="43"/>
        </w:numPr>
        <w:ind w:left="851" w:right="851" w:firstLine="709"/>
        <w:jc w:val="both"/>
        <w:rPr>
          <w:b/>
          <w:bCs/>
          <w:color w:val="000000" w:themeColor="text1"/>
          <w:u w:val="single"/>
          <w:lang w:val="es-CR"/>
        </w:rPr>
      </w:pPr>
      <w:r w:rsidRPr="00CF7396">
        <w:rPr>
          <w:b/>
          <w:bCs/>
          <w:color w:val="000000" w:themeColor="text1"/>
          <w:u w:val="single"/>
          <w:lang w:val="es-CR"/>
        </w:rPr>
        <w:t xml:space="preserve">Plazo de espera para la realización de audiencia: </w:t>
      </w:r>
      <w:r w:rsidRPr="00CF7396">
        <w:rPr>
          <w:color w:val="000000" w:themeColor="text1"/>
          <w:lang w:val="es-CR"/>
        </w:rPr>
        <w:t xml:space="preserve">El Indicador fue de 677 días, provocando una diferencia del 652% del rango establecido (90). Este Indicador tiene relación con la </w:t>
      </w:r>
      <w:r w:rsidRPr="00CF7396">
        <w:rPr>
          <w:b/>
          <w:bCs/>
          <w:color w:val="000000" w:themeColor="text1"/>
          <w:u w:val="single"/>
          <w:lang w:val="es-CR"/>
        </w:rPr>
        <w:t>cantidad de audiencias pendientes</w:t>
      </w:r>
      <w:r w:rsidRPr="00CF7396">
        <w:rPr>
          <w:color w:val="000000" w:themeColor="text1"/>
          <w:lang w:val="es-CR"/>
        </w:rPr>
        <w:t xml:space="preserve"> las cuales fue de 422 (318% de alejamiento). En la minuta de reunión justifican saturación de la agenda debido a las audiencias que se tuvieron que reprogramar por la emergencia sanitaria nacional del COVID-19, a solicitud de las partes y según cada alerta sanitaria según el lugar. Aunado a lo anterior el despacho ha revisado espacios en la agenda para realizar medidas cautelares e interdictos de derribo e igualmente citan la imposibilidad de las partes en la realización de audiencias por medios tecnológicos (</w:t>
      </w:r>
      <w:proofErr w:type="spellStart"/>
      <w:r w:rsidRPr="00CF7396">
        <w:rPr>
          <w:color w:val="000000" w:themeColor="text1"/>
          <w:lang w:val="es-CR"/>
        </w:rPr>
        <w:t>teams</w:t>
      </w:r>
      <w:proofErr w:type="spellEnd"/>
      <w:r w:rsidRPr="00CF7396">
        <w:rPr>
          <w:color w:val="000000" w:themeColor="text1"/>
          <w:lang w:val="es-CR"/>
        </w:rPr>
        <w:t>).</w:t>
      </w:r>
    </w:p>
    <w:p w14:paraId="26B85214" w14:textId="77777777" w:rsidR="00CF7396" w:rsidRPr="00CF7396" w:rsidRDefault="00CF7396" w:rsidP="00CF7396">
      <w:pPr>
        <w:ind w:left="851" w:right="851" w:firstLine="709"/>
        <w:rPr>
          <w:b/>
          <w:bCs/>
          <w:color w:val="000000" w:themeColor="text1"/>
          <w:u w:val="single"/>
          <w:lang w:val="es-CR"/>
        </w:rPr>
      </w:pPr>
    </w:p>
    <w:p w14:paraId="083199D1" w14:textId="77777777" w:rsidR="00CF7396" w:rsidRPr="00CF7396" w:rsidRDefault="00CF7396" w:rsidP="00CF7396">
      <w:pPr>
        <w:numPr>
          <w:ilvl w:val="0"/>
          <w:numId w:val="43"/>
        </w:numPr>
        <w:ind w:left="851" w:right="851" w:firstLine="709"/>
        <w:jc w:val="both"/>
        <w:rPr>
          <w:color w:val="000000" w:themeColor="text1"/>
          <w:lang w:val="es-CR"/>
        </w:rPr>
      </w:pPr>
      <w:r w:rsidRPr="00CF7396">
        <w:rPr>
          <w:b/>
          <w:bCs/>
          <w:color w:val="000000" w:themeColor="text1"/>
          <w:u w:val="single"/>
          <w:lang w:val="es-CR"/>
        </w:rPr>
        <w:t xml:space="preserve">Plazo para resolver escritos dentro del despacho: </w:t>
      </w:r>
      <w:r w:rsidRPr="00CF7396">
        <w:rPr>
          <w:color w:val="000000" w:themeColor="text1"/>
          <w:lang w:val="es-CR"/>
        </w:rPr>
        <w:t>En diciembre fue de 35 días; es decir un 133% por encima del rango de 15 días; dicho Indicador tiene relación con los 180 escritos pendientes (rango “Muy bueno”). En la minuta justifican que es debido al expediente 21-0003440465-AG, el cual lo tenía pendiente una de las personas juzgadoras.</w:t>
      </w:r>
    </w:p>
    <w:p w14:paraId="71E6A484" w14:textId="77777777" w:rsidR="00CF7396" w:rsidRPr="00CF7396" w:rsidRDefault="00CF7396" w:rsidP="00CF7396">
      <w:pPr>
        <w:ind w:left="851" w:right="851" w:firstLine="709"/>
        <w:jc w:val="both"/>
        <w:rPr>
          <w:color w:val="000000" w:themeColor="text1"/>
          <w:lang w:val="es-CR"/>
        </w:rPr>
      </w:pPr>
    </w:p>
    <w:p w14:paraId="384241A2" w14:textId="77777777" w:rsidR="00CF7396" w:rsidRPr="00CF7396" w:rsidRDefault="00CF7396" w:rsidP="00CF7396">
      <w:pPr>
        <w:numPr>
          <w:ilvl w:val="0"/>
          <w:numId w:val="43"/>
        </w:numPr>
        <w:ind w:left="851" w:right="851" w:firstLine="709"/>
        <w:jc w:val="both"/>
        <w:rPr>
          <w:b/>
          <w:bCs/>
          <w:color w:val="000000" w:themeColor="text1"/>
          <w:u w:val="single"/>
          <w:lang w:val="es-CR"/>
        </w:rPr>
      </w:pPr>
      <w:r w:rsidRPr="00CF7396">
        <w:rPr>
          <w:b/>
          <w:bCs/>
          <w:color w:val="000000" w:themeColor="text1"/>
          <w:u w:val="single"/>
          <w:lang w:val="es-CR"/>
        </w:rPr>
        <w:t xml:space="preserve">Rendimiento del personal juzgador: </w:t>
      </w:r>
      <w:r w:rsidRPr="00CF7396">
        <w:rPr>
          <w:color w:val="000000" w:themeColor="text1"/>
          <w:lang w:val="es-CR"/>
        </w:rPr>
        <w:t>Obtuvieron un 46% para diciembre, mostrando una diferencia del 52% según el rango establecido. Y de forma global durante el 2021 tuvieron un promedio del 75%.</w:t>
      </w:r>
    </w:p>
    <w:p w14:paraId="60DCAA0F" w14:textId="77777777" w:rsidR="00CF7396" w:rsidRPr="00CF7396" w:rsidRDefault="00CF7396" w:rsidP="00CF7396">
      <w:pPr>
        <w:ind w:left="851" w:right="851" w:firstLine="709"/>
        <w:jc w:val="both"/>
        <w:rPr>
          <w:b/>
          <w:bCs/>
          <w:color w:val="000000" w:themeColor="text1"/>
          <w:u w:val="single"/>
          <w:lang w:val="es-CR"/>
        </w:rPr>
      </w:pPr>
    </w:p>
    <w:p w14:paraId="0C74E2DC"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Para el 2021 el rendimiento de las personas técnicas judiciales se encuentra inactivo en la matriz de Indicadores.</w:t>
      </w:r>
    </w:p>
    <w:p w14:paraId="7B2FCA7D" w14:textId="77777777" w:rsidR="00CF7396" w:rsidRPr="00CF7396" w:rsidRDefault="00CF7396" w:rsidP="00CF7396">
      <w:pPr>
        <w:ind w:left="851" w:right="851" w:firstLine="709"/>
        <w:jc w:val="both"/>
        <w:rPr>
          <w:color w:val="000000" w:themeColor="text1"/>
          <w:lang w:val="es-CR"/>
        </w:rPr>
      </w:pPr>
    </w:p>
    <w:p w14:paraId="737822EE"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El seguimiento por parte de la Profesional de Planificación del Modelo inició con los Indicadores de marzo del 2021, por lo que a nivel promedio el despacho obtuvo un 70% de las calificaciones mensuales como “Crítico” y un 30% “Críticos con buen rendimiento de personal”. Mediante minuta de reunión 613-PLA-EV-MNTA-2021 se realizó una capacitación y refrescamiento del Modelo, así como planes remediales con el Centro de Conciliación del Circuito.</w:t>
      </w:r>
    </w:p>
    <w:p w14:paraId="62E0F8AC" w14:textId="77777777" w:rsidR="00CF7396" w:rsidRPr="00CF7396" w:rsidRDefault="00CF7396" w:rsidP="00CF7396">
      <w:pPr>
        <w:ind w:left="851" w:right="851" w:firstLine="709"/>
        <w:jc w:val="both"/>
        <w:rPr>
          <w:b/>
          <w:bCs/>
          <w:color w:val="000000" w:themeColor="text1"/>
          <w:u w:val="single"/>
          <w:lang w:val="es-CR"/>
        </w:rPr>
      </w:pPr>
    </w:p>
    <w:p w14:paraId="6BB0D432" w14:textId="77777777" w:rsidR="00CF7396" w:rsidRPr="00CF7396" w:rsidRDefault="00CF7396" w:rsidP="00CF7396">
      <w:pPr>
        <w:numPr>
          <w:ilvl w:val="0"/>
          <w:numId w:val="35"/>
        </w:numPr>
        <w:ind w:left="851" w:right="851" w:firstLine="709"/>
        <w:jc w:val="both"/>
        <w:rPr>
          <w:b/>
          <w:bCs/>
          <w:color w:val="000000" w:themeColor="text1"/>
          <w:u w:val="single"/>
          <w:lang w:val="es-CR"/>
        </w:rPr>
      </w:pPr>
      <w:r w:rsidRPr="00CF7396">
        <w:rPr>
          <w:b/>
          <w:bCs/>
          <w:color w:val="000000" w:themeColor="text1"/>
          <w:u w:val="single"/>
          <w:lang w:val="es-CR"/>
        </w:rPr>
        <w:t>Juzgado Civil del Primer Circuito Judicial de la Zona Atlántica:</w:t>
      </w:r>
    </w:p>
    <w:p w14:paraId="79C969B6" w14:textId="77777777" w:rsidR="00CF7396" w:rsidRPr="00CF7396" w:rsidRDefault="00CF7396" w:rsidP="00CF7396">
      <w:pPr>
        <w:ind w:left="851" w:right="851" w:firstLine="709"/>
        <w:jc w:val="both"/>
        <w:rPr>
          <w:color w:val="000000" w:themeColor="text1"/>
          <w:lang w:val="es-CR"/>
        </w:rPr>
      </w:pPr>
    </w:p>
    <w:p w14:paraId="3EE96C85" w14:textId="77777777" w:rsidR="00CF7396" w:rsidRPr="00CF7396" w:rsidRDefault="00CF7396" w:rsidP="00CF7396">
      <w:pPr>
        <w:numPr>
          <w:ilvl w:val="0"/>
          <w:numId w:val="45"/>
        </w:numPr>
        <w:ind w:left="851" w:right="851" w:firstLine="709"/>
        <w:jc w:val="both"/>
        <w:rPr>
          <w:color w:val="000000" w:themeColor="text1"/>
          <w:lang w:val="es-CR"/>
        </w:rPr>
      </w:pPr>
      <w:r w:rsidRPr="00CF7396">
        <w:rPr>
          <w:b/>
          <w:bCs/>
          <w:color w:val="000000" w:themeColor="text1"/>
          <w:u w:val="single"/>
          <w:lang w:val="es-CR"/>
        </w:rPr>
        <w:t>Plazo de espera para dictado de sentencia:</w:t>
      </w:r>
      <w:r w:rsidRPr="00CF7396">
        <w:rPr>
          <w:b/>
          <w:bCs/>
          <w:color w:val="000000" w:themeColor="text1"/>
          <w:lang w:val="es-CR"/>
        </w:rPr>
        <w:t xml:space="preserve"> </w:t>
      </w:r>
      <w:r w:rsidRPr="00CF7396">
        <w:rPr>
          <w:color w:val="000000" w:themeColor="text1"/>
          <w:lang w:val="es-CR"/>
        </w:rPr>
        <w:t>En diciembre el Indicador se posicionó en 45 días, con un 105% de alejamiento del rango establecido (22 días); sin embargo, la cantidad de expedientes pendientes de fallo fue de 13 asuntos, lo cual es “Muy bueno” según el rango establecido en la matriz. En la minuta de reunión justifican que corresponde al expediente 16-000129-0678-CI del 26 de noviembre del 2021 y que la persona juzgadora realiza varias funciones adicionales como evacuación de dudas del personal subalterno, aprobación de giros, ejerce el recargo de la coordinación, rendir informes diversos, entre otros.</w:t>
      </w:r>
    </w:p>
    <w:p w14:paraId="1BF4F878" w14:textId="77777777" w:rsidR="00CF7396" w:rsidRPr="00CF7396" w:rsidRDefault="00CF7396" w:rsidP="00CF7396">
      <w:pPr>
        <w:ind w:left="851" w:right="851" w:firstLine="709"/>
        <w:jc w:val="both"/>
        <w:rPr>
          <w:color w:val="000000" w:themeColor="text1"/>
          <w:lang w:val="es-CR"/>
        </w:rPr>
      </w:pPr>
    </w:p>
    <w:p w14:paraId="1FECD861" w14:textId="77777777" w:rsidR="00CF7396" w:rsidRPr="00CF7396" w:rsidRDefault="00CF7396" w:rsidP="00CF7396">
      <w:pPr>
        <w:numPr>
          <w:ilvl w:val="0"/>
          <w:numId w:val="45"/>
        </w:numPr>
        <w:ind w:left="851" w:right="851" w:firstLine="709"/>
        <w:jc w:val="both"/>
        <w:rPr>
          <w:color w:val="000000" w:themeColor="text1"/>
          <w:lang w:val="es-CR"/>
        </w:rPr>
      </w:pPr>
      <w:r w:rsidRPr="00CF7396">
        <w:rPr>
          <w:b/>
          <w:bCs/>
          <w:color w:val="000000" w:themeColor="text1"/>
          <w:u w:val="single"/>
          <w:lang w:val="es-CR"/>
        </w:rPr>
        <w:t xml:space="preserve">Plazo para resolver escritos, cantidad de escritos pendientes y rendimiento de las personas técnicas judiciales: </w:t>
      </w:r>
      <w:r w:rsidRPr="00CF7396">
        <w:rPr>
          <w:color w:val="000000" w:themeColor="text1"/>
          <w:lang w:val="es-CR"/>
        </w:rPr>
        <w:t xml:space="preserve"> El plazo para resolver escritos fue de 52 días para diciembre; es decir un 247% de diferencia del rango establecido (15 días), mientras que 220 asuntos correspondían a los escritos pendientes un 106% alejado del parámetro. </w:t>
      </w:r>
    </w:p>
    <w:p w14:paraId="5C35D156" w14:textId="77777777" w:rsidR="00CF7396" w:rsidRPr="00CF7396" w:rsidRDefault="00CF7396" w:rsidP="00CF7396">
      <w:pPr>
        <w:ind w:left="851" w:right="851" w:firstLine="709"/>
        <w:rPr>
          <w:color w:val="000000" w:themeColor="text1"/>
          <w:lang w:val="es-CR"/>
        </w:rPr>
      </w:pPr>
    </w:p>
    <w:p w14:paraId="17ACB0C1" w14:textId="77777777" w:rsidR="00CF7396" w:rsidRPr="00CF7396" w:rsidRDefault="00CF7396" w:rsidP="00CF7396">
      <w:pPr>
        <w:ind w:left="851" w:right="851" w:firstLine="709"/>
        <w:jc w:val="both"/>
        <w:rPr>
          <w:color w:val="000000" w:themeColor="text1"/>
          <w:bdr w:val="none" w:sz="0" w:space="0" w:color="auto" w:frame="1"/>
          <w:lang w:val="es-CR" w:eastAsia="es-CR"/>
        </w:rPr>
      </w:pPr>
      <w:r w:rsidRPr="00CF7396">
        <w:rPr>
          <w:color w:val="000000" w:themeColor="text1"/>
          <w:lang w:val="es-CR"/>
        </w:rPr>
        <w:t xml:space="preserve">Al respecto, el Consejo Superior en </w:t>
      </w:r>
      <w:r w:rsidRPr="00CF7396">
        <w:rPr>
          <w:color w:val="000000" w:themeColor="text1"/>
          <w:bdr w:val="none" w:sz="0" w:space="0" w:color="auto" w:frame="1"/>
          <w:lang w:val="es-CR" w:eastAsia="es-CR"/>
        </w:rPr>
        <w:t>sesión 95-2021 del 4 de noviembre del 2021, artículo XXXIII, conoció el informe 702-PLA-EV-2021 relacionado al plan de trabajo 2021 para el Juzgado de Cobro y el Juzgado Civil del Primer Circuito Judicial de la Zona Atlántica, en el cual se variaron las cuotas de trabajo para las personas técnicas judiciales de civil para que tramitaran materia cobratoria.</w:t>
      </w:r>
    </w:p>
    <w:p w14:paraId="57058DCA" w14:textId="77777777" w:rsidR="00CF7396" w:rsidRPr="00CF7396" w:rsidRDefault="00CF7396" w:rsidP="00CF7396">
      <w:pPr>
        <w:ind w:left="851" w:right="851" w:firstLine="709"/>
        <w:jc w:val="both"/>
        <w:rPr>
          <w:color w:val="000000" w:themeColor="text1"/>
          <w:lang w:val="es-CR"/>
        </w:rPr>
      </w:pPr>
    </w:p>
    <w:p w14:paraId="0B1D68A2"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Relacionado con lo anterior, en la minuta de reunión de diciembre, el despacho justificó que los anteriores Indicadores fueron críticos por dicho plan, debido a que las personas técnicas tramitaban únicamente media audiencia materia Civil, y acompañan al juez Civil a audiencias, ocasionando poco tiempo para resolver los procesos Civiles. No obstante, en los seguimientos realizados por parte de la Profesional de Planificación se identificó que no cumplían con sus cuotas de trabajo en materia civil, ni cobro repercutiendo en el Indicador de plazo de escritos y cantidad de escritos pendientes. </w:t>
      </w:r>
    </w:p>
    <w:p w14:paraId="0243D810" w14:textId="77777777" w:rsidR="00CF7396" w:rsidRPr="00CF7396" w:rsidRDefault="00CF7396" w:rsidP="00CF7396">
      <w:pPr>
        <w:ind w:left="851" w:right="851" w:firstLine="709"/>
        <w:jc w:val="both"/>
        <w:rPr>
          <w:color w:val="000000" w:themeColor="text1"/>
          <w:lang w:val="es-CR"/>
        </w:rPr>
      </w:pPr>
    </w:p>
    <w:p w14:paraId="7FC47CAE"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En adición a lo anterior, el rendimiento de las personas técnicas judiciales para diciembre en materia civil fue de 74%, considerando la cuota ajusta de 7 asuntos diarios, mientras que en materia cobratoria fue de 88%, promediando ambas con un 81%.</w:t>
      </w:r>
    </w:p>
    <w:p w14:paraId="2FF0191F" w14:textId="77777777" w:rsidR="00CF7396" w:rsidRPr="00CF7396" w:rsidRDefault="00CF7396" w:rsidP="00CF7396">
      <w:pPr>
        <w:ind w:left="851" w:right="851" w:firstLine="709"/>
        <w:jc w:val="both"/>
        <w:rPr>
          <w:color w:val="000000" w:themeColor="text1"/>
          <w:lang w:val="es-CR"/>
        </w:rPr>
      </w:pPr>
    </w:p>
    <w:p w14:paraId="2900990C"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Por otra parte, la persona juzgadora superó las cuotas establecidas durante todo el 2021, en promedio el rendimiento fue de 422%, por lo que se reconoce el esfuerzo realizado por parte de la persona juzgadora, la cual ha sido puesto en conocimiento del Consejo de Administración.</w:t>
      </w:r>
    </w:p>
    <w:p w14:paraId="16FC3296" w14:textId="77777777" w:rsidR="00CF7396" w:rsidRPr="00CF7396" w:rsidRDefault="00CF7396" w:rsidP="00CF7396">
      <w:pPr>
        <w:ind w:left="851" w:right="851" w:firstLine="709"/>
        <w:jc w:val="both"/>
        <w:rPr>
          <w:color w:val="000000" w:themeColor="text1"/>
          <w:lang w:val="es-CR"/>
        </w:rPr>
      </w:pPr>
    </w:p>
    <w:p w14:paraId="642D5412"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Igualmente se colaboró al despacho con planes de trabajo, conforme se ampliará en el punto 6.</w:t>
      </w:r>
    </w:p>
    <w:p w14:paraId="39FF1D7E" w14:textId="77777777" w:rsidR="00CF7396" w:rsidRPr="00CF7396" w:rsidRDefault="00CF7396" w:rsidP="00CF7396">
      <w:pPr>
        <w:ind w:left="851" w:right="851" w:firstLine="709"/>
        <w:jc w:val="both"/>
        <w:rPr>
          <w:color w:val="000000" w:themeColor="text1"/>
          <w:lang w:val="es-CR"/>
        </w:rPr>
      </w:pPr>
    </w:p>
    <w:p w14:paraId="0B1B3448"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El despacho en promedio por el 2021 obtuvo un 50% de los meses con calificación “Crítico, pero con buen rendimiento de personal”, un 42% de “Crítico” y un 8% “con oportunidades de mejora”; sin embargo, para diciembre concluyó con calificación crítica.</w:t>
      </w:r>
    </w:p>
    <w:p w14:paraId="2DB168E7" w14:textId="77777777" w:rsidR="00CF7396" w:rsidRPr="00CF7396" w:rsidRDefault="00CF7396" w:rsidP="00CF7396">
      <w:pPr>
        <w:ind w:left="851" w:right="851" w:firstLine="709"/>
        <w:jc w:val="both"/>
        <w:rPr>
          <w:color w:val="000000" w:themeColor="text1"/>
          <w:lang w:val="es-CR"/>
        </w:rPr>
      </w:pPr>
    </w:p>
    <w:p w14:paraId="0A1228FB" w14:textId="77777777" w:rsidR="00CF7396" w:rsidRPr="00CF7396" w:rsidRDefault="00CF7396" w:rsidP="00CF7396">
      <w:pPr>
        <w:numPr>
          <w:ilvl w:val="0"/>
          <w:numId w:val="35"/>
        </w:numPr>
        <w:autoSpaceDE w:val="0"/>
        <w:autoSpaceDN w:val="0"/>
        <w:adjustRightInd w:val="0"/>
        <w:ind w:left="851" w:right="851" w:firstLine="709"/>
        <w:jc w:val="both"/>
        <w:rPr>
          <w:b/>
          <w:bCs/>
          <w:color w:val="000000" w:themeColor="text1"/>
          <w:u w:val="single"/>
          <w:lang w:val="es-CR" w:eastAsia="es-CR"/>
        </w:rPr>
      </w:pPr>
      <w:r w:rsidRPr="00CF7396">
        <w:rPr>
          <w:b/>
          <w:bCs/>
          <w:color w:val="000000" w:themeColor="text1"/>
          <w:u w:val="single"/>
          <w:lang w:val="es-CR" w:eastAsia="es-CR"/>
        </w:rPr>
        <w:t xml:space="preserve">Juzgado Contravencional de </w:t>
      </w:r>
      <w:proofErr w:type="spellStart"/>
      <w:r w:rsidRPr="00CF7396">
        <w:rPr>
          <w:b/>
          <w:bCs/>
          <w:color w:val="000000" w:themeColor="text1"/>
          <w:u w:val="single"/>
          <w:lang w:val="es-CR" w:eastAsia="es-CR"/>
        </w:rPr>
        <w:t>Bribrí</w:t>
      </w:r>
      <w:proofErr w:type="spellEnd"/>
    </w:p>
    <w:p w14:paraId="75BAEE76"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1F5B176F"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Los Indicadores que lo posicionaron en dicha calificación fueron los siguientes:</w:t>
      </w:r>
    </w:p>
    <w:p w14:paraId="049ECCD4" w14:textId="77777777" w:rsidR="00CF7396" w:rsidRPr="00CF7396" w:rsidRDefault="00CF7396" w:rsidP="00CF7396">
      <w:pPr>
        <w:ind w:left="851" w:right="851" w:firstLine="709"/>
        <w:jc w:val="both"/>
        <w:rPr>
          <w:color w:val="000000" w:themeColor="text1"/>
          <w:lang w:val="es-CR"/>
        </w:rPr>
      </w:pPr>
    </w:p>
    <w:p w14:paraId="5B2489C6" w14:textId="77777777" w:rsidR="00CF7396" w:rsidRPr="00CF7396" w:rsidRDefault="00CF7396" w:rsidP="00CF7396">
      <w:pPr>
        <w:numPr>
          <w:ilvl w:val="0"/>
          <w:numId w:val="41"/>
        </w:numPr>
        <w:ind w:left="851" w:right="851" w:firstLine="709"/>
        <w:jc w:val="both"/>
        <w:rPr>
          <w:color w:val="000000" w:themeColor="text1"/>
          <w:lang w:val="es-CR"/>
        </w:rPr>
      </w:pPr>
      <w:r w:rsidRPr="00CF7396">
        <w:rPr>
          <w:b/>
          <w:bCs/>
          <w:color w:val="000000" w:themeColor="text1"/>
          <w:lang w:val="es-CR"/>
        </w:rPr>
        <w:t>Plazo de espera de dictado de sentencia:</w:t>
      </w:r>
      <w:r w:rsidRPr="00CF7396">
        <w:rPr>
          <w:color w:val="000000" w:themeColor="text1"/>
          <w:lang w:val="es-CR"/>
        </w:rPr>
        <w:t xml:space="preserve"> Para diciembre del 2021 se encontró en 99 días; con un alejamiento del 230% del rango establecido en la matriz de Indicadores (30 días). Dicho Indicador tiene relación con la cantidad de expedientes pendientes de fallo el cual se encontró en 47 asuntos, posicionando el Indicador dentro del rango “Muy bueno” por cuanto el parámetro máximo es de 91. En la minuta de reunión señalan que la jueza titular realizó un esfuerzo para fallar los expedientes de fechas más antiguas.</w:t>
      </w:r>
    </w:p>
    <w:p w14:paraId="23C669F1" w14:textId="77777777" w:rsidR="00CF7396" w:rsidRPr="00CF7396" w:rsidRDefault="00CF7396" w:rsidP="00CF7396">
      <w:pPr>
        <w:ind w:left="851" w:right="851" w:firstLine="709"/>
        <w:jc w:val="both"/>
        <w:rPr>
          <w:color w:val="000000" w:themeColor="text1"/>
          <w:lang w:val="es-CR"/>
        </w:rPr>
      </w:pPr>
    </w:p>
    <w:p w14:paraId="0DDB0371" w14:textId="77777777" w:rsidR="00CF7396" w:rsidRPr="00CF7396" w:rsidRDefault="00CF7396" w:rsidP="00CF7396">
      <w:pPr>
        <w:numPr>
          <w:ilvl w:val="0"/>
          <w:numId w:val="41"/>
        </w:numPr>
        <w:ind w:left="851" w:right="851" w:firstLine="709"/>
        <w:jc w:val="both"/>
        <w:rPr>
          <w:color w:val="000000" w:themeColor="text1"/>
          <w:lang w:val="es-CR"/>
        </w:rPr>
      </w:pPr>
      <w:r w:rsidRPr="00CF7396">
        <w:rPr>
          <w:b/>
          <w:bCs/>
          <w:color w:val="000000" w:themeColor="text1"/>
          <w:lang w:val="es-CR"/>
        </w:rPr>
        <w:t xml:space="preserve">Plazo para resolver escritos: </w:t>
      </w:r>
      <w:r w:rsidRPr="00CF7396">
        <w:rPr>
          <w:color w:val="000000" w:themeColor="text1"/>
          <w:lang w:val="es-CR"/>
        </w:rPr>
        <w:t>El Indicador se posicionó en 37 días, siendo un 147% de alejamiento del parámetro establecido (15 días), el mismo tiene relación con los 30 escritos pendientes que mantenían en diciembre; sin embargo, éste último Indicador se encontró dentro del rango “Muy bueno”. En la minuta de reunión justificaron problemas con los sistemas judiciales, así como que el personal estuvo dando prioridad a las órdenes de apremio ya que aumentaron considerablemente en relación con otros meses (en diciembre resolvieron 336 apremios).</w:t>
      </w:r>
    </w:p>
    <w:p w14:paraId="261FC511"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  </w:t>
      </w:r>
    </w:p>
    <w:p w14:paraId="2BD7EDCD" w14:textId="77777777" w:rsidR="00CF7396" w:rsidRPr="00CF7396" w:rsidRDefault="00CF7396" w:rsidP="00CF7396">
      <w:pPr>
        <w:numPr>
          <w:ilvl w:val="0"/>
          <w:numId w:val="41"/>
        </w:numPr>
        <w:ind w:left="851" w:right="851" w:firstLine="709"/>
        <w:jc w:val="both"/>
        <w:rPr>
          <w:color w:val="000000" w:themeColor="text1"/>
          <w:lang w:val="es-CR"/>
        </w:rPr>
      </w:pPr>
      <w:r w:rsidRPr="00CF7396">
        <w:rPr>
          <w:b/>
          <w:bCs/>
          <w:color w:val="000000" w:themeColor="text1"/>
          <w:lang w:val="es-CR"/>
        </w:rPr>
        <w:t>Plazo de resolución de apremios:</w:t>
      </w:r>
      <w:r w:rsidRPr="00CF7396">
        <w:rPr>
          <w:color w:val="000000" w:themeColor="text1"/>
          <w:lang w:val="es-CR"/>
        </w:rPr>
        <w:t xml:space="preserve"> Para diciembre el Indicador fue de 7 días, un 250% de alejamiento del rango establecido (2 días); en la minuta de reunión citaron que para diciembre hubo un aumento de apremios debido a que se encontraban con los cobros del aguinaldo del 2021, así como problemas con los sistemas.</w:t>
      </w:r>
    </w:p>
    <w:p w14:paraId="15CA9609" w14:textId="77777777" w:rsidR="00CF7396" w:rsidRPr="00CF7396" w:rsidRDefault="00CF7396" w:rsidP="00CF7396">
      <w:pPr>
        <w:ind w:left="851" w:right="851" w:firstLine="709"/>
        <w:rPr>
          <w:color w:val="000000" w:themeColor="text1"/>
          <w:lang w:val="es-CR"/>
        </w:rPr>
      </w:pPr>
    </w:p>
    <w:p w14:paraId="17EA9277"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En cuanto a los rendimientos de las personas técnicas judiciales para diciembre fue de un 86% y la persona juzgadora con un 97%, por lo que de forma general entre todo el personal solo el 50% cumplió con su cuota de trabajo. Por otro lado, considerando el promedio del rendimiento durante el 2021 fue de 94% para las personas técnicas judiciales y de un 121% el de la persona juzgadora.</w:t>
      </w:r>
    </w:p>
    <w:p w14:paraId="1D01A5BE" w14:textId="77777777" w:rsidR="00CF7396" w:rsidRPr="00CF7396" w:rsidRDefault="00CF7396" w:rsidP="00CF7396">
      <w:pPr>
        <w:ind w:left="851" w:right="851" w:firstLine="709"/>
        <w:jc w:val="both"/>
        <w:rPr>
          <w:color w:val="000000" w:themeColor="text1"/>
          <w:lang w:val="es-CR"/>
        </w:rPr>
      </w:pPr>
    </w:p>
    <w:p w14:paraId="63401A93"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Las calificaciones durante el 2021 fueron en promedio de un 58% con calificación “Crítico” (letra D color rojo); y un 42% “Crítico, pero con buen rendimiento de personal” (letra E color anaranjado).</w:t>
      </w:r>
    </w:p>
    <w:p w14:paraId="2D486E38" w14:textId="77777777" w:rsidR="00CF7396" w:rsidRPr="00CF7396" w:rsidRDefault="00CF7396" w:rsidP="00CF7396">
      <w:pPr>
        <w:ind w:left="851" w:right="851" w:firstLine="709"/>
        <w:jc w:val="both"/>
        <w:rPr>
          <w:color w:val="000000" w:themeColor="text1"/>
          <w:lang w:val="es-CR"/>
        </w:rPr>
      </w:pPr>
    </w:p>
    <w:p w14:paraId="4EB914A3"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En el 2021 se formularon planes de trabajo, los cuales se ampliarán en el punto 6 del presente informe, así como diversos hallazgos conforme se citarán en el apartado 5. </w:t>
      </w:r>
    </w:p>
    <w:p w14:paraId="2D599732" w14:textId="77777777" w:rsidR="00CF7396" w:rsidRPr="00CF7396" w:rsidRDefault="00CF7396" w:rsidP="00CF7396">
      <w:pPr>
        <w:ind w:left="851" w:right="851" w:firstLine="709"/>
        <w:jc w:val="both"/>
        <w:rPr>
          <w:color w:val="000000" w:themeColor="text1"/>
          <w:lang w:val="es-CR"/>
        </w:rPr>
      </w:pPr>
    </w:p>
    <w:p w14:paraId="610A14CE"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En octubre del 2020 el despacho inició con la implementación de la Reforma de Familia, por lo que los seguimientos y realimentaciones en el 2021 estuvieron a cargo del Profesional del Subproceso de Modernización Institucional de la Dirección de Planificación; sin embargo, se mantuvo una comunicación constante entre la Profesional del Modelo de Seguimiento y Sostenibilidad para la formulación de planes de trabajo de personal supernumerario, así como para exponer ante el Consejo de Administración del Circuito y otros temas de interés. Lo anterior por cuanto el Juzgado previamente ya conformaba parte del Modelo.</w:t>
      </w:r>
    </w:p>
    <w:p w14:paraId="5ACD1327"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0864A3BA" w14:textId="77777777" w:rsidR="00CF7396" w:rsidRPr="00CF7396" w:rsidRDefault="00CF7396" w:rsidP="00CF7396">
      <w:pPr>
        <w:numPr>
          <w:ilvl w:val="0"/>
          <w:numId w:val="35"/>
        </w:numPr>
        <w:autoSpaceDE w:val="0"/>
        <w:autoSpaceDN w:val="0"/>
        <w:adjustRightInd w:val="0"/>
        <w:ind w:left="851" w:right="851" w:firstLine="709"/>
        <w:jc w:val="both"/>
        <w:rPr>
          <w:b/>
          <w:bCs/>
          <w:color w:val="000000" w:themeColor="text1"/>
          <w:u w:val="single"/>
          <w:lang w:val="es-CR" w:eastAsia="es-CR"/>
        </w:rPr>
      </w:pPr>
      <w:r w:rsidRPr="00CF7396">
        <w:rPr>
          <w:b/>
          <w:bCs/>
          <w:color w:val="000000" w:themeColor="text1"/>
          <w:u w:val="single"/>
          <w:lang w:val="es-CR" w:eastAsia="es-CR"/>
        </w:rPr>
        <w:t>Juzgado de Familia del Primer Circuito Judicial de la Zona Atlántica:</w:t>
      </w:r>
    </w:p>
    <w:p w14:paraId="17E9C0E8" w14:textId="77777777" w:rsidR="00CF7396" w:rsidRPr="00CF7396" w:rsidRDefault="00CF7396" w:rsidP="00CF7396">
      <w:pPr>
        <w:autoSpaceDE w:val="0"/>
        <w:autoSpaceDN w:val="0"/>
        <w:adjustRightInd w:val="0"/>
        <w:ind w:left="851" w:right="851" w:firstLine="709"/>
        <w:jc w:val="both"/>
        <w:rPr>
          <w:b/>
          <w:bCs/>
          <w:color w:val="000000" w:themeColor="text1"/>
          <w:u w:val="single"/>
          <w:lang w:val="es-CR" w:eastAsia="es-CR"/>
        </w:rPr>
      </w:pPr>
    </w:p>
    <w:p w14:paraId="7D9A4FCE" w14:textId="77777777" w:rsidR="00CF7396" w:rsidRPr="00CF7396" w:rsidRDefault="00CF7396" w:rsidP="00CF7396">
      <w:pPr>
        <w:numPr>
          <w:ilvl w:val="0"/>
          <w:numId w:val="46"/>
        </w:numPr>
        <w:autoSpaceDE w:val="0"/>
        <w:autoSpaceDN w:val="0"/>
        <w:adjustRightInd w:val="0"/>
        <w:ind w:left="851" w:right="851" w:firstLine="709"/>
        <w:jc w:val="both"/>
        <w:rPr>
          <w:b/>
          <w:bCs/>
          <w:color w:val="000000" w:themeColor="text1"/>
          <w:lang w:val="es-CR" w:eastAsia="es-CR"/>
        </w:rPr>
      </w:pPr>
      <w:r w:rsidRPr="00CF7396">
        <w:rPr>
          <w:b/>
          <w:bCs/>
          <w:color w:val="000000" w:themeColor="text1"/>
          <w:lang w:val="es-CR" w:eastAsia="es-CR"/>
        </w:rPr>
        <w:t>Plazo de espera para dictado de sentencia familia:</w:t>
      </w:r>
      <w:r w:rsidRPr="00CF7396">
        <w:rPr>
          <w:color w:val="000000" w:themeColor="text1"/>
          <w:lang w:val="es-CR" w:eastAsia="es-CR"/>
        </w:rPr>
        <w:t xml:space="preserve"> Al concluir diciembre del 2021 el indicador fue de 125 días, con un alejamiento del 317%.</w:t>
      </w:r>
    </w:p>
    <w:p w14:paraId="23F495A3" w14:textId="77777777" w:rsidR="00CF7396" w:rsidRPr="00CF7396" w:rsidRDefault="00CF7396" w:rsidP="00CF7396">
      <w:pPr>
        <w:autoSpaceDE w:val="0"/>
        <w:autoSpaceDN w:val="0"/>
        <w:adjustRightInd w:val="0"/>
        <w:ind w:left="851" w:right="851" w:firstLine="709"/>
        <w:jc w:val="both"/>
        <w:rPr>
          <w:b/>
          <w:bCs/>
          <w:color w:val="000000" w:themeColor="text1"/>
          <w:lang w:val="es-CR" w:eastAsia="es-CR"/>
        </w:rPr>
      </w:pPr>
    </w:p>
    <w:p w14:paraId="791D552B" w14:textId="77777777" w:rsidR="00CF7396" w:rsidRPr="00CF7396" w:rsidRDefault="00CF7396" w:rsidP="00CF7396">
      <w:pPr>
        <w:numPr>
          <w:ilvl w:val="0"/>
          <w:numId w:val="46"/>
        </w:numPr>
        <w:autoSpaceDE w:val="0"/>
        <w:autoSpaceDN w:val="0"/>
        <w:adjustRightInd w:val="0"/>
        <w:ind w:left="851" w:right="851" w:firstLine="709"/>
        <w:jc w:val="both"/>
        <w:rPr>
          <w:b/>
          <w:bCs/>
          <w:color w:val="000000" w:themeColor="text1"/>
          <w:lang w:val="es-CR" w:eastAsia="es-CR"/>
        </w:rPr>
      </w:pPr>
      <w:r w:rsidRPr="00CF7396">
        <w:rPr>
          <w:b/>
          <w:bCs/>
          <w:color w:val="000000" w:themeColor="text1"/>
          <w:lang w:val="es-CR" w:eastAsia="es-CR"/>
        </w:rPr>
        <w:t xml:space="preserve">Plazo de espera para dictado de sentencia II instancia: </w:t>
      </w:r>
      <w:r w:rsidRPr="00CF7396">
        <w:rPr>
          <w:color w:val="000000" w:themeColor="text1"/>
          <w:lang w:val="es-CR" w:eastAsia="es-CR"/>
        </w:rPr>
        <w:t>El indicador se posicionó en 140 días, representando 1650% de alejamiento del rango establecido.</w:t>
      </w:r>
    </w:p>
    <w:p w14:paraId="75595358" w14:textId="77777777" w:rsidR="00CF7396" w:rsidRPr="00CF7396" w:rsidRDefault="00CF7396" w:rsidP="00CF7396">
      <w:pPr>
        <w:autoSpaceDE w:val="0"/>
        <w:autoSpaceDN w:val="0"/>
        <w:adjustRightInd w:val="0"/>
        <w:ind w:left="851" w:right="851" w:firstLine="709"/>
        <w:jc w:val="both"/>
        <w:rPr>
          <w:b/>
          <w:bCs/>
          <w:color w:val="000000" w:themeColor="text1"/>
          <w:lang w:val="es-CR" w:eastAsia="es-CR"/>
        </w:rPr>
      </w:pPr>
    </w:p>
    <w:p w14:paraId="7EDF5991"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r w:rsidRPr="00CF7396">
        <w:rPr>
          <w:color w:val="000000" w:themeColor="text1"/>
          <w:lang w:val="es-CR" w:eastAsia="es-CR"/>
        </w:rPr>
        <w:t>Para ambos indicadores no se constató justificación en la minuta de reunión.</w:t>
      </w:r>
    </w:p>
    <w:p w14:paraId="597C0097"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052F96DF" w14:textId="77777777" w:rsidR="00CF7396" w:rsidRPr="00CF7396" w:rsidRDefault="00CF7396" w:rsidP="00CF7396">
      <w:pPr>
        <w:numPr>
          <w:ilvl w:val="0"/>
          <w:numId w:val="49"/>
        </w:numPr>
        <w:autoSpaceDE w:val="0"/>
        <w:autoSpaceDN w:val="0"/>
        <w:adjustRightInd w:val="0"/>
        <w:ind w:left="851" w:right="851" w:firstLine="709"/>
        <w:jc w:val="both"/>
        <w:rPr>
          <w:color w:val="000000" w:themeColor="text1"/>
          <w:lang w:val="es-CR" w:eastAsia="es-CR"/>
        </w:rPr>
      </w:pPr>
      <w:r w:rsidRPr="00CF7396">
        <w:rPr>
          <w:b/>
          <w:bCs/>
          <w:color w:val="000000" w:themeColor="text1"/>
          <w:lang w:val="es-CR" w:eastAsia="es-CR"/>
        </w:rPr>
        <w:t xml:space="preserve">Rendimiento de las personas juzgadoras: </w:t>
      </w:r>
      <w:r w:rsidRPr="00CF7396">
        <w:rPr>
          <w:color w:val="000000" w:themeColor="text1"/>
          <w:lang w:val="es-CR" w:eastAsia="es-CR"/>
        </w:rPr>
        <w:t xml:space="preserve">El porcentaje del rendimiento de las personas juzgadoras fue de 84% para diciembre del 2021 (jueza 1 un 115% y la jueza 2 con un 53%) y en promedio por todo el año fue de 94%. En la minuta de reunión la jueza 2 justificó otras labores que no se consideran dentro de la cuota como lo son: diligencias fuera del despacho, consultas, aprobaciones de giros y anotaciones de demandas, juramentaciones de testigos, entrevistas salvaguardas, informes, entre otros. </w:t>
      </w:r>
    </w:p>
    <w:p w14:paraId="0DBB9FB6"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71EAD385" w14:textId="77777777" w:rsidR="00CF7396" w:rsidRPr="00CF7396" w:rsidRDefault="00CF7396" w:rsidP="00CF7396">
      <w:pPr>
        <w:numPr>
          <w:ilvl w:val="0"/>
          <w:numId w:val="49"/>
        </w:numPr>
        <w:autoSpaceDE w:val="0"/>
        <w:autoSpaceDN w:val="0"/>
        <w:adjustRightInd w:val="0"/>
        <w:ind w:left="851" w:right="851" w:firstLine="709"/>
        <w:jc w:val="both"/>
        <w:rPr>
          <w:color w:val="000000" w:themeColor="text1"/>
          <w:lang w:val="es-CR" w:eastAsia="es-CR"/>
        </w:rPr>
      </w:pPr>
      <w:r w:rsidRPr="00CF7396">
        <w:rPr>
          <w:b/>
          <w:bCs/>
          <w:color w:val="000000" w:themeColor="text1"/>
          <w:lang w:val="es-CR" w:eastAsia="es-CR"/>
        </w:rPr>
        <w:t>Rendimiento de las personas técnicas judiciales:</w:t>
      </w:r>
      <w:r w:rsidRPr="00CF7396">
        <w:rPr>
          <w:color w:val="000000" w:themeColor="text1"/>
          <w:lang w:val="es-CR" w:eastAsia="es-CR"/>
        </w:rPr>
        <w:t xml:space="preserve"> Para diciembre del 2021 obtuvieron un 38%, con un alejamiento del 60% según el rango establecido de 95%. En promedio por todo el 2021 el rendimiento fue de 39%, posicionando el Indicador como “A mejorar”. En la minuta de reunión justifican que </w:t>
      </w:r>
      <w:r w:rsidRPr="00CF7396">
        <w:rPr>
          <w:i/>
          <w:iCs/>
          <w:color w:val="000000" w:themeColor="text1"/>
          <w:lang w:val="es-CR" w:eastAsia="es-CR"/>
        </w:rPr>
        <w:t>“el circulante que maneja el Despacho no satisface para cumplir la cuota establecida, nótese que no existen escritos atrasados, sin embargo, se insta al personal depurar diariamente las casillas, con la finalidad de realizar oficios recordatorios, reiteraciones, entre otras resoluciones que les permita cumplir con las cuotas establecidas.  Aunado a lo anterior, el personal técnico también realiza otras labores que demandan tiempo, por ejemplo, giras con las juezas para realizar audiencias fuera del Despacho (Bribri-Talamanca), en el Despacho recepción de solicitudes de matrimonio con contrayentes y testigos, recepción de Salvaguardias, asistencia al manifestador, atención telefónica, recepción de manifestaciones o aceptaciones de cargo, entre otras propias del cargo”.</w:t>
      </w:r>
    </w:p>
    <w:p w14:paraId="58C17D51" w14:textId="77777777" w:rsidR="00CF7396" w:rsidRPr="00CF7396" w:rsidRDefault="00CF7396" w:rsidP="00CF7396">
      <w:pPr>
        <w:ind w:left="851" w:right="851" w:firstLine="709"/>
        <w:rPr>
          <w:color w:val="000000" w:themeColor="text1"/>
          <w:lang w:val="es-CR" w:eastAsia="es-CR"/>
        </w:rPr>
      </w:pPr>
    </w:p>
    <w:p w14:paraId="11F16AC3"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Si bien es cierto lo citado por el despacho en la minuta de reunión referente a las justificaciones de las personas técnicas judiciales, se hace la aclaración que el despacho se posiciona con calificación “Crítico” por cuanto en promedio el plazo para resolver escritos durante el 2021 fue de 31 asuntos, posicionando el Indicador “A mejorar”.</w:t>
      </w:r>
    </w:p>
    <w:p w14:paraId="7599889D"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1E1ADDB5"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El citado juzgado inició en octubre del 2020 y hasta diciembre del 2021 con la implementación de la Reforma de Familia, con ocasión de lo anterior los seguimiento y realimentaciones estuvieron a cargo del Profesional del Subproceso de Modernización Institucional de la Dirección de Planificación; sin embargo, se coordinaba para exponer ante el Consejo de Administración mensualmente, así como cualquier otro tema de interés. Dentro de los hallazgos detectados no fallaban por orden de antigüedad y no justificaban lo correspondiente en la minuta de reunión, por lo que se realizaba la recomendación correspondiente ante el Consejo de Administración; sin embargo, la situación fue reiterada en varias oportunidades.</w:t>
      </w:r>
    </w:p>
    <w:p w14:paraId="07B8272C" w14:textId="77777777" w:rsidR="00CF7396" w:rsidRPr="00CF7396" w:rsidRDefault="00CF7396" w:rsidP="00CF7396">
      <w:pPr>
        <w:ind w:left="851" w:right="851" w:firstLine="709"/>
        <w:jc w:val="both"/>
        <w:rPr>
          <w:color w:val="000000" w:themeColor="text1"/>
          <w:lang w:val="es-CR"/>
        </w:rPr>
      </w:pPr>
    </w:p>
    <w:p w14:paraId="3EC38239"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En promedio las calificaciones que obtuvo el despacho en el 2021 fueron de 83% “Crítico” y un 17% “Crítico con buen rendimiento de personal”.</w:t>
      </w:r>
    </w:p>
    <w:p w14:paraId="6D67AA3B" w14:textId="77777777" w:rsidR="00CF7396" w:rsidRPr="00CF7396" w:rsidRDefault="00CF7396" w:rsidP="00CF7396">
      <w:pPr>
        <w:ind w:left="851" w:right="851" w:firstLine="709"/>
        <w:jc w:val="both"/>
        <w:rPr>
          <w:color w:val="000000" w:themeColor="text1"/>
          <w:lang w:val="es-CR"/>
        </w:rPr>
      </w:pPr>
    </w:p>
    <w:p w14:paraId="3CFA9E5B" w14:textId="77777777" w:rsidR="00CF7396" w:rsidRPr="00CF7396" w:rsidRDefault="00CF7396" w:rsidP="00CF7396">
      <w:pPr>
        <w:numPr>
          <w:ilvl w:val="0"/>
          <w:numId w:val="35"/>
        </w:numPr>
        <w:autoSpaceDE w:val="0"/>
        <w:autoSpaceDN w:val="0"/>
        <w:adjustRightInd w:val="0"/>
        <w:ind w:left="851" w:right="851" w:firstLine="709"/>
        <w:jc w:val="both"/>
        <w:rPr>
          <w:b/>
          <w:bCs/>
          <w:color w:val="000000" w:themeColor="text1"/>
          <w:u w:val="single"/>
          <w:lang w:val="es-CR" w:eastAsia="es-CR"/>
        </w:rPr>
      </w:pPr>
      <w:r w:rsidRPr="00CF7396">
        <w:rPr>
          <w:b/>
          <w:bCs/>
          <w:color w:val="000000" w:themeColor="text1"/>
          <w:u w:val="single"/>
          <w:lang w:val="es-CR" w:eastAsia="es-CR"/>
        </w:rPr>
        <w:t>Juzgado de Trabajo del Primer Circuito Judicial de la Zona Atlántica:</w:t>
      </w:r>
    </w:p>
    <w:p w14:paraId="7599EBE3"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2CFB53B5" w14:textId="77777777" w:rsidR="00CF7396" w:rsidRPr="00CF7396" w:rsidRDefault="00CF7396" w:rsidP="00CF7396">
      <w:pPr>
        <w:numPr>
          <w:ilvl w:val="0"/>
          <w:numId w:val="47"/>
        </w:numPr>
        <w:autoSpaceDE w:val="0"/>
        <w:autoSpaceDN w:val="0"/>
        <w:adjustRightInd w:val="0"/>
        <w:ind w:left="851" w:right="851" w:firstLine="709"/>
        <w:jc w:val="both"/>
        <w:rPr>
          <w:color w:val="000000" w:themeColor="text1"/>
          <w:lang w:val="es-CR" w:eastAsia="es-CR"/>
        </w:rPr>
      </w:pPr>
      <w:r w:rsidRPr="00CF7396">
        <w:rPr>
          <w:b/>
          <w:bCs/>
          <w:color w:val="000000" w:themeColor="text1"/>
          <w:lang w:val="es-CR" w:eastAsia="es-CR"/>
        </w:rPr>
        <w:t xml:space="preserve">Plazo de espera de dictado de sentencia escrita (casos previos a la reforma): </w:t>
      </w:r>
      <w:r w:rsidRPr="00CF7396">
        <w:rPr>
          <w:color w:val="000000" w:themeColor="text1"/>
          <w:lang w:val="es-CR" w:eastAsia="es-CR"/>
        </w:rPr>
        <w:t>Se encontró en 140 días para diciembre del 2021, siendo un 211% de alejamiento según el rango de 45 días.</w:t>
      </w:r>
    </w:p>
    <w:p w14:paraId="40C7247D"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32CFB22B" w14:textId="77777777" w:rsidR="00CF7396" w:rsidRPr="00CF7396" w:rsidRDefault="00CF7396" w:rsidP="00CF7396">
      <w:pPr>
        <w:numPr>
          <w:ilvl w:val="0"/>
          <w:numId w:val="47"/>
        </w:numPr>
        <w:autoSpaceDE w:val="0"/>
        <w:autoSpaceDN w:val="0"/>
        <w:adjustRightInd w:val="0"/>
        <w:ind w:left="851" w:right="851" w:firstLine="709"/>
        <w:jc w:val="both"/>
        <w:rPr>
          <w:color w:val="000000" w:themeColor="text1"/>
          <w:lang w:val="es-CR" w:eastAsia="es-CR"/>
        </w:rPr>
      </w:pPr>
      <w:r w:rsidRPr="00CF7396">
        <w:rPr>
          <w:b/>
          <w:bCs/>
          <w:color w:val="000000" w:themeColor="text1"/>
          <w:lang w:val="es-CR" w:eastAsia="es-CR"/>
        </w:rPr>
        <w:t xml:space="preserve">Plazo de espera de dictado de sentencia escrita (casos posteriores a la reforma): </w:t>
      </w:r>
      <w:r w:rsidRPr="00CF7396">
        <w:rPr>
          <w:color w:val="000000" w:themeColor="text1"/>
          <w:lang w:val="es-CR" w:eastAsia="es-CR"/>
        </w:rPr>
        <w:t>Al concluir el 2021 el Indicador fue de 178 días, por lo que obtuvo un 1087% de alejamiento del rango de 15 días.</w:t>
      </w:r>
    </w:p>
    <w:p w14:paraId="64F2DE88" w14:textId="77777777" w:rsidR="00CF7396" w:rsidRPr="00CF7396" w:rsidRDefault="00CF7396" w:rsidP="00CF7396">
      <w:pPr>
        <w:autoSpaceDE w:val="0"/>
        <w:autoSpaceDN w:val="0"/>
        <w:adjustRightInd w:val="0"/>
        <w:ind w:left="851" w:right="851" w:firstLine="709"/>
        <w:jc w:val="both"/>
        <w:rPr>
          <w:b/>
          <w:bCs/>
          <w:color w:val="000000" w:themeColor="text1"/>
          <w:lang w:val="es-CR" w:eastAsia="es-CR"/>
        </w:rPr>
      </w:pPr>
    </w:p>
    <w:p w14:paraId="544FE91D"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r w:rsidRPr="00CF7396">
        <w:rPr>
          <w:color w:val="000000" w:themeColor="text1"/>
          <w:lang w:val="es-CR" w:eastAsia="es-CR"/>
        </w:rPr>
        <w:t xml:space="preserve">Para ambos Indicadores justifican en la minuta de reunión que </w:t>
      </w:r>
      <w:r w:rsidRPr="00CF7396">
        <w:rPr>
          <w:i/>
          <w:iCs/>
          <w:color w:val="000000" w:themeColor="text1"/>
          <w:lang w:val="es-CR" w:eastAsia="es-CR"/>
        </w:rPr>
        <w:t xml:space="preserve">“según lo establecido en la Directriz del Centro de Apoyo se le están dando prioridad en el fallo expedientes anterior R.P.L y en muchos casos son expedientes híbridos, con mayor complejidad y abundante prueba”. </w:t>
      </w:r>
      <w:r w:rsidRPr="00CF7396">
        <w:rPr>
          <w:color w:val="000000" w:themeColor="text1"/>
          <w:lang w:val="es-CR" w:eastAsia="es-CR"/>
        </w:rPr>
        <w:t>Igualmente agregan que el personal juzgador con que cuenta el despacho es insuficiente para atender la carga de trabajo, lo anterior según informe 692-PLA-EV-2021, el cual fue conocido por el Consejo Superior en sesión 65-2021 celebrada el 29 de julio de 2021, artículo XLIV.</w:t>
      </w:r>
    </w:p>
    <w:p w14:paraId="18AED1FB"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05BA58DD"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r w:rsidRPr="00CF7396">
        <w:rPr>
          <w:color w:val="000000" w:themeColor="text1"/>
          <w:lang w:val="es-CR" w:eastAsia="es-CR"/>
        </w:rPr>
        <w:t>Ambos Indicadores tienen relación con la “cantidad de expedientes pendientes de fallo”, el cual para diciembre del 2021 fue de 50 asuntos, obteniendo una calificación “Estándar”.</w:t>
      </w:r>
    </w:p>
    <w:p w14:paraId="58EFBF1F"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0083E1E1"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r w:rsidRPr="00CF7396">
        <w:rPr>
          <w:color w:val="000000" w:themeColor="text1"/>
          <w:lang w:val="es-CR" w:eastAsia="es-CR"/>
        </w:rPr>
        <w:t>Para mejorar el Indicador, se formularon planes de trabajo, los cuales se exponen en el punto 6 del presente informe.</w:t>
      </w:r>
    </w:p>
    <w:p w14:paraId="5E7D3181"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03E1079F" w14:textId="77777777" w:rsidR="00CF7396" w:rsidRPr="00CF7396" w:rsidRDefault="00CF7396" w:rsidP="00CF7396">
      <w:pPr>
        <w:numPr>
          <w:ilvl w:val="0"/>
          <w:numId w:val="47"/>
        </w:numPr>
        <w:autoSpaceDE w:val="0"/>
        <w:autoSpaceDN w:val="0"/>
        <w:adjustRightInd w:val="0"/>
        <w:ind w:left="851" w:right="851" w:firstLine="709"/>
        <w:jc w:val="both"/>
        <w:rPr>
          <w:color w:val="000000" w:themeColor="text1"/>
          <w:lang w:val="es-CR" w:eastAsia="es-CR"/>
        </w:rPr>
      </w:pPr>
      <w:r w:rsidRPr="00CF7396">
        <w:rPr>
          <w:b/>
          <w:bCs/>
          <w:color w:val="000000" w:themeColor="text1"/>
          <w:lang w:val="es-CR" w:eastAsia="es-CR"/>
        </w:rPr>
        <w:t xml:space="preserve">Plazo de espera para la realización de audiencia de recepción de pruebas o debate: </w:t>
      </w:r>
      <w:r w:rsidRPr="00CF7396">
        <w:rPr>
          <w:color w:val="000000" w:themeColor="text1"/>
          <w:lang w:val="es-CR" w:eastAsia="es-CR"/>
        </w:rPr>
        <w:t>El indicador fue de 391 para diciembre del 2021, dando un 334% de alejamiento del rango establecido.</w:t>
      </w:r>
    </w:p>
    <w:p w14:paraId="6AEE10F6" w14:textId="77777777" w:rsidR="00CF7396" w:rsidRPr="00CF7396" w:rsidRDefault="00CF7396" w:rsidP="00CF7396">
      <w:pPr>
        <w:autoSpaceDE w:val="0"/>
        <w:autoSpaceDN w:val="0"/>
        <w:adjustRightInd w:val="0"/>
        <w:ind w:left="851" w:right="851" w:firstLine="709"/>
        <w:jc w:val="both"/>
        <w:rPr>
          <w:b/>
          <w:bCs/>
          <w:color w:val="000000" w:themeColor="text1"/>
          <w:lang w:val="es-CR" w:eastAsia="es-CR"/>
        </w:rPr>
      </w:pPr>
    </w:p>
    <w:p w14:paraId="4A0DA208" w14:textId="77777777" w:rsidR="00CF7396" w:rsidRPr="00CF7396" w:rsidRDefault="00CF7396" w:rsidP="00CF7396">
      <w:pPr>
        <w:autoSpaceDE w:val="0"/>
        <w:autoSpaceDN w:val="0"/>
        <w:adjustRightInd w:val="0"/>
        <w:ind w:left="851" w:right="851" w:firstLine="709"/>
        <w:jc w:val="both"/>
        <w:rPr>
          <w:i/>
          <w:iCs/>
          <w:color w:val="000000" w:themeColor="text1"/>
          <w:lang w:val="es-CR" w:eastAsia="es-CR"/>
        </w:rPr>
      </w:pPr>
      <w:r w:rsidRPr="00CF7396">
        <w:rPr>
          <w:color w:val="000000" w:themeColor="text1"/>
          <w:lang w:val="es-CR" w:eastAsia="es-CR"/>
        </w:rPr>
        <w:t>En la minuta de reunión citan que la</w:t>
      </w:r>
      <w:r w:rsidRPr="00CF7396">
        <w:rPr>
          <w:color w:val="000000" w:themeColor="text1"/>
          <w:lang w:val="es-CR"/>
        </w:rPr>
        <w:t xml:space="preserve"> </w:t>
      </w:r>
      <w:r w:rsidRPr="00CF7396">
        <w:rPr>
          <w:i/>
          <w:iCs/>
          <w:color w:val="000000" w:themeColor="text1"/>
          <w:lang w:val="es-CR" w:eastAsia="es-CR"/>
        </w:rPr>
        <w:t>“tramitación que contempla la Reforma Procesal Laboral, es de plazos cortos hasta la etapa del señalamiento, lo que genera saturación de la Agenda de Cronos, limitando la atención más rápida por la cantidad de jueces que tiene el despacho asignados y cantidad del circulante que ingresa, así como la solicitud constante de las partes en cuanto a la reprogramación de las audiencias. Además, de la cantidad de demandas masivas que se interponen, que han abarcado una gran cantidad de espacios en la agenda”.</w:t>
      </w:r>
    </w:p>
    <w:p w14:paraId="080DDFB5"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174BCB38"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r w:rsidRPr="00CF7396">
        <w:rPr>
          <w:color w:val="000000" w:themeColor="text1"/>
          <w:lang w:val="es-CR" w:eastAsia="es-CR"/>
        </w:rPr>
        <w:t xml:space="preserve">Dicho Indicador se vincula con la cantidad de audiencias pendientes de realización y para diciembre del 2021 fue de 497 asuntos, con un alejamiento del 176%. Al respecto, para mejorar ambos Indicadores se realizaron planes de trabajo con personal juzgador supernumerario, los cuales se citan en el apartado 6 del informe. </w:t>
      </w:r>
    </w:p>
    <w:p w14:paraId="51BFDA1E"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481F8245" w14:textId="77777777" w:rsidR="00CF7396" w:rsidRPr="00CF7396" w:rsidRDefault="00CF7396" w:rsidP="00CF7396">
      <w:pPr>
        <w:numPr>
          <w:ilvl w:val="0"/>
          <w:numId w:val="47"/>
        </w:numPr>
        <w:autoSpaceDE w:val="0"/>
        <w:autoSpaceDN w:val="0"/>
        <w:adjustRightInd w:val="0"/>
        <w:ind w:left="851" w:right="851" w:firstLine="709"/>
        <w:jc w:val="both"/>
        <w:rPr>
          <w:color w:val="000000" w:themeColor="text1"/>
          <w:lang w:val="es-CR" w:eastAsia="es-CR"/>
        </w:rPr>
      </w:pPr>
      <w:r w:rsidRPr="00CF7396">
        <w:rPr>
          <w:b/>
          <w:bCs/>
          <w:color w:val="000000" w:themeColor="text1"/>
          <w:lang w:val="es-CR" w:eastAsia="es-CR"/>
        </w:rPr>
        <w:t xml:space="preserve">Plazo para resolver escritos: </w:t>
      </w:r>
      <w:r w:rsidRPr="00CF7396">
        <w:rPr>
          <w:color w:val="000000" w:themeColor="text1"/>
          <w:lang w:val="es-CR" w:eastAsia="es-CR"/>
        </w:rPr>
        <w:t>Para diciembre del 2021 el Indicador fue de 60 días; es decir, un 300% de alejamiento de los 15 días del rango establecido.</w:t>
      </w:r>
    </w:p>
    <w:p w14:paraId="7BD574F1" w14:textId="77777777" w:rsidR="00CF7396" w:rsidRPr="00CF7396" w:rsidRDefault="00CF7396" w:rsidP="00CF7396">
      <w:pPr>
        <w:autoSpaceDE w:val="0"/>
        <w:autoSpaceDN w:val="0"/>
        <w:adjustRightInd w:val="0"/>
        <w:ind w:left="851" w:right="851" w:firstLine="709"/>
        <w:jc w:val="both"/>
        <w:rPr>
          <w:b/>
          <w:bCs/>
          <w:color w:val="000000" w:themeColor="text1"/>
          <w:lang w:val="es-CR" w:eastAsia="es-CR"/>
        </w:rPr>
      </w:pPr>
    </w:p>
    <w:p w14:paraId="46F446A0" w14:textId="77777777" w:rsidR="00CF7396" w:rsidRPr="00CF7396" w:rsidRDefault="00CF7396" w:rsidP="00CF7396">
      <w:pPr>
        <w:numPr>
          <w:ilvl w:val="0"/>
          <w:numId w:val="47"/>
        </w:numPr>
        <w:autoSpaceDE w:val="0"/>
        <w:autoSpaceDN w:val="0"/>
        <w:adjustRightInd w:val="0"/>
        <w:ind w:left="851" w:right="851" w:firstLine="709"/>
        <w:jc w:val="both"/>
        <w:rPr>
          <w:color w:val="000000" w:themeColor="text1"/>
          <w:lang w:val="es-CR" w:eastAsia="es-CR"/>
        </w:rPr>
      </w:pPr>
      <w:r w:rsidRPr="00CF7396">
        <w:rPr>
          <w:b/>
          <w:bCs/>
          <w:color w:val="000000" w:themeColor="text1"/>
          <w:lang w:val="es-CR" w:eastAsia="es-CR"/>
        </w:rPr>
        <w:t xml:space="preserve">Porcentaje de rendimiento de las personas técnicas judiciales: </w:t>
      </w:r>
      <w:r w:rsidRPr="00CF7396">
        <w:rPr>
          <w:color w:val="000000" w:themeColor="text1"/>
          <w:lang w:val="es-CR" w:eastAsia="es-CR"/>
        </w:rPr>
        <w:t>Al concluir diciembre del 2021 el Indicador fue de un 79%, obteniendo un alejamiento del 17% del rango establecido.</w:t>
      </w:r>
    </w:p>
    <w:p w14:paraId="24463262" w14:textId="77777777" w:rsidR="00CF7396" w:rsidRPr="00CF7396" w:rsidRDefault="00CF7396" w:rsidP="00CF7396">
      <w:pPr>
        <w:ind w:left="851" w:right="851" w:firstLine="709"/>
        <w:rPr>
          <w:color w:val="000000" w:themeColor="text1"/>
          <w:lang w:val="es-CR" w:eastAsia="es-CR"/>
        </w:rPr>
      </w:pPr>
    </w:p>
    <w:p w14:paraId="34078D4E"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r w:rsidRPr="00CF7396">
        <w:rPr>
          <w:color w:val="000000" w:themeColor="text1"/>
          <w:lang w:val="es-CR" w:eastAsia="es-CR"/>
        </w:rPr>
        <w:t xml:space="preserve">Tanto para el Indicador “plazo para resolver escritos” y “porcentaje de rendimiento de las personas técnicas judiciales”, señalaron en la minuta de reunión que fue debido a vacaciones, incapacidades, cierre colectivo y adicionalmente que el personal técnico supernumerario que sustituía a los titulares no contaba con experiencia en materia laboral. </w:t>
      </w:r>
    </w:p>
    <w:p w14:paraId="20C4A98D"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33A95340"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r w:rsidRPr="00CF7396">
        <w:rPr>
          <w:color w:val="000000" w:themeColor="text1"/>
          <w:lang w:val="es-CR" w:eastAsia="es-CR"/>
        </w:rPr>
        <w:t>Igualmente, el equipo de mejora realizó un ejercicio contabilizando el tiempo de las justificaciones que brindó cada persona técnica judicial en el informe de labores; los cuales no son considerados dentro de los tiempos que se pueden rebajar de la cuota de trabajo (circular 187-2022 del Consejo Superior), como lo son: problemas con los sistemas, reuniones, cierre por limpieza profunda, citas médicas, colaboración en manifestación, atención de llamadas telefónicas, colaboración en audiencias, actualización de los sistemas, entre otros y el porcentaje del rendimiento de las personas técnicas judiciales fue un 83%. Al respecto, el despacho formuló planes remediales para mejorar los rendimientos del personal a cargo.</w:t>
      </w:r>
    </w:p>
    <w:p w14:paraId="01EB8D9A"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44A40E22"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r w:rsidRPr="00CF7396">
        <w:rPr>
          <w:color w:val="000000" w:themeColor="text1"/>
          <w:lang w:val="es-CR" w:eastAsia="es-CR"/>
        </w:rPr>
        <w:t>Ahora bien, considerando el promedio del rendimiento de las personas técnicas judiciales durante el período del 2021 según la matriz de Indicadores, obtuvieron un 78%, posicionando el Indicador “A mejorar”; sin embargo, es importante agregar que de enero a junio del 2021 estuvieron laborando con jornada reducida de 6 horas debido a la emergencia sanitaria del COVID-19, por lo que elaboraron un plan remedial para que tramitaran el mínimo de escritos según las horas laboradas (11 escritos); considerando lo anterior el porcentaje del rendimiento del personal técnico fue de un 92% durante todo el 2021, posicionándose dentro del rango “A mejorar”; se aclara que el ajuste no se realizó en la matriz de Indicadores, debido a la circular 187-2022 emitida por el Consejo Superior.</w:t>
      </w:r>
    </w:p>
    <w:p w14:paraId="64BF093D"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0FD266AB" w14:textId="77777777" w:rsidR="00CF7396" w:rsidRPr="00CF7396" w:rsidRDefault="00CF7396" w:rsidP="00CF7396">
      <w:pPr>
        <w:numPr>
          <w:ilvl w:val="0"/>
          <w:numId w:val="48"/>
        </w:numPr>
        <w:autoSpaceDE w:val="0"/>
        <w:autoSpaceDN w:val="0"/>
        <w:adjustRightInd w:val="0"/>
        <w:ind w:left="851" w:right="851" w:firstLine="709"/>
        <w:jc w:val="both"/>
        <w:rPr>
          <w:b/>
          <w:bCs/>
          <w:color w:val="000000" w:themeColor="text1"/>
          <w:lang w:val="es-CR" w:eastAsia="es-CR"/>
        </w:rPr>
      </w:pPr>
      <w:r w:rsidRPr="00CF7396">
        <w:rPr>
          <w:b/>
          <w:bCs/>
          <w:color w:val="000000" w:themeColor="text1"/>
          <w:lang w:val="es-CR" w:eastAsia="es-CR"/>
        </w:rPr>
        <w:t xml:space="preserve">Porcentaje de rendimiento de las personas juzgadoras: </w:t>
      </w:r>
      <w:r w:rsidRPr="00CF7396">
        <w:rPr>
          <w:color w:val="000000" w:themeColor="text1"/>
          <w:lang w:val="es-CR" w:eastAsia="es-CR"/>
        </w:rPr>
        <w:t>Al finalizar diciembre del 2021 el rendimiento fue de un 104%, posicionando el Indicador como “Muy bueno”. Y en promedio tuvieron un rendimiento de 115% por todo el 2021.</w:t>
      </w:r>
    </w:p>
    <w:p w14:paraId="15B96B1E" w14:textId="77777777" w:rsidR="00CF7396" w:rsidRPr="00CF7396" w:rsidRDefault="00CF7396" w:rsidP="00CF7396">
      <w:pPr>
        <w:autoSpaceDE w:val="0"/>
        <w:autoSpaceDN w:val="0"/>
        <w:adjustRightInd w:val="0"/>
        <w:ind w:left="851" w:right="851" w:firstLine="709"/>
        <w:jc w:val="both"/>
        <w:rPr>
          <w:b/>
          <w:bCs/>
          <w:color w:val="000000" w:themeColor="text1"/>
          <w:lang w:val="es-CR" w:eastAsia="es-CR"/>
        </w:rPr>
      </w:pPr>
    </w:p>
    <w:p w14:paraId="054F0BD5"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De tal manera que considerando el rendimiento global por todo el personal del despacho (11 personas) para diciembre del 2021, únicamente 5 de ellas cumplieron con sus cuotas de trabajo, es decir solo un 45% cumplieron con sus cuotas de trabajo.</w:t>
      </w:r>
    </w:p>
    <w:p w14:paraId="4485AB1E"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57027557"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Durante el 2021 el Juzgado obtuvo en promedio un 67% de calificación “Crítico”; mientras que un 33% fue “Crítico con buen rendimiento de personal”.</w:t>
      </w:r>
    </w:p>
    <w:p w14:paraId="145C6379" w14:textId="77777777" w:rsidR="00CF7396" w:rsidRPr="00CF7396" w:rsidRDefault="00CF7396" w:rsidP="00CF7396">
      <w:pPr>
        <w:ind w:left="851" w:right="851" w:firstLine="709"/>
        <w:jc w:val="both"/>
        <w:rPr>
          <w:color w:val="000000" w:themeColor="text1"/>
          <w:lang w:val="es-CR"/>
        </w:rPr>
      </w:pPr>
    </w:p>
    <w:p w14:paraId="3760DCC5" w14:textId="77777777" w:rsidR="00CF7396" w:rsidRPr="00CF7396" w:rsidRDefault="00CF7396" w:rsidP="00CF7396">
      <w:pPr>
        <w:numPr>
          <w:ilvl w:val="0"/>
          <w:numId w:val="44"/>
        </w:numPr>
        <w:autoSpaceDE w:val="0"/>
        <w:autoSpaceDN w:val="0"/>
        <w:adjustRightInd w:val="0"/>
        <w:ind w:left="851" w:right="851" w:firstLine="709"/>
        <w:jc w:val="both"/>
        <w:rPr>
          <w:b/>
          <w:bCs/>
          <w:color w:val="000000" w:themeColor="text1"/>
          <w:u w:val="single"/>
          <w:lang w:val="es-CR" w:eastAsia="es-CR"/>
        </w:rPr>
      </w:pPr>
      <w:r w:rsidRPr="00CF7396">
        <w:rPr>
          <w:b/>
          <w:bCs/>
          <w:color w:val="000000" w:themeColor="text1"/>
          <w:u w:val="single"/>
          <w:lang w:val="es-CR" w:eastAsia="es-CR"/>
        </w:rPr>
        <w:t>Sección de Flagrancia del Primer Circuito Judicial de la Zona Atlántica:</w:t>
      </w:r>
    </w:p>
    <w:p w14:paraId="1A0233CE" w14:textId="77777777" w:rsidR="00CF7396" w:rsidRPr="00CF7396" w:rsidRDefault="00CF7396" w:rsidP="00CF7396">
      <w:pPr>
        <w:ind w:left="851" w:right="851" w:firstLine="709"/>
        <w:jc w:val="both"/>
        <w:rPr>
          <w:color w:val="000000" w:themeColor="text1"/>
          <w:lang w:val="es-CR"/>
        </w:rPr>
      </w:pPr>
    </w:p>
    <w:p w14:paraId="618A2F30" w14:textId="77777777" w:rsidR="00CF7396" w:rsidRPr="00CF7396" w:rsidRDefault="00CF7396" w:rsidP="00CF7396">
      <w:pPr>
        <w:numPr>
          <w:ilvl w:val="0"/>
          <w:numId w:val="48"/>
        </w:numPr>
        <w:ind w:left="851" w:right="851" w:firstLine="709"/>
        <w:jc w:val="both"/>
        <w:rPr>
          <w:b/>
          <w:bCs/>
          <w:color w:val="000000" w:themeColor="text1"/>
          <w:lang w:val="es-CR"/>
        </w:rPr>
      </w:pPr>
      <w:r w:rsidRPr="00CF7396">
        <w:rPr>
          <w:b/>
          <w:bCs/>
          <w:color w:val="000000" w:themeColor="text1"/>
          <w:lang w:val="es-CR"/>
        </w:rPr>
        <w:t xml:space="preserve">Porcentaje de rendimiento versus la cuota establecida en el Modelo penal considerando la atención de asuntos del Tribunal Ordinario: </w:t>
      </w:r>
      <w:r w:rsidRPr="00CF7396">
        <w:rPr>
          <w:color w:val="000000" w:themeColor="text1"/>
          <w:lang w:val="es-CR"/>
        </w:rPr>
        <w:t xml:space="preserve">Para diciembre del 2021 la persona juzgadora 1 obtuvo un 52,94%, la persona juzgadora 2 un 88,24%, la persona juzgadora 3 un 41,18% y la persona juzgadora 4 de un 135,29%. </w:t>
      </w:r>
    </w:p>
    <w:p w14:paraId="0D413DF9" w14:textId="77777777" w:rsidR="00CF7396" w:rsidRPr="00CF7396" w:rsidRDefault="00CF7396" w:rsidP="00CF7396">
      <w:pPr>
        <w:ind w:left="851" w:right="851" w:firstLine="709"/>
        <w:jc w:val="both"/>
        <w:rPr>
          <w:b/>
          <w:bCs/>
          <w:color w:val="000000" w:themeColor="text1"/>
          <w:lang w:val="es-CR"/>
        </w:rPr>
      </w:pPr>
    </w:p>
    <w:p w14:paraId="1AF344C3"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Aunado a lo anterior y con el fin que el personal juzgador de Flagrancia cumpliera con sus cuotas de trabajo debían de realizar asuntos del Tribunal Ordinario, tal como se indicó en el informe de rediseño 1620-PLA-OI-2020, así como el acuerdo tomado por el Consejo Superior en sesión 47-2021 del 8 de junio del 2021, artículo L, en dónde acordó -entre otros- que la Sección de Flagrancia podría colaborar con 25 señalamientos dependiendo de lo que arroje el seguimiento de las cargas de trabajo. </w:t>
      </w:r>
    </w:p>
    <w:p w14:paraId="01A1B560" w14:textId="77777777" w:rsidR="00CF7396" w:rsidRPr="00CF7396" w:rsidRDefault="00CF7396" w:rsidP="00CF7396">
      <w:pPr>
        <w:ind w:left="851" w:right="851" w:firstLine="709"/>
        <w:jc w:val="both"/>
        <w:rPr>
          <w:color w:val="000000" w:themeColor="text1"/>
          <w:lang w:val="es-CR"/>
        </w:rPr>
      </w:pPr>
    </w:p>
    <w:p w14:paraId="33B7D0C2"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Debido a lo anterior, se verifica la cantidad de señalamientos de juicio del ordinario para diciembre del 2021 y el Indicador fue de 5 expedientes, alejándose en un 79% del rango establecido y la cantidad de audiencias señaladas en el mes en colaboración del ordinario fueron de 5 y el parámetro establecido es de 36 asuntos, dando una diferencia del 86%. Mientras que la cantidad de medidas alternas para diciembre fue solo una (no cuenta con parámetros). Es por ello por lo que los rendimientos del personal juzgador se ven afectados, de tal manera que, al no cumplir el acuerdo tomado por el Consejo Superior, en relación con aumentar la cantidad de señalamientos del Ordinario para cubrir sus cuotas de trabajo, se posiciona en la calificación como “Crítico”.</w:t>
      </w:r>
    </w:p>
    <w:p w14:paraId="2DD074C0" w14:textId="77777777" w:rsidR="00CF7396" w:rsidRPr="00CF7396" w:rsidRDefault="00CF7396" w:rsidP="00CF7396">
      <w:pPr>
        <w:ind w:left="851" w:right="851" w:firstLine="709"/>
        <w:jc w:val="both"/>
        <w:rPr>
          <w:color w:val="000000" w:themeColor="text1"/>
          <w:lang w:val="es-CR"/>
        </w:rPr>
      </w:pPr>
    </w:p>
    <w:p w14:paraId="311BB9AA"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El promedio de todo el personal juzgador de Flagrancia considerando los Ordinarios por el 2021, fue de un 55,52%.</w:t>
      </w:r>
    </w:p>
    <w:p w14:paraId="0FAE6AAB" w14:textId="77777777" w:rsidR="00CF7396" w:rsidRPr="00CF7396" w:rsidRDefault="00CF7396" w:rsidP="00CF7396">
      <w:pPr>
        <w:ind w:left="851" w:right="851" w:firstLine="709"/>
        <w:jc w:val="both"/>
        <w:rPr>
          <w:color w:val="000000" w:themeColor="text1"/>
          <w:lang w:val="es-CR"/>
        </w:rPr>
      </w:pPr>
    </w:p>
    <w:p w14:paraId="313ECAEC"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Al respecto para dicho despacho se trabajó de forma ardua con diversas coordinaciones, reuniones para aumentar la entrada de asuntos, mejorar los rendimientos, tal como fue indicado en el punto 2 y también se ampliará en el punto 7.</w:t>
      </w:r>
    </w:p>
    <w:p w14:paraId="50FB82AF" w14:textId="77777777" w:rsidR="00CF7396" w:rsidRPr="00CF7396" w:rsidRDefault="00CF7396" w:rsidP="00CF7396">
      <w:pPr>
        <w:ind w:left="851" w:right="851" w:firstLine="709"/>
        <w:jc w:val="both"/>
        <w:rPr>
          <w:color w:val="000000" w:themeColor="text1"/>
          <w:lang w:val="es-CR"/>
        </w:rPr>
      </w:pPr>
    </w:p>
    <w:p w14:paraId="5BD14595"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Finalmente, y considerando las calificaciones por el período analizado, obtuvieron un 75% con calificación “Crítico” y un 25% con calificación “Crítico con buen rendimiento de personal”.</w:t>
      </w:r>
    </w:p>
    <w:p w14:paraId="06674ABC" w14:textId="77777777" w:rsidR="00CF7396" w:rsidRPr="00CF7396" w:rsidRDefault="00CF7396" w:rsidP="00CF7396">
      <w:pPr>
        <w:ind w:left="851" w:right="851" w:firstLine="709"/>
        <w:jc w:val="both"/>
        <w:rPr>
          <w:color w:val="000000" w:themeColor="text1"/>
          <w:lang w:val="es-CR"/>
        </w:rPr>
      </w:pPr>
    </w:p>
    <w:p w14:paraId="43AACD76" w14:textId="77777777" w:rsidR="00CF7396" w:rsidRPr="00CF7396" w:rsidRDefault="00CF7396" w:rsidP="00CF7396">
      <w:pPr>
        <w:ind w:left="851" w:right="851" w:firstLine="709"/>
        <w:rPr>
          <w:b/>
          <w:bCs/>
          <w:i/>
          <w:iCs/>
          <w:color w:val="000000" w:themeColor="text1"/>
          <w:lang w:val="es-CR"/>
        </w:rPr>
      </w:pPr>
      <w:r w:rsidRPr="00CF7396">
        <w:rPr>
          <w:b/>
          <w:bCs/>
          <w:color w:val="000000" w:themeColor="text1"/>
          <w:lang w:val="es-CR"/>
        </w:rPr>
        <w:t>4.3 Acciones derivadas de los hallazgos detectados por medio del análisis MAIC</w:t>
      </w:r>
    </w:p>
    <w:p w14:paraId="0A99066E"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ab/>
      </w:r>
    </w:p>
    <w:p w14:paraId="2B986648"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El análisis integral de los resultados de los Indicadores de gestión de los despachos que conforman el Modelo de Seguimiento y Sostenibilidad en el Primer Circuito Judicial de la Zona Atlántica, se ha realizado mensualmente por la Profesional de Planificación destacada en la zona de conformidad con las funciones propias del puesto; por lo anterior, se considera prudente presentar un compilado de las presentaciones realizadas ante el Consejo de Administración del Primer Circuito Judicial de la Zona Atlántica del período 2021:</w:t>
      </w:r>
    </w:p>
    <w:p w14:paraId="1098941A" w14:textId="77777777" w:rsidR="00CF7396" w:rsidRPr="00CF7396" w:rsidRDefault="00CF7396" w:rsidP="00CF7396">
      <w:pPr>
        <w:jc w:val="both"/>
        <w:rPr>
          <w:color w:val="000000" w:themeColor="text1"/>
          <w:lang w:val="es-CR"/>
        </w:rPr>
      </w:pPr>
    </w:p>
    <w:p w14:paraId="487668E9" w14:textId="77777777" w:rsidR="00CF7396" w:rsidRPr="00CF7396" w:rsidRDefault="00CF7396" w:rsidP="00CF7396">
      <w:pPr>
        <w:rPr>
          <w:b/>
          <w:bCs/>
          <w:i/>
          <w:color w:val="000000" w:themeColor="text1"/>
          <w:lang w:val="es-CR"/>
        </w:rPr>
      </w:pPr>
    </w:p>
    <w:p w14:paraId="01A386B8" w14:textId="77777777" w:rsidR="00CF7396" w:rsidRPr="00CF7396" w:rsidRDefault="00CF7396" w:rsidP="00CF7396">
      <w:pPr>
        <w:jc w:val="center"/>
        <w:rPr>
          <w:i/>
          <w:iCs/>
          <w:color w:val="000000" w:themeColor="text1"/>
          <w:lang w:val="es-CR" w:eastAsia="zh-CN"/>
        </w:rPr>
      </w:pPr>
      <w:r w:rsidRPr="00CF7396">
        <w:rPr>
          <w:b/>
          <w:bCs/>
          <w:color w:val="000000" w:themeColor="text1"/>
          <w:lang w:val="es-CR" w:eastAsia="zh-CN"/>
        </w:rPr>
        <w:t>Cuadro 13</w:t>
      </w:r>
    </w:p>
    <w:p w14:paraId="7973ECAC" w14:textId="77777777" w:rsidR="00CF7396" w:rsidRPr="00CF7396" w:rsidRDefault="00CF7396" w:rsidP="00CF7396">
      <w:pPr>
        <w:jc w:val="center"/>
        <w:rPr>
          <w:b/>
          <w:bCs/>
          <w:color w:val="000000" w:themeColor="text1"/>
          <w:lang w:val="es-CR"/>
        </w:rPr>
      </w:pPr>
      <w:r w:rsidRPr="00CF7396">
        <w:rPr>
          <w:b/>
          <w:bCs/>
          <w:color w:val="000000" w:themeColor="text1"/>
          <w:lang w:val="es-CR"/>
        </w:rPr>
        <w:t>Compilado de presentaciones realizadas sobre el análisis integral de resultados de los Indicadores de gestión en el Primer Circuito Judicial de la Zona Atlántica</w:t>
      </w:r>
    </w:p>
    <w:p w14:paraId="6F4B8CA7" w14:textId="77777777" w:rsidR="00CF7396" w:rsidRPr="00CF7396" w:rsidRDefault="00CF7396" w:rsidP="00CF7396">
      <w:pPr>
        <w:jc w:val="both"/>
        <w:rPr>
          <w:color w:val="000000" w:themeColor="text1"/>
          <w:lang w:val="es-C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0"/>
        <w:gridCol w:w="4974"/>
        <w:gridCol w:w="853"/>
        <w:gridCol w:w="1440"/>
        <w:gridCol w:w="1228"/>
      </w:tblGrid>
      <w:tr w:rsidR="00CF7396" w:rsidRPr="00CF7396" w14:paraId="0FBEB6F1" w14:textId="77777777" w:rsidTr="00AF369B">
        <w:trPr>
          <w:trHeight w:val="630"/>
          <w:tblHeader/>
          <w:jc w:val="center"/>
        </w:trPr>
        <w:tc>
          <w:tcPr>
            <w:tcW w:w="431" w:type="pct"/>
            <w:shd w:val="clear" w:color="000000" w:fill="203764"/>
            <w:vAlign w:val="center"/>
            <w:hideMark/>
          </w:tcPr>
          <w:p w14:paraId="405FC5F3"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Mes</w:t>
            </w:r>
          </w:p>
        </w:tc>
        <w:tc>
          <w:tcPr>
            <w:tcW w:w="2411" w:type="pct"/>
            <w:shd w:val="clear" w:color="000000" w:fill="203764"/>
            <w:vAlign w:val="center"/>
            <w:hideMark/>
          </w:tcPr>
          <w:p w14:paraId="3539C8A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Recomendación</w:t>
            </w:r>
          </w:p>
        </w:tc>
        <w:tc>
          <w:tcPr>
            <w:tcW w:w="427" w:type="pct"/>
            <w:shd w:val="clear" w:color="000000" w:fill="203764"/>
            <w:vAlign w:val="center"/>
            <w:hideMark/>
          </w:tcPr>
          <w:p w14:paraId="04D4870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 xml:space="preserve">Acta del </w:t>
            </w:r>
            <w:proofErr w:type="spellStart"/>
            <w:r w:rsidRPr="00CF7396">
              <w:rPr>
                <w:b/>
                <w:bCs/>
                <w:color w:val="000000" w:themeColor="text1"/>
                <w:lang w:val="es-CR" w:eastAsia="es-CR"/>
              </w:rPr>
              <w:t>N°</w:t>
            </w:r>
            <w:proofErr w:type="spellEnd"/>
          </w:p>
        </w:tc>
        <w:tc>
          <w:tcPr>
            <w:tcW w:w="1044" w:type="pct"/>
            <w:shd w:val="clear" w:color="000000" w:fill="203764"/>
            <w:vAlign w:val="center"/>
            <w:hideMark/>
          </w:tcPr>
          <w:p w14:paraId="684D5D9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Resultado</w:t>
            </w:r>
          </w:p>
        </w:tc>
        <w:tc>
          <w:tcPr>
            <w:tcW w:w="687" w:type="pct"/>
            <w:shd w:val="clear" w:color="000000" w:fill="203764"/>
            <w:vAlign w:val="center"/>
            <w:hideMark/>
          </w:tcPr>
          <w:p w14:paraId="7B0BD386"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Nivel de cumplimiento</w:t>
            </w:r>
          </w:p>
        </w:tc>
      </w:tr>
      <w:tr w:rsidR="00CF7396" w:rsidRPr="00CF7396" w14:paraId="2F8F3386" w14:textId="77777777" w:rsidTr="00AF369B">
        <w:trPr>
          <w:trHeight w:val="463"/>
          <w:jc w:val="center"/>
        </w:trPr>
        <w:tc>
          <w:tcPr>
            <w:tcW w:w="431" w:type="pct"/>
            <w:vMerge w:val="restart"/>
            <w:shd w:val="clear" w:color="auto" w:fill="auto"/>
            <w:vAlign w:val="center"/>
          </w:tcPr>
          <w:p w14:paraId="227CE76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Enero</w:t>
            </w:r>
          </w:p>
        </w:tc>
        <w:tc>
          <w:tcPr>
            <w:tcW w:w="4569" w:type="pct"/>
            <w:gridSpan w:val="4"/>
            <w:shd w:val="clear" w:color="auto" w:fill="C0504D" w:themeFill="accent2"/>
            <w:vAlign w:val="center"/>
          </w:tcPr>
          <w:p w14:paraId="2CC57E68"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 xml:space="preserve">Indicadores de noviembre y diciembre del 2020 </w:t>
            </w:r>
          </w:p>
        </w:tc>
      </w:tr>
      <w:tr w:rsidR="00CF7396" w:rsidRPr="00CF7396" w14:paraId="6C06ADFD" w14:textId="77777777" w:rsidTr="00AF369B">
        <w:trPr>
          <w:trHeight w:val="310"/>
          <w:jc w:val="center"/>
        </w:trPr>
        <w:tc>
          <w:tcPr>
            <w:tcW w:w="431" w:type="pct"/>
            <w:vMerge/>
            <w:shd w:val="clear" w:color="auto" w:fill="auto"/>
            <w:vAlign w:val="center"/>
          </w:tcPr>
          <w:p w14:paraId="23B86A0F" w14:textId="77777777" w:rsidR="00CF7396" w:rsidRPr="00CF7396" w:rsidRDefault="00CF7396" w:rsidP="00CF7396">
            <w:pPr>
              <w:jc w:val="center"/>
              <w:rPr>
                <w:color w:val="000000" w:themeColor="text1"/>
                <w:lang w:val="es-CR" w:eastAsia="es-CR"/>
              </w:rPr>
            </w:pPr>
          </w:p>
        </w:tc>
        <w:tc>
          <w:tcPr>
            <w:tcW w:w="2411" w:type="pct"/>
            <w:shd w:val="clear" w:color="auto" w:fill="auto"/>
            <w:vAlign w:val="center"/>
          </w:tcPr>
          <w:p w14:paraId="74C974C6" w14:textId="77777777" w:rsidR="00CF7396" w:rsidRPr="00CF7396" w:rsidRDefault="00CF7396" w:rsidP="00CF7396">
            <w:pPr>
              <w:jc w:val="both"/>
              <w:rPr>
                <w:color w:val="000000" w:themeColor="text1"/>
                <w:lang w:val="es-CR" w:eastAsia="es-CR"/>
              </w:rPr>
            </w:pPr>
          </w:p>
          <w:p w14:paraId="6F91BA07" w14:textId="77777777" w:rsidR="00CF7396" w:rsidRPr="00CF7396" w:rsidRDefault="00CF7396" w:rsidP="00CF7396">
            <w:pPr>
              <w:jc w:val="both"/>
              <w:rPr>
                <w:i/>
                <w:iCs/>
                <w:color w:val="000000" w:themeColor="text1"/>
                <w:lang w:val="es-CR" w:eastAsia="es-CR"/>
              </w:rPr>
            </w:pPr>
            <w:r w:rsidRPr="00CF7396">
              <w:rPr>
                <w:i/>
                <w:iCs/>
                <w:color w:val="000000" w:themeColor="text1"/>
                <w:lang w:val="es-CR" w:eastAsia="es-CR"/>
              </w:rPr>
              <w:t xml:space="preserve">“1) Recordar a las oficinas del circuito que cuando se les asigne recursos con personal técnico y juzgador supernumerario, deberán de aprovechar al máximo la colaboración brindada según el plan de trabajo efectuado por la Dirección de Planificación y realizar cualquier coordinación previa con suficiente antelación.  Por lo que en caso de incumplimiento se suspenderá la colaboración por parte de la Administración Regional. </w:t>
            </w:r>
          </w:p>
          <w:p w14:paraId="449A802D" w14:textId="77777777" w:rsidR="00CF7396" w:rsidRPr="00CF7396" w:rsidRDefault="00CF7396" w:rsidP="00CF7396">
            <w:pPr>
              <w:jc w:val="both"/>
              <w:rPr>
                <w:i/>
                <w:iCs/>
                <w:color w:val="000000" w:themeColor="text1"/>
                <w:lang w:val="es-CR" w:eastAsia="es-CR"/>
              </w:rPr>
            </w:pPr>
          </w:p>
          <w:p w14:paraId="76340BE5" w14:textId="77777777" w:rsidR="00CF7396" w:rsidRPr="00CF7396" w:rsidRDefault="00CF7396" w:rsidP="00CF7396">
            <w:pPr>
              <w:jc w:val="both"/>
              <w:rPr>
                <w:color w:val="000000" w:themeColor="text1"/>
                <w:lang w:val="es-CR" w:eastAsia="es-CR"/>
              </w:rPr>
            </w:pPr>
            <w:r w:rsidRPr="00CF7396">
              <w:rPr>
                <w:i/>
                <w:iCs/>
                <w:color w:val="000000" w:themeColor="text1"/>
                <w:lang w:val="es-CR" w:eastAsia="es-CR"/>
              </w:rPr>
              <w:t>2) Autorizar a la Coordinadora de Unidad que realiza los seguimientos de Indicadores, para que tenga los permisos de auditora en el Escritorio Virtual y Sistema de Gestión de las oficinas del Circuito, lo anterior para poder validar la información brindada por los despachos mensualmente, así como los informes de labores del personal supernumerario”</w:t>
            </w:r>
            <w:r w:rsidRPr="00CF7396">
              <w:rPr>
                <w:color w:val="000000" w:themeColor="text1"/>
                <w:lang w:val="es-CR" w:eastAsia="es-CR"/>
              </w:rPr>
              <w:t>.</w:t>
            </w:r>
          </w:p>
          <w:p w14:paraId="45B95052" w14:textId="77777777" w:rsidR="00CF7396" w:rsidRPr="00CF7396" w:rsidRDefault="00CF7396" w:rsidP="00CF7396">
            <w:pPr>
              <w:jc w:val="both"/>
              <w:rPr>
                <w:color w:val="000000" w:themeColor="text1"/>
                <w:lang w:val="es-CR" w:eastAsia="es-CR"/>
              </w:rPr>
            </w:pPr>
          </w:p>
          <w:p w14:paraId="714B24A4" w14:textId="77777777" w:rsidR="00CF7396" w:rsidRPr="00CF7396" w:rsidRDefault="00CF7396" w:rsidP="00CF7396">
            <w:pPr>
              <w:jc w:val="center"/>
              <w:rPr>
                <w:color w:val="000000" w:themeColor="text1"/>
                <w:lang w:val="es-CR" w:eastAsia="es-CR"/>
              </w:rPr>
            </w:pPr>
          </w:p>
        </w:tc>
        <w:tc>
          <w:tcPr>
            <w:tcW w:w="427" w:type="pct"/>
            <w:shd w:val="clear" w:color="auto" w:fill="auto"/>
            <w:vAlign w:val="center"/>
          </w:tcPr>
          <w:p w14:paraId="6AC9930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No se tiene dato</w:t>
            </w:r>
            <w:r w:rsidRPr="00CF7396">
              <w:rPr>
                <w:color w:val="000000" w:themeColor="text1"/>
                <w:vertAlign w:val="superscript"/>
                <w:lang w:val="es-CR" w:eastAsia="es-CR"/>
              </w:rPr>
              <w:footnoteReference w:id="4"/>
            </w:r>
          </w:p>
        </w:tc>
        <w:tc>
          <w:tcPr>
            <w:tcW w:w="1044" w:type="pct"/>
            <w:shd w:val="clear" w:color="auto" w:fill="auto"/>
            <w:vAlign w:val="center"/>
          </w:tcPr>
          <w:p w14:paraId="521A394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Sin información</w:t>
            </w:r>
          </w:p>
        </w:tc>
        <w:tc>
          <w:tcPr>
            <w:tcW w:w="687" w:type="pct"/>
            <w:shd w:val="clear" w:color="auto" w:fill="auto"/>
            <w:vAlign w:val="center"/>
          </w:tcPr>
          <w:p w14:paraId="53151D0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Sin aplicar</w:t>
            </w:r>
          </w:p>
        </w:tc>
      </w:tr>
      <w:tr w:rsidR="00CF7396" w:rsidRPr="00CF7396" w14:paraId="66BB3D0B" w14:textId="77777777" w:rsidTr="00AF369B">
        <w:trPr>
          <w:trHeight w:val="310"/>
          <w:jc w:val="center"/>
        </w:trPr>
        <w:tc>
          <w:tcPr>
            <w:tcW w:w="431" w:type="pct"/>
            <w:vMerge w:val="restart"/>
            <w:shd w:val="clear" w:color="auto" w:fill="auto"/>
            <w:vAlign w:val="center"/>
          </w:tcPr>
          <w:p w14:paraId="574DC21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Febrero</w:t>
            </w:r>
          </w:p>
        </w:tc>
        <w:tc>
          <w:tcPr>
            <w:tcW w:w="4569" w:type="pct"/>
            <w:gridSpan w:val="4"/>
            <w:shd w:val="clear" w:color="auto" w:fill="C0504D" w:themeFill="accent2"/>
            <w:vAlign w:val="center"/>
          </w:tcPr>
          <w:p w14:paraId="5D1AC317"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Presentación 418-PLA-EV-TR-2021, Indicadores de enero</w:t>
            </w:r>
          </w:p>
        </w:tc>
      </w:tr>
      <w:tr w:rsidR="00CF7396" w:rsidRPr="00CF7396" w14:paraId="160BCD7A" w14:textId="77777777" w:rsidTr="00AF369B">
        <w:trPr>
          <w:trHeight w:val="3171"/>
          <w:jc w:val="center"/>
        </w:trPr>
        <w:tc>
          <w:tcPr>
            <w:tcW w:w="431" w:type="pct"/>
            <w:vMerge/>
            <w:shd w:val="clear" w:color="auto" w:fill="auto"/>
            <w:vAlign w:val="center"/>
          </w:tcPr>
          <w:p w14:paraId="3821BA38" w14:textId="77777777" w:rsidR="00CF7396" w:rsidRPr="00CF7396" w:rsidRDefault="00CF7396" w:rsidP="00CF7396">
            <w:pPr>
              <w:jc w:val="center"/>
              <w:rPr>
                <w:color w:val="000000" w:themeColor="text1"/>
                <w:lang w:val="es-CR" w:eastAsia="es-CR"/>
              </w:rPr>
            </w:pPr>
          </w:p>
        </w:tc>
        <w:tc>
          <w:tcPr>
            <w:tcW w:w="2411" w:type="pct"/>
            <w:shd w:val="clear" w:color="auto" w:fill="auto"/>
            <w:vAlign w:val="center"/>
          </w:tcPr>
          <w:p w14:paraId="00F1CD6A" w14:textId="77777777" w:rsidR="00CF7396" w:rsidRPr="00CF7396" w:rsidRDefault="00CF7396" w:rsidP="00CF7396">
            <w:pPr>
              <w:jc w:val="both"/>
              <w:rPr>
                <w:color w:val="000000" w:themeColor="text1"/>
                <w:lang w:val="es-CR" w:eastAsia="es-CR"/>
              </w:rPr>
            </w:pPr>
          </w:p>
          <w:p w14:paraId="57621188" w14:textId="77777777" w:rsidR="00CF7396" w:rsidRPr="00CF7396" w:rsidRDefault="00CF7396" w:rsidP="00CF7396">
            <w:pPr>
              <w:jc w:val="both"/>
              <w:rPr>
                <w:i/>
                <w:iCs/>
                <w:color w:val="000000" w:themeColor="text1"/>
                <w:lang w:val="es-CR" w:eastAsia="es-CR"/>
              </w:rPr>
            </w:pPr>
            <w:r w:rsidRPr="00CF7396">
              <w:rPr>
                <w:i/>
                <w:iCs/>
                <w:color w:val="000000" w:themeColor="text1"/>
                <w:lang w:val="es-CR" w:eastAsia="es-CR"/>
              </w:rPr>
              <w:t> “</w:t>
            </w:r>
            <w:r w:rsidRPr="00CF7396">
              <w:rPr>
                <w:b/>
                <w:bCs/>
                <w:i/>
                <w:iCs/>
                <w:color w:val="000000" w:themeColor="text1"/>
                <w:lang w:val="es-CR" w:eastAsia="es-CR"/>
              </w:rPr>
              <w:t>Juzgado de Cobro:</w:t>
            </w:r>
          </w:p>
          <w:p w14:paraId="684766D2" w14:textId="77777777" w:rsidR="00CF7396" w:rsidRPr="00CF7396" w:rsidRDefault="00CF7396" w:rsidP="00CF7396">
            <w:pPr>
              <w:jc w:val="both"/>
              <w:rPr>
                <w:i/>
                <w:iCs/>
                <w:color w:val="000000" w:themeColor="text1"/>
                <w:lang w:val="es-CR" w:eastAsia="es-CR"/>
              </w:rPr>
            </w:pPr>
            <w:r w:rsidRPr="00CF7396">
              <w:rPr>
                <w:i/>
                <w:iCs/>
                <w:color w:val="000000" w:themeColor="text1"/>
                <w:lang w:val="es-CR" w:eastAsia="es-CR"/>
              </w:rPr>
              <w:t>Al personal juzgador recordarle cumplir con la cuota de trabajo establecida de 54 firmas diarias y 4 audiencias mensuales.</w:t>
            </w:r>
          </w:p>
          <w:p w14:paraId="1640787C" w14:textId="77777777" w:rsidR="00CF7396" w:rsidRPr="00CF7396" w:rsidRDefault="00CF7396" w:rsidP="00CF7396">
            <w:pPr>
              <w:jc w:val="both"/>
              <w:rPr>
                <w:i/>
                <w:iCs/>
                <w:color w:val="000000" w:themeColor="text1"/>
                <w:lang w:val="es-CR" w:eastAsia="es-CR"/>
              </w:rPr>
            </w:pPr>
            <w:r w:rsidRPr="00CF7396">
              <w:rPr>
                <w:i/>
                <w:iCs/>
                <w:color w:val="000000" w:themeColor="text1"/>
                <w:lang w:val="es-CR" w:eastAsia="es-CR"/>
              </w:rPr>
              <w:t>Proceder con la firma y fallo de los expedientes más antiguos. De persistir el incumplimiento se suspenderá el plan de trabajo del personal supernumerario asignado.</w:t>
            </w:r>
          </w:p>
          <w:p w14:paraId="425AD9A1" w14:textId="77777777" w:rsidR="00CF7396" w:rsidRPr="00CF7396" w:rsidRDefault="00CF7396" w:rsidP="00CF7396">
            <w:pPr>
              <w:jc w:val="both"/>
              <w:rPr>
                <w:color w:val="000000" w:themeColor="text1"/>
                <w:lang w:val="es-CR" w:eastAsia="es-CR"/>
              </w:rPr>
            </w:pPr>
          </w:p>
        </w:tc>
        <w:tc>
          <w:tcPr>
            <w:tcW w:w="427" w:type="pct"/>
            <w:vMerge w:val="restart"/>
            <w:shd w:val="clear" w:color="auto" w:fill="auto"/>
            <w:vAlign w:val="center"/>
          </w:tcPr>
          <w:p w14:paraId="325BD24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Acta 6-2021 del 25 de febrero del 2021, artículo I.</w:t>
            </w:r>
          </w:p>
        </w:tc>
        <w:tc>
          <w:tcPr>
            <w:tcW w:w="1044" w:type="pct"/>
            <w:vMerge w:val="restart"/>
            <w:shd w:val="clear" w:color="auto" w:fill="auto"/>
            <w:vAlign w:val="center"/>
          </w:tcPr>
          <w:p w14:paraId="079DB62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Aprobadas</w:t>
            </w:r>
          </w:p>
        </w:tc>
        <w:tc>
          <w:tcPr>
            <w:tcW w:w="687" w:type="pct"/>
            <w:shd w:val="clear" w:color="auto" w:fill="auto"/>
          </w:tcPr>
          <w:p w14:paraId="48617B90" w14:textId="77777777" w:rsidR="00CF7396" w:rsidRPr="00CF7396" w:rsidRDefault="00CF7396" w:rsidP="00CF7396">
            <w:pPr>
              <w:jc w:val="center"/>
              <w:rPr>
                <w:color w:val="000000" w:themeColor="text1"/>
                <w:lang w:val="es-CR" w:eastAsia="es-CR"/>
              </w:rPr>
            </w:pPr>
          </w:p>
          <w:p w14:paraId="5ECE2026" w14:textId="77777777" w:rsidR="00CF7396" w:rsidRPr="00CF7396" w:rsidRDefault="00CF7396" w:rsidP="00CF7396">
            <w:pPr>
              <w:jc w:val="center"/>
              <w:rPr>
                <w:color w:val="000000" w:themeColor="text1"/>
                <w:lang w:val="es-CR" w:eastAsia="es-CR"/>
              </w:rPr>
            </w:pPr>
          </w:p>
          <w:p w14:paraId="24B42DA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 parcialmente; lo anterior fue ampliado en el punto 4.2.1 del presente informe.</w:t>
            </w:r>
          </w:p>
          <w:p w14:paraId="2F48C71F" w14:textId="77777777" w:rsidR="00CF7396" w:rsidRPr="00CF7396" w:rsidRDefault="00CF7396" w:rsidP="00CF7396">
            <w:pPr>
              <w:jc w:val="center"/>
              <w:rPr>
                <w:color w:val="000000" w:themeColor="text1"/>
                <w:lang w:val="es-CR" w:eastAsia="es-CR"/>
              </w:rPr>
            </w:pPr>
          </w:p>
        </w:tc>
      </w:tr>
      <w:tr w:rsidR="00CF7396" w:rsidRPr="00CF7396" w14:paraId="6F5933AD" w14:textId="77777777" w:rsidTr="00AF369B">
        <w:trPr>
          <w:trHeight w:val="310"/>
          <w:jc w:val="center"/>
        </w:trPr>
        <w:tc>
          <w:tcPr>
            <w:tcW w:w="431" w:type="pct"/>
            <w:vMerge/>
            <w:shd w:val="clear" w:color="auto" w:fill="auto"/>
            <w:vAlign w:val="center"/>
          </w:tcPr>
          <w:p w14:paraId="5DD6734C" w14:textId="77777777" w:rsidR="00CF7396" w:rsidRPr="00CF7396" w:rsidRDefault="00CF7396" w:rsidP="00CF7396">
            <w:pPr>
              <w:jc w:val="center"/>
              <w:rPr>
                <w:color w:val="000000" w:themeColor="text1"/>
                <w:lang w:val="es-CR" w:eastAsia="es-CR"/>
              </w:rPr>
            </w:pPr>
          </w:p>
        </w:tc>
        <w:tc>
          <w:tcPr>
            <w:tcW w:w="2411" w:type="pct"/>
            <w:shd w:val="clear" w:color="auto" w:fill="auto"/>
            <w:vAlign w:val="center"/>
          </w:tcPr>
          <w:p w14:paraId="07120A5F" w14:textId="77777777" w:rsidR="00CF7396" w:rsidRPr="00CF7396" w:rsidRDefault="00CF7396" w:rsidP="00CF7396">
            <w:pPr>
              <w:jc w:val="both"/>
              <w:rPr>
                <w:i/>
                <w:iCs/>
                <w:color w:val="000000" w:themeColor="text1"/>
                <w:lang w:val="es-CR" w:eastAsia="es-CR"/>
              </w:rPr>
            </w:pPr>
            <w:r w:rsidRPr="00CF7396">
              <w:rPr>
                <w:b/>
                <w:bCs/>
                <w:i/>
                <w:iCs/>
                <w:color w:val="000000" w:themeColor="text1"/>
                <w:lang w:val="es-CR" w:eastAsia="es-CR"/>
              </w:rPr>
              <w:t>Juzgado Civil:</w:t>
            </w:r>
          </w:p>
          <w:p w14:paraId="5A24973B" w14:textId="77777777" w:rsidR="00CF7396" w:rsidRPr="00CF7396" w:rsidRDefault="00CF7396" w:rsidP="00CF7396">
            <w:pPr>
              <w:jc w:val="both"/>
              <w:rPr>
                <w:i/>
                <w:iCs/>
                <w:color w:val="000000" w:themeColor="text1"/>
                <w:lang w:val="es-CR" w:eastAsia="es-CR"/>
              </w:rPr>
            </w:pPr>
            <w:r w:rsidRPr="00CF7396">
              <w:rPr>
                <w:i/>
                <w:iCs/>
                <w:color w:val="000000" w:themeColor="text1"/>
                <w:lang w:val="es-CR" w:eastAsia="es-CR"/>
              </w:rPr>
              <w:t>Dar prioridad a los expedientes pendientes de fallo de octubre, noviembre y diciembre</w:t>
            </w:r>
          </w:p>
          <w:p w14:paraId="48CA9F87" w14:textId="77777777" w:rsidR="00CF7396" w:rsidRPr="00CF7396" w:rsidRDefault="00CF7396" w:rsidP="00CF7396">
            <w:pPr>
              <w:jc w:val="both"/>
              <w:rPr>
                <w:color w:val="000000" w:themeColor="text1"/>
                <w:lang w:val="es-CR" w:eastAsia="es-CR"/>
              </w:rPr>
            </w:pPr>
          </w:p>
        </w:tc>
        <w:tc>
          <w:tcPr>
            <w:tcW w:w="427" w:type="pct"/>
            <w:vMerge/>
            <w:shd w:val="clear" w:color="auto" w:fill="auto"/>
            <w:vAlign w:val="center"/>
          </w:tcPr>
          <w:p w14:paraId="2056E9DE" w14:textId="77777777" w:rsidR="00CF7396" w:rsidRPr="00CF7396" w:rsidRDefault="00CF7396" w:rsidP="00CF7396">
            <w:pPr>
              <w:jc w:val="center"/>
              <w:rPr>
                <w:color w:val="000000" w:themeColor="text1"/>
                <w:lang w:val="es-CR" w:eastAsia="es-CR"/>
              </w:rPr>
            </w:pPr>
          </w:p>
        </w:tc>
        <w:tc>
          <w:tcPr>
            <w:tcW w:w="1044" w:type="pct"/>
            <w:vMerge/>
            <w:shd w:val="clear" w:color="auto" w:fill="auto"/>
            <w:vAlign w:val="center"/>
          </w:tcPr>
          <w:p w14:paraId="4156ABBC" w14:textId="77777777" w:rsidR="00CF7396" w:rsidRPr="00CF7396" w:rsidRDefault="00CF7396" w:rsidP="00CF7396">
            <w:pPr>
              <w:jc w:val="center"/>
              <w:rPr>
                <w:color w:val="000000" w:themeColor="text1"/>
                <w:lang w:val="es-CR" w:eastAsia="es-CR"/>
              </w:rPr>
            </w:pPr>
          </w:p>
        </w:tc>
        <w:tc>
          <w:tcPr>
            <w:tcW w:w="687" w:type="pct"/>
            <w:shd w:val="clear" w:color="auto" w:fill="auto"/>
          </w:tcPr>
          <w:p w14:paraId="35072D1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7DC41A76" w14:textId="77777777" w:rsidTr="00AF369B">
        <w:trPr>
          <w:trHeight w:val="2520"/>
          <w:jc w:val="center"/>
        </w:trPr>
        <w:tc>
          <w:tcPr>
            <w:tcW w:w="431" w:type="pct"/>
            <w:vMerge/>
            <w:shd w:val="clear" w:color="auto" w:fill="auto"/>
            <w:vAlign w:val="center"/>
            <w:hideMark/>
          </w:tcPr>
          <w:p w14:paraId="4C2064C4" w14:textId="77777777" w:rsidR="00CF7396" w:rsidRPr="00CF7396" w:rsidRDefault="00CF7396" w:rsidP="00CF7396">
            <w:pPr>
              <w:jc w:val="center"/>
              <w:rPr>
                <w:color w:val="000000" w:themeColor="text1"/>
                <w:lang w:val="es-CR" w:eastAsia="es-CR"/>
              </w:rPr>
            </w:pPr>
          </w:p>
        </w:tc>
        <w:tc>
          <w:tcPr>
            <w:tcW w:w="2411" w:type="pct"/>
            <w:shd w:val="clear" w:color="auto" w:fill="auto"/>
            <w:vAlign w:val="center"/>
            <w:hideMark/>
          </w:tcPr>
          <w:p w14:paraId="11C682DB" w14:textId="77777777" w:rsidR="00CF7396" w:rsidRPr="00CF7396" w:rsidRDefault="00CF7396" w:rsidP="00CF7396">
            <w:pPr>
              <w:jc w:val="both"/>
              <w:rPr>
                <w:i/>
                <w:iCs/>
                <w:color w:val="000000" w:themeColor="text1"/>
                <w:lang w:val="es-CR" w:eastAsia="es-CR"/>
              </w:rPr>
            </w:pPr>
            <w:r w:rsidRPr="00CF7396">
              <w:rPr>
                <w:b/>
                <w:bCs/>
                <w:i/>
                <w:iCs/>
                <w:color w:val="000000" w:themeColor="text1"/>
                <w:lang w:val="es-CR" w:eastAsia="es-CR"/>
              </w:rPr>
              <w:t>Consejo de Administración:</w:t>
            </w:r>
          </w:p>
          <w:p w14:paraId="0796C243" w14:textId="77777777" w:rsidR="00CF7396" w:rsidRPr="00CF7396" w:rsidRDefault="00CF7396" w:rsidP="00CF7396">
            <w:pPr>
              <w:jc w:val="both"/>
              <w:rPr>
                <w:i/>
                <w:iCs/>
                <w:color w:val="000000" w:themeColor="text1"/>
                <w:lang w:val="es-CR" w:eastAsia="es-CR"/>
              </w:rPr>
            </w:pPr>
            <w:r w:rsidRPr="00CF7396">
              <w:rPr>
                <w:i/>
                <w:iCs/>
                <w:color w:val="000000" w:themeColor="text1"/>
                <w:lang w:val="es-CR" w:eastAsia="es-CR"/>
              </w:rPr>
              <w:t>Informar a la profesional de la Dirección de Planificación, las fechas de las sesiones para el período 2021”.</w:t>
            </w:r>
          </w:p>
          <w:p w14:paraId="3DA72861" w14:textId="77777777" w:rsidR="00CF7396" w:rsidRPr="00CF7396" w:rsidRDefault="00CF7396" w:rsidP="00CF7396">
            <w:pPr>
              <w:jc w:val="both"/>
              <w:rPr>
                <w:i/>
                <w:iCs/>
                <w:color w:val="000000" w:themeColor="text1"/>
                <w:lang w:val="es-CR" w:eastAsia="es-CR"/>
              </w:rPr>
            </w:pPr>
          </w:p>
          <w:p w14:paraId="50C4F93D" w14:textId="77777777" w:rsidR="00CF7396" w:rsidRPr="00CF7396" w:rsidRDefault="00CF7396" w:rsidP="00CF7396">
            <w:pPr>
              <w:jc w:val="center"/>
              <w:rPr>
                <w:i/>
                <w:iCs/>
                <w:color w:val="000000" w:themeColor="text1"/>
                <w:lang w:val="es-CR" w:eastAsia="es-CR"/>
              </w:rPr>
            </w:pPr>
            <w:r w:rsidRPr="00CF7396">
              <w:rPr>
                <w:i/>
                <w:iCs/>
                <w:noProof/>
                <w:color w:val="000000" w:themeColor="text1"/>
                <w:lang w:val="es-CR" w:eastAsia="es-CR"/>
              </w:rPr>
              <w:drawing>
                <wp:inline distT="0" distB="0" distL="0" distR="0" wp14:anchorId="54A9A198" wp14:editId="0AA923E8">
                  <wp:extent cx="990600" cy="676275"/>
                  <wp:effectExtent l="0" t="0" r="0" b="0"/>
                  <wp:docPr id="13" name="Imagen 1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10;&#10;Descripción generada automáticament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90600" cy="676275"/>
                          </a:xfrm>
                          <a:prstGeom prst="rect">
                            <a:avLst/>
                          </a:prstGeom>
                          <a:noFill/>
                        </pic:spPr>
                      </pic:pic>
                    </a:graphicData>
                  </a:graphic>
                </wp:inline>
              </w:drawing>
            </w:r>
          </w:p>
          <w:p w14:paraId="2F9A777F" w14:textId="77777777" w:rsidR="00CF7396" w:rsidRPr="00CF7396" w:rsidRDefault="00CF7396" w:rsidP="00CF7396">
            <w:pPr>
              <w:jc w:val="center"/>
              <w:rPr>
                <w:color w:val="000000" w:themeColor="text1"/>
                <w:lang w:val="es-CR" w:eastAsia="es-CR"/>
              </w:rPr>
            </w:pPr>
          </w:p>
        </w:tc>
        <w:tc>
          <w:tcPr>
            <w:tcW w:w="427" w:type="pct"/>
            <w:vMerge/>
            <w:shd w:val="clear" w:color="auto" w:fill="auto"/>
            <w:vAlign w:val="center"/>
            <w:hideMark/>
          </w:tcPr>
          <w:p w14:paraId="53E710E9" w14:textId="77777777" w:rsidR="00CF7396" w:rsidRPr="00CF7396" w:rsidRDefault="00CF7396" w:rsidP="00CF7396">
            <w:pPr>
              <w:jc w:val="center"/>
              <w:rPr>
                <w:color w:val="000000" w:themeColor="text1"/>
                <w:lang w:val="es-CR" w:eastAsia="es-CR"/>
              </w:rPr>
            </w:pPr>
          </w:p>
        </w:tc>
        <w:tc>
          <w:tcPr>
            <w:tcW w:w="1044" w:type="pct"/>
            <w:vMerge/>
            <w:shd w:val="clear" w:color="auto" w:fill="auto"/>
            <w:vAlign w:val="center"/>
            <w:hideMark/>
          </w:tcPr>
          <w:p w14:paraId="6280A950" w14:textId="77777777" w:rsidR="00CF7396" w:rsidRPr="00CF7396" w:rsidRDefault="00CF7396" w:rsidP="00CF7396">
            <w:pPr>
              <w:jc w:val="center"/>
              <w:rPr>
                <w:color w:val="000000" w:themeColor="text1"/>
                <w:lang w:val="es-CR" w:eastAsia="es-CR"/>
              </w:rPr>
            </w:pPr>
          </w:p>
        </w:tc>
        <w:tc>
          <w:tcPr>
            <w:tcW w:w="687" w:type="pct"/>
            <w:shd w:val="clear" w:color="auto" w:fill="auto"/>
          </w:tcPr>
          <w:p w14:paraId="7CEC46C3" w14:textId="77777777" w:rsidR="00CF7396" w:rsidRPr="00CF7396" w:rsidRDefault="00CF7396" w:rsidP="00CF7396">
            <w:pPr>
              <w:jc w:val="center"/>
              <w:rPr>
                <w:color w:val="000000" w:themeColor="text1"/>
                <w:lang w:val="es-CR" w:eastAsia="es-CR"/>
              </w:rPr>
            </w:pPr>
          </w:p>
          <w:p w14:paraId="0F63ABD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1C821381" w14:textId="77777777" w:rsidTr="00AF369B">
        <w:trPr>
          <w:trHeight w:val="380"/>
          <w:jc w:val="center"/>
        </w:trPr>
        <w:tc>
          <w:tcPr>
            <w:tcW w:w="431" w:type="pct"/>
            <w:vMerge w:val="restart"/>
            <w:shd w:val="clear" w:color="auto" w:fill="auto"/>
            <w:vAlign w:val="center"/>
          </w:tcPr>
          <w:p w14:paraId="67382C6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Marzo</w:t>
            </w:r>
          </w:p>
        </w:tc>
        <w:tc>
          <w:tcPr>
            <w:tcW w:w="4569" w:type="pct"/>
            <w:gridSpan w:val="4"/>
            <w:shd w:val="clear" w:color="auto" w:fill="C0504D" w:themeFill="accent2"/>
          </w:tcPr>
          <w:p w14:paraId="710B8DD4"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Presentación 859-PLA-EV-TR-2022 Indicadores de febrero (no hubo quorum por lo que se conoció en la siguiente sesión)</w:t>
            </w:r>
          </w:p>
          <w:p w14:paraId="634D033C" w14:textId="77777777" w:rsidR="00CF7396" w:rsidRPr="00CF7396" w:rsidRDefault="00CF7396" w:rsidP="00CF7396">
            <w:pPr>
              <w:tabs>
                <w:tab w:val="left" w:pos="8970"/>
              </w:tabs>
              <w:rPr>
                <w:color w:val="000000" w:themeColor="text1"/>
                <w:lang w:val="es-CR" w:eastAsia="es-CR"/>
              </w:rPr>
            </w:pPr>
            <w:r w:rsidRPr="00CF7396">
              <w:rPr>
                <w:color w:val="000000" w:themeColor="text1"/>
                <w:lang w:val="es-CR" w:eastAsia="es-CR"/>
              </w:rPr>
              <w:tab/>
            </w:r>
          </w:p>
        </w:tc>
      </w:tr>
      <w:tr w:rsidR="00CF7396" w:rsidRPr="00CF7396" w14:paraId="70F81227" w14:textId="77777777" w:rsidTr="00AF369B">
        <w:trPr>
          <w:trHeight w:val="882"/>
          <w:jc w:val="center"/>
        </w:trPr>
        <w:tc>
          <w:tcPr>
            <w:tcW w:w="431" w:type="pct"/>
            <w:vMerge/>
            <w:shd w:val="clear" w:color="auto" w:fill="auto"/>
            <w:vAlign w:val="center"/>
          </w:tcPr>
          <w:p w14:paraId="4532F542" w14:textId="77777777" w:rsidR="00CF7396" w:rsidRPr="00CF7396" w:rsidRDefault="00CF7396" w:rsidP="00CF7396">
            <w:pPr>
              <w:jc w:val="center"/>
              <w:rPr>
                <w:color w:val="000000" w:themeColor="text1"/>
                <w:lang w:val="es-CR" w:eastAsia="es-CR"/>
              </w:rPr>
            </w:pPr>
          </w:p>
        </w:tc>
        <w:tc>
          <w:tcPr>
            <w:tcW w:w="2411" w:type="pct"/>
            <w:shd w:val="clear" w:color="auto" w:fill="auto"/>
          </w:tcPr>
          <w:p w14:paraId="4EF7C40F" w14:textId="77777777" w:rsidR="00CF7396" w:rsidRPr="00CF7396" w:rsidRDefault="00CF7396" w:rsidP="00CF7396">
            <w:pPr>
              <w:ind w:left="6"/>
              <w:jc w:val="both"/>
              <w:rPr>
                <w:i/>
                <w:iCs/>
                <w:color w:val="000000" w:themeColor="text1"/>
                <w:lang w:val="es-CR" w:eastAsia="es-CR"/>
              </w:rPr>
            </w:pPr>
            <w:r w:rsidRPr="00CF7396">
              <w:rPr>
                <w:i/>
                <w:iCs/>
                <w:color w:val="000000" w:themeColor="text1"/>
                <w:lang w:val="es-CR" w:eastAsia="es-CR"/>
              </w:rPr>
              <w:t>1. Se recomienda instar y felicitar al Juzgado de Cobro y personal supernumerario que se encuentra laborando en Cobro por mantener sus buenos rendimientos.</w:t>
            </w:r>
          </w:p>
        </w:tc>
        <w:tc>
          <w:tcPr>
            <w:tcW w:w="427" w:type="pct"/>
            <w:vMerge w:val="restart"/>
            <w:shd w:val="clear" w:color="auto" w:fill="auto"/>
            <w:vAlign w:val="center"/>
          </w:tcPr>
          <w:p w14:paraId="1229608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Acta 8-2021 del 29 de abril del 2021, artículo I.</w:t>
            </w:r>
          </w:p>
        </w:tc>
        <w:tc>
          <w:tcPr>
            <w:tcW w:w="1044" w:type="pct"/>
            <w:vMerge w:val="restart"/>
            <w:shd w:val="clear" w:color="auto" w:fill="auto"/>
            <w:vAlign w:val="center"/>
          </w:tcPr>
          <w:p w14:paraId="5869A05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Aprobadas</w:t>
            </w:r>
          </w:p>
        </w:tc>
        <w:tc>
          <w:tcPr>
            <w:tcW w:w="687" w:type="pct"/>
            <w:shd w:val="clear" w:color="auto" w:fill="auto"/>
          </w:tcPr>
          <w:p w14:paraId="67382BE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1. Implantado</w:t>
            </w:r>
          </w:p>
        </w:tc>
      </w:tr>
      <w:tr w:rsidR="00CF7396" w:rsidRPr="00CF7396" w14:paraId="6D7F6AA4" w14:textId="77777777" w:rsidTr="00AF369B">
        <w:trPr>
          <w:trHeight w:val="50"/>
          <w:jc w:val="center"/>
        </w:trPr>
        <w:tc>
          <w:tcPr>
            <w:tcW w:w="431" w:type="pct"/>
            <w:vMerge/>
            <w:shd w:val="clear" w:color="auto" w:fill="auto"/>
            <w:vAlign w:val="center"/>
          </w:tcPr>
          <w:p w14:paraId="77DD63F1" w14:textId="77777777" w:rsidR="00CF7396" w:rsidRPr="00CF7396" w:rsidRDefault="00CF7396" w:rsidP="00CF7396">
            <w:pPr>
              <w:jc w:val="center"/>
              <w:rPr>
                <w:color w:val="000000" w:themeColor="text1"/>
                <w:lang w:val="es-CR" w:eastAsia="es-CR"/>
              </w:rPr>
            </w:pPr>
          </w:p>
        </w:tc>
        <w:tc>
          <w:tcPr>
            <w:tcW w:w="2411" w:type="pct"/>
            <w:shd w:val="clear" w:color="auto" w:fill="auto"/>
          </w:tcPr>
          <w:p w14:paraId="03500579" w14:textId="77777777" w:rsidR="00CF7396" w:rsidRPr="00CF7396" w:rsidRDefault="00CF7396" w:rsidP="00CF7396">
            <w:pPr>
              <w:jc w:val="both"/>
              <w:rPr>
                <w:i/>
                <w:iCs/>
                <w:color w:val="000000" w:themeColor="text1"/>
                <w:lang w:val="es-CR" w:eastAsia="es-CR"/>
              </w:rPr>
            </w:pPr>
            <w:r w:rsidRPr="00CF7396">
              <w:rPr>
                <w:i/>
                <w:iCs/>
                <w:color w:val="000000" w:themeColor="text1"/>
                <w:lang w:val="es-CR" w:eastAsia="es-CR"/>
              </w:rPr>
              <w:t>2. Recordar al Juzgado Contravencional y de Menor Cuantía de Matina, ajustarse a los planes de trabajo.</w:t>
            </w:r>
          </w:p>
          <w:p w14:paraId="2FEE9C3E" w14:textId="77777777" w:rsidR="00CF7396" w:rsidRPr="00CF7396" w:rsidRDefault="00CF7396" w:rsidP="00CF7396">
            <w:pPr>
              <w:jc w:val="both"/>
              <w:rPr>
                <w:i/>
                <w:iCs/>
                <w:color w:val="000000" w:themeColor="text1"/>
                <w:lang w:val="es-CR" w:eastAsia="es-CR"/>
              </w:rPr>
            </w:pPr>
          </w:p>
        </w:tc>
        <w:tc>
          <w:tcPr>
            <w:tcW w:w="427" w:type="pct"/>
            <w:vMerge/>
            <w:shd w:val="clear" w:color="auto" w:fill="auto"/>
            <w:vAlign w:val="center"/>
          </w:tcPr>
          <w:p w14:paraId="6FECD396" w14:textId="77777777" w:rsidR="00CF7396" w:rsidRPr="00CF7396" w:rsidRDefault="00CF7396" w:rsidP="00CF7396">
            <w:pPr>
              <w:jc w:val="center"/>
              <w:rPr>
                <w:color w:val="000000" w:themeColor="text1"/>
                <w:lang w:val="es-CR" w:eastAsia="es-CR"/>
              </w:rPr>
            </w:pPr>
          </w:p>
        </w:tc>
        <w:tc>
          <w:tcPr>
            <w:tcW w:w="1044" w:type="pct"/>
            <w:vMerge/>
            <w:shd w:val="clear" w:color="auto" w:fill="auto"/>
            <w:vAlign w:val="center"/>
          </w:tcPr>
          <w:p w14:paraId="6B7E02E6" w14:textId="77777777" w:rsidR="00CF7396" w:rsidRPr="00CF7396" w:rsidRDefault="00CF7396" w:rsidP="00CF7396">
            <w:pPr>
              <w:jc w:val="center"/>
              <w:rPr>
                <w:color w:val="000000" w:themeColor="text1"/>
                <w:lang w:val="es-CR" w:eastAsia="es-CR"/>
              </w:rPr>
            </w:pPr>
          </w:p>
        </w:tc>
        <w:tc>
          <w:tcPr>
            <w:tcW w:w="687" w:type="pct"/>
            <w:shd w:val="clear" w:color="auto" w:fill="auto"/>
          </w:tcPr>
          <w:p w14:paraId="5C42107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2. Implantado</w:t>
            </w:r>
          </w:p>
        </w:tc>
      </w:tr>
      <w:tr w:rsidR="00CF7396" w:rsidRPr="00CF7396" w14:paraId="32D763EF" w14:textId="77777777" w:rsidTr="00AF369B">
        <w:trPr>
          <w:trHeight w:val="1403"/>
          <w:jc w:val="center"/>
        </w:trPr>
        <w:tc>
          <w:tcPr>
            <w:tcW w:w="431" w:type="pct"/>
            <w:vMerge/>
            <w:shd w:val="clear" w:color="auto" w:fill="auto"/>
            <w:vAlign w:val="center"/>
          </w:tcPr>
          <w:p w14:paraId="4C2B109C" w14:textId="77777777" w:rsidR="00CF7396" w:rsidRPr="00CF7396" w:rsidRDefault="00CF7396" w:rsidP="00CF7396">
            <w:pPr>
              <w:jc w:val="center"/>
              <w:rPr>
                <w:color w:val="000000" w:themeColor="text1"/>
                <w:lang w:val="es-CR" w:eastAsia="es-CR"/>
              </w:rPr>
            </w:pPr>
          </w:p>
        </w:tc>
        <w:tc>
          <w:tcPr>
            <w:tcW w:w="2411" w:type="pct"/>
            <w:shd w:val="clear" w:color="auto" w:fill="auto"/>
          </w:tcPr>
          <w:p w14:paraId="2B291467" w14:textId="77777777" w:rsidR="00CF7396" w:rsidRPr="00CF7396" w:rsidRDefault="00CF7396" w:rsidP="00CF7396">
            <w:pPr>
              <w:jc w:val="both"/>
              <w:rPr>
                <w:i/>
                <w:iCs/>
                <w:color w:val="000000" w:themeColor="text1"/>
                <w:lang w:val="es-CR" w:eastAsia="es-CR"/>
              </w:rPr>
            </w:pPr>
            <w:r w:rsidRPr="00CF7396">
              <w:rPr>
                <w:i/>
                <w:iCs/>
                <w:color w:val="000000" w:themeColor="text1"/>
                <w:lang w:val="es-CR" w:eastAsia="es-CR"/>
              </w:rPr>
              <w:t>3. Reiterar a la Administración en remitir la matriz de rendimientos a la Profesional de Planificación durante las primeras dos semanas de cada mes, así como cualquier justificación de los puestos de los supernumerarios.</w:t>
            </w:r>
          </w:p>
          <w:p w14:paraId="62008430" w14:textId="77777777" w:rsidR="00CF7396" w:rsidRPr="00CF7396" w:rsidRDefault="00CF7396" w:rsidP="00CF7396">
            <w:pPr>
              <w:jc w:val="both"/>
              <w:rPr>
                <w:i/>
                <w:iCs/>
                <w:color w:val="000000" w:themeColor="text1"/>
                <w:lang w:val="es-CR" w:eastAsia="es-CR"/>
              </w:rPr>
            </w:pPr>
          </w:p>
        </w:tc>
        <w:tc>
          <w:tcPr>
            <w:tcW w:w="427" w:type="pct"/>
            <w:vMerge/>
            <w:shd w:val="clear" w:color="auto" w:fill="auto"/>
            <w:vAlign w:val="center"/>
          </w:tcPr>
          <w:p w14:paraId="48DC1E4C" w14:textId="77777777" w:rsidR="00CF7396" w:rsidRPr="00CF7396" w:rsidRDefault="00CF7396" w:rsidP="00CF7396">
            <w:pPr>
              <w:jc w:val="center"/>
              <w:rPr>
                <w:color w:val="000000" w:themeColor="text1"/>
                <w:lang w:val="es-CR" w:eastAsia="es-CR"/>
              </w:rPr>
            </w:pPr>
          </w:p>
        </w:tc>
        <w:tc>
          <w:tcPr>
            <w:tcW w:w="1044" w:type="pct"/>
            <w:vMerge/>
            <w:shd w:val="clear" w:color="auto" w:fill="auto"/>
            <w:vAlign w:val="center"/>
          </w:tcPr>
          <w:p w14:paraId="3F8322ED" w14:textId="77777777" w:rsidR="00CF7396" w:rsidRPr="00CF7396" w:rsidRDefault="00CF7396" w:rsidP="00CF7396">
            <w:pPr>
              <w:jc w:val="center"/>
              <w:rPr>
                <w:color w:val="000000" w:themeColor="text1"/>
                <w:lang w:val="es-CR" w:eastAsia="es-CR"/>
              </w:rPr>
            </w:pPr>
          </w:p>
        </w:tc>
        <w:tc>
          <w:tcPr>
            <w:tcW w:w="687" w:type="pct"/>
            <w:shd w:val="clear" w:color="auto" w:fill="auto"/>
          </w:tcPr>
          <w:p w14:paraId="24DFA55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3. Implantado parcialmente (remiten el seguimiento, pero no en todos los casos en las primeras dos semanas de cada mes, ver punto 5 del informe)</w:t>
            </w:r>
          </w:p>
        </w:tc>
      </w:tr>
      <w:tr w:rsidR="00CF7396" w:rsidRPr="00CF7396" w14:paraId="19946655" w14:textId="77777777" w:rsidTr="00AF369B">
        <w:trPr>
          <w:trHeight w:val="2520"/>
          <w:jc w:val="center"/>
        </w:trPr>
        <w:tc>
          <w:tcPr>
            <w:tcW w:w="431" w:type="pct"/>
            <w:vMerge/>
            <w:shd w:val="clear" w:color="auto" w:fill="auto"/>
            <w:vAlign w:val="center"/>
          </w:tcPr>
          <w:p w14:paraId="0C21936E" w14:textId="77777777" w:rsidR="00CF7396" w:rsidRPr="00CF7396" w:rsidRDefault="00CF7396" w:rsidP="00CF7396">
            <w:pPr>
              <w:jc w:val="center"/>
              <w:rPr>
                <w:color w:val="000000" w:themeColor="text1"/>
                <w:lang w:val="es-CR" w:eastAsia="es-CR"/>
              </w:rPr>
            </w:pPr>
          </w:p>
        </w:tc>
        <w:tc>
          <w:tcPr>
            <w:tcW w:w="2411" w:type="pct"/>
            <w:shd w:val="clear" w:color="auto" w:fill="auto"/>
          </w:tcPr>
          <w:p w14:paraId="7F21A0FF" w14:textId="77777777" w:rsidR="00CF7396" w:rsidRPr="00CF7396" w:rsidRDefault="00CF7396" w:rsidP="00CF7396">
            <w:pPr>
              <w:jc w:val="both"/>
              <w:rPr>
                <w:i/>
                <w:iCs/>
                <w:color w:val="000000" w:themeColor="text1"/>
                <w:lang w:val="es-CR" w:eastAsia="es-CR"/>
              </w:rPr>
            </w:pPr>
            <w:r w:rsidRPr="00CF7396">
              <w:rPr>
                <w:i/>
                <w:iCs/>
                <w:color w:val="000000" w:themeColor="text1"/>
                <w:lang w:val="es-CR" w:eastAsia="es-CR"/>
              </w:rPr>
              <w:t>4. La Profesional de la Dirección de Planificación incluirá dentro de los planes de trabajo del personal supernumerario el plan de contingencia para atender sustituciones, por lo que se recomienda a la Administración realizar mensualmente un comunicado a los despachos del circuito los días disponibles para atender suplencias en despachos unipersonales, de tal manera que las oficinas jurisdiccionales se organicen previamente.</w:t>
            </w:r>
          </w:p>
          <w:p w14:paraId="482A6620" w14:textId="77777777" w:rsidR="00CF7396" w:rsidRPr="00CF7396" w:rsidRDefault="00CF7396" w:rsidP="00CF7396">
            <w:pPr>
              <w:jc w:val="center"/>
              <w:rPr>
                <w:i/>
                <w:iCs/>
                <w:color w:val="000000" w:themeColor="text1"/>
                <w:lang w:val="es-CR" w:eastAsia="es-CR"/>
              </w:rPr>
            </w:pPr>
            <w:r w:rsidRPr="00CF7396">
              <w:rPr>
                <w:i/>
                <w:iCs/>
                <w:noProof/>
                <w:color w:val="000000" w:themeColor="text1"/>
                <w:lang w:val="es-CR" w:eastAsia="es-CR"/>
              </w:rPr>
              <w:drawing>
                <wp:inline distT="0" distB="0" distL="0" distR="0" wp14:anchorId="15D32D09" wp14:editId="61737D1F">
                  <wp:extent cx="990600" cy="676275"/>
                  <wp:effectExtent l="0" t="0" r="0" b="0"/>
                  <wp:docPr id="14" name="Imagen 1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10;&#10;Descripción generada automáticament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90600" cy="676275"/>
                          </a:xfrm>
                          <a:prstGeom prst="rect">
                            <a:avLst/>
                          </a:prstGeom>
                          <a:noFill/>
                        </pic:spPr>
                      </pic:pic>
                    </a:graphicData>
                  </a:graphic>
                </wp:inline>
              </w:drawing>
            </w:r>
          </w:p>
          <w:p w14:paraId="1D9CAD79" w14:textId="77777777" w:rsidR="00CF7396" w:rsidRPr="00CF7396" w:rsidRDefault="00CF7396" w:rsidP="00CF7396">
            <w:pPr>
              <w:jc w:val="center"/>
              <w:rPr>
                <w:i/>
                <w:iCs/>
                <w:color w:val="000000" w:themeColor="text1"/>
                <w:lang w:val="es-CR" w:eastAsia="es-CR"/>
              </w:rPr>
            </w:pPr>
          </w:p>
        </w:tc>
        <w:tc>
          <w:tcPr>
            <w:tcW w:w="427" w:type="pct"/>
            <w:vMerge/>
            <w:shd w:val="clear" w:color="auto" w:fill="auto"/>
            <w:vAlign w:val="center"/>
          </w:tcPr>
          <w:p w14:paraId="1EB7B840" w14:textId="77777777" w:rsidR="00CF7396" w:rsidRPr="00CF7396" w:rsidRDefault="00CF7396" w:rsidP="00CF7396">
            <w:pPr>
              <w:jc w:val="center"/>
              <w:rPr>
                <w:color w:val="000000" w:themeColor="text1"/>
                <w:lang w:val="es-CR" w:eastAsia="es-CR"/>
              </w:rPr>
            </w:pPr>
          </w:p>
        </w:tc>
        <w:tc>
          <w:tcPr>
            <w:tcW w:w="1044" w:type="pct"/>
            <w:vMerge/>
            <w:shd w:val="clear" w:color="auto" w:fill="auto"/>
            <w:vAlign w:val="center"/>
          </w:tcPr>
          <w:p w14:paraId="0924390F" w14:textId="77777777" w:rsidR="00CF7396" w:rsidRPr="00CF7396" w:rsidRDefault="00CF7396" w:rsidP="00CF7396">
            <w:pPr>
              <w:jc w:val="center"/>
              <w:rPr>
                <w:color w:val="000000" w:themeColor="text1"/>
                <w:lang w:val="es-CR" w:eastAsia="es-CR"/>
              </w:rPr>
            </w:pPr>
          </w:p>
        </w:tc>
        <w:tc>
          <w:tcPr>
            <w:tcW w:w="687" w:type="pct"/>
            <w:shd w:val="clear" w:color="auto" w:fill="auto"/>
          </w:tcPr>
          <w:p w14:paraId="4DADA4B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4. Implantado</w:t>
            </w:r>
          </w:p>
        </w:tc>
      </w:tr>
      <w:tr w:rsidR="00CF7396" w:rsidRPr="00CF7396" w14:paraId="755E1A61" w14:textId="77777777" w:rsidTr="00AF369B">
        <w:trPr>
          <w:trHeight w:val="343"/>
          <w:jc w:val="center"/>
        </w:trPr>
        <w:tc>
          <w:tcPr>
            <w:tcW w:w="431" w:type="pct"/>
            <w:vMerge w:val="restart"/>
            <w:shd w:val="clear" w:color="auto" w:fill="auto"/>
            <w:vAlign w:val="center"/>
          </w:tcPr>
          <w:p w14:paraId="6D2695A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Abril</w:t>
            </w:r>
          </w:p>
        </w:tc>
        <w:tc>
          <w:tcPr>
            <w:tcW w:w="4569" w:type="pct"/>
            <w:gridSpan w:val="4"/>
            <w:shd w:val="clear" w:color="auto" w:fill="C0504D" w:themeFill="accent2"/>
          </w:tcPr>
          <w:p w14:paraId="7C483282"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Presentación 859-PLA-EV-TR-2021 Indicadores de marzo 2021</w:t>
            </w:r>
          </w:p>
          <w:p w14:paraId="78C69564" w14:textId="77777777" w:rsidR="00CF7396" w:rsidRPr="00CF7396" w:rsidRDefault="00CF7396" w:rsidP="00CF7396">
            <w:pPr>
              <w:rPr>
                <w:color w:val="000000" w:themeColor="text1"/>
                <w:lang w:val="es-CR" w:eastAsia="es-CR"/>
              </w:rPr>
            </w:pPr>
          </w:p>
        </w:tc>
      </w:tr>
      <w:tr w:rsidR="00CF7396" w:rsidRPr="00CF7396" w14:paraId="64D197A2" w14:textId="77777777" w:rsidTr="00AF369B">
        <w:trPr>
          <w:trHeight w:val="1128"/>
          <w:jc w:val="center"/>
        </w:trPr>
        <w:tc>
          <w:tcPr>
            <w:tcW w:w="431" w:type="pct"/>
            <w:vMerge/>
            <w:shd w:val="clear" w:color="auto" w:fill="auto"/>
            <w:vAlign w:val="center"/>
          </w:tcPr>
          <w:p w14:paraId="36270196" w14:textId="77777777" w:rsidR="00CF7396" w:rsidRPr="00CF7396" w:rsidRDefault="00CF7396" w:rsidP="00CF7396">
            <w:pPr>
              <w:jc w:val="center"/>
              <w:rPr>
                <w:color w:val="000000" w:themeColor="text1"/>
                <w:lang w:val="es-CR" w:eastAsia="es-CR"/>
              </w:rPr>
            </w:pPr>
          </w:p>
        </w:tc>
        <w:tc>
          <w:tcPr>
            <w:tcW w:w="2411" w:type="pct"/>
            <w:shd w:val="clear" w:color="auto" w:fill="auto"/>
          </w:tcPr>
          <w:p w14:paraId="1174A532" w14:textId="77777777" w:rsidR="00CF7396" w:rsidRPr="00CF7396" w:rsidRDefault="00CF7396" w:rsidP="00CF7396">
            <w:pPr>
              <w:jc w:val="both"/>
              <w:rPr>
                <w:i/>
                <w:iCs/>
                <w:color w:val="000000" w:themeColor="text1"/>
                <w:lang w:val="es-CR" w:eastAsia="es-CR"/>
              </w:rPr>
            </w:pPr>
          </w:p>
          <w:p w14:paraId="42F23080" w14:textId="77777777" w:rsidR="00CF7396" w:rsidRPr="00CF7396" w:rsidRDefault="00CF7396" w:rsidP="00CF7396">
            <w:pPr>
              <w:numPr>
                <w:ilvl w:val="0"/>
                <w:numId w:val="50"/>
              </w:numPr>
              <w:tabs>
                <w:tab w:val="num" w:pos="499"/>
              </w:tabs>
              <w:ind w:left="74"/>
              <w:jc w:val="both"/>
              <w:rPr>
                <w:i/>
                <w:iCs/>
                <w:color w:val="000000" w:themeColor="text1"/>
                <w:lang w:val="es-CR" w:eastAsia="es-CR"/>
              </w:rPr>
            </w:pPr>
            <w:r w:rsidRPr="00CF7396">
              <w:rPr>
                <w:i/>
                <w:iCs/>
                <w:color w:val="000000" w:themeColor="text1"/>
                <w:lang w:val="es-CR" w:eastAsia="es-CR"/>
              </w:rPr>
              <w:t>“Reiterar a las Jefaturas de los despachos del Modelo de Sostenibilidad velar por el cumplimiento de las cuotas de trabajo del personal subalterno y justificar en la minuta de reunión cualquier asunto relacionado al rendimiento del personal. (Circular 194-2020 del CS).</w:t>
            </w:r>
          </w:p>
          <w:p w14:paraId="603B8753" w14:textId="77777777" w:rsidR="00CF7396" w:rsidRPr="00CF7396" w:rsidRDefault="00CF7396" w:rsidP="00CF7396">
            <w:pPr>
              <w:ind w:left="720"/>
              <w:jc w:val="both"/>
              <w:rPr>
                <w:i/>
                <w:iCs/>
                <w:color w:val="000000" w:themeColor="text1"/>
                <w:lang w:val="es-CR" w:eastAsia="es-CR"/>
              </w:rPr>
            </w:pPr>
          </w:p>
        </w:tc>
        <w:tc>
          <w:tcPr>
            <w:tcW w:w="427" w:type="pct"/>
            <w:vMerge w:val="restart"/>
            <w:shd w:val="clear" w:color="auto" w:fill="auto"/>
            <w:vAlign w:val="center"/>
          </w:tcPr>
          <w:p w14:paraId="66C3596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Acta 8-2021 del 29 de abril del 2021, artículo I.</w:t>
            </w:r>
          </w:p>
        </w:tc>
        <w:tc>
          <w:tcPr>
            <w:tcW w:w="1044" w:type="pct"/>
            <w:vMerge w:val="restart"/>
            <w:shd w:val="clear" w:color="auto" w:fill="auto"/>
            <w:vAlign w:val="center"/>
          </w:tcPr>
          <w:p w14:paraId="6F49FE5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Aprobadas</w:t>
            </w:r>
          </w:p>
        </w:tc>
        <w:tc>
          <w:tcPr>
            <w:tcW w:w="687" w:type="pct"/>
            <w:shd w:val="clear" w:color="auto" w:fill="auto"/>
          </w:tcPr>
          <w:p w14:paraId="04AE35DB" w14:textId="77777777" w:rsidR="00CF7396" w:rsidRPr="00CF7396" w:rsidRDefault="00CF7396" w:rsidP="00CF7396">
            <w:pPr>
              <w:jc w:val="center"/>
              <w:rPr>
                <w:color w:val="000000" w:themeColor="text1"/>
                <w:lang w:val="es-CR" w:eastAsia="es-CR"/>
              </w:rPr>
            </w:pPr>
          </w:p>
          <w:p w14:paraId="2A54D08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 parcialmente; a finales de diciembre aún se detectaban despachos que el personal técnico judicial no cumplía con las cuotas de trabajo, tal como se expuso ampliamente en el punto 4.2.2 del presente informe.</w:t>
            </w:r>
          </w:p>
          <w:p w14:paraId="12D086D7" w14:textId="77777777" w:rsidR="00CF7396" w:rsidRPr="00CF7396" w:rsidRDefault="00CF7396" w:rsidP="00CF7396">
            <w:pPr>
              <w:jc w:val="center"/>
              <w:rPr>
                <w:color w:val="000000" w:themeColor="text1"/>
                <w:lang w:val="es-CR" w:eastAsia="es-CR"/>
              </w:rPr>
            </w:pPr>
          </w:p>
        </w:tc>
      </w:tr>
      <w:tr w:rsidR="00CF7396" w:rsidRPr="00CF7396" w14:paraId="556F31B4" w14:textId="77777777" w:rsidTr="00AF369B">
        <w:trPr>
          <w:trHeight w:val="762"/>
          <w:jc w:val="center"/>
        </w:trPr>
        <w:tc>
          <w:tcPr>
            <w:tcW w:w="431" w:type="pct"/>
            <w:vMerge/>
            <w:shd w:val="clear" w:color="auto" w:fill="auto"/>
            <w:vAlign w:val="center"/>
          </w:tcPr>
          <w:p w14:paraId="57B2FE29" w14:textId="77777777" w:rsidR="00CF7396" w:rsidRPr="00CF7396" w:rsidRDefault="00CF7396" w:rsidP="00CF7396">
            <w:pPr>
              <w:jc w:val="center"/>
              <w:rPr>
                <w:color w:val="000000" w:themeColor="text1"/>
                <w:lang w:val="es-CR" w:eastAsia="es-CR"/>
              </w:rPr>
            </w:pPr>
          </w:p>
        </w:tc>
        <w:tc>
          <w:tcPr>
            <w:tcW w:w="2411" w:type="pct"/>
            <w:shd w:val="clear" w:color="auto" w:fill="auto"/>
          </w:tcPr>
          <w:p w14:paraId="08CD62B5" w14:textId="77777777" w:rsidR="00CF7396" w:rsidRPr="00CF7396" w:rsidRDefault="00CF7396" w:rsidP="00CF7396">
            <w:pPr>
              <w:numPr>
                <w:ilvl w:val="0"/>
                <w:numId w:val="50"/>
              </w:numPr>
              <w:ind w:left="74"/>
              <w:jc w:val="both"/>
              <w:rPr>
                <w:i/>
                <w:iCs/>
                <w:color w:val="000000" w:themeColor="text1"/>
                <w:lang w:val="es-CR" w:eastAsia="es-CR"/>
              </w:rPr>
            </w:pPr>
            <w:r w:rsidRPr="00CF7396">
              <w:rPr>
                <w:i/>
                <w:iCs/>
                <w:color w:val="000000" w:themeColor="text1"/>
                <w:lang w:val="es-CR" w:eastAsia="es-CR"/>
              </w:rPr>
              <w:t xml:space="preserve">Reiterar a las oficinas del Modelo de Sostenibilidad </w:t>
            </w:r>
            <w:proofErr w:type="spellStart"/>
            <w:r w:rsidRPr="00CF7396">
              <w:rPr>
                <w:i/>
                <w:iCs/>
                <w:color w:val="000000" w:themeColor="text1"/>
                <w:lang w:val="es-CR" w:eastAsia="es-CR"/>
              </w:rPr>
              <w:t>el</w:t>
            </w:r>
            <w:proofErr w:type="spellEnd"/>
            <w:r w:rsidRPr="00CF7396">
              <w:rPr>
                <w:i/>
                <w:iCs/>
                <w:color w:val="000000" w:themeColor="text1"/>
                <w:lang w:val="es-CR" w:eastAsia="es-CR"/>
              </w:rPr>
              <w:t xml:space="preserve"> envió de los documentos en la segunda semana del mes y remitir copia a la profesional destacada en el Circuito. (Circular 10-2020 del CA).</w:t>
            </w:r>
          </w:p>
          <w:p w14:paraId="4A507E3D" w14:textId="77777777" w:rsidR="00CF7396" w:rsidRPr="00CF7396" w:rsidRDefault="00CF7396" w:rsidP="00CF7396">
            <w:pPr>
              <w:jc w:val="both"/>
              <w:rPr>
                <w:i/>
                <w:iCs/>
                <w:color w:val="000000" w:themeColor="text1"/>
                <w:lang w:val="es-CR" w:eastAsia="es-CR"/>
              </w:rPr>
            </w:pPr>
          </w:p>
        </w:tc>
        <w:tc>
          <w:tcPr>
            <w:tcW w:w="427" w:type="pct"/>
            <w:vMerge/>
            <w:shd w:val="clear" w:color="auto" w:fill="auto"/>
            <w:vAlign w:val="center"/>
          </w:tcPr>
          <w:p w14:paraId="0D07C4C0" w14:textId="77777777" w:rsidR="00CF7396" w:rsidRPr="00CF7396" w:rsidRDefault="00CF7396" w:rsidP="00CF7396">
            <w:pPr>
              <w:jc w:val="center"/>
              <w:rPr>
                <w:color w:val="000000" w:themeColor="text1"/>
                <w:lang w:val="es-CR" w:eastAsia="es-CR"/>
              </w:rPr>
            </w:pPr>
          </w:p>
        </w:tc>
        <w:tc>
          <w:tcPr>
            <w:tcW w:w="1044" w:type="pct"/>
            <w:vMerge/>
            <w:shd w:val="clear" w:color="auto" w:fill="auto"/>
            <w:vAlign w:val="center"/>
          </w:tcPr>
          <w:p w14:paraId="7E13C460" w14:textId="77777777" w:rsidR="00CF7396" w:rsidRPr="00CF7396" w:rsidRDefault="00CF7396" w:rsidP="00CF7396">
            <w:pPr>
              <w:jc w:val="center"/>
              <w:rPr>
                <w:color w:val="000000" w:themeColor="text1"/>
                <w:lang w:val="es-CR" w:eastAsia="es-CR"/>
              </w:rPr>
            </w:pPr>
          </w:p>
        </w:tc>
        <w:tc>
          <w:tcPr>
            <w:tcW w:w="687" w:type="pct"/>
            <w:shd w:val="clear" w:color="auto" w:fill="auto"/>
          </w:tcPr>
          <w:p w14:paraId="576193C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 parcialmente; en el punto 5 del presente informe se amplió el tema.</w:t>
            </w:r>
          </w:p>
        </w:tc>
      </w:tr>
      <w:tr w:rsidR="00CF7396" w:rsidRPr="00CF7396" w14:paraId="74F3C595" w14:textId="77777777" w:rsidTr="00AF369B">
        <w:trPr>
          <w:trHeight w:val="1426"/>
          <w:jc w:val="center"/>
        </w:trPr>
        <w:tc>
          <w:tcPr>
            <w:tcW w:w="431" w:type="pct"/>
            <w:vMerge/>
            <w:shd w:val="clear" w:color="auto" w:fill="auto"/>
            <w:vAlign w:val="center"/>
          </w:tcPr>
          <w:p w14:paraId="25D29C43" w14:textId="77777777" w:rsidR="00CF7396" w:rsidRPr="00CF7396" w:rsidRDefault="00CF7396" w:rsidP="00CF7396">
            <w:pPr>
              <w:jc w:val="center"/>
              <w:rPr>
                <w:color w:val="000000" w:themeColor="text1"/>
                <w:lang w:val="es-CR" w:eastAsia="es-CR"/>
              </w:rPr>
            </w:pPr>
          </w:p>
        </w:tc>
        <w:tc>
          <w:tcPr>
            <w:tcW w:w="2411" w:type="pct"/>
            <w:shd w:val="clear" w:color="auto" w:fill="auto"/>
          </w:tcPr>
          <w:p w14:paraId="1BC16FF6" w14:textId="77777777" w:rsidR="00CF7396" w:rsidRPr="00CF7396" w:rsidRDefault="00CF7396" w:rsidP="00CF7396">
            <w:pPr>
              <w:numPr>
                <w:ilvl w:val="0"/>
                <w:numId w:val="50"/>
              </w:numPr>
              <w:ind w:left="74"/>
              <w:jc w:val="both"/>
              <w:rPr>
                <w:i/>
                <w:iCs/>
                <w:color w:val="000000" w:themeColor="text1"/>
                <w:lang w:val="es-CR" w:eastAsia="es-CR"/>
              </w:rPr>
            </w:pPr>
            <w:r w:rsidRPr="00CF7396">
              <w:rPr>
                <w:i/>
                <w:iCs/>
                <w:color w:val="000000" w:themeColor="text1"/>
                <w:lang w:val="es-CR" w:eastAsia="es-CR"/>
              </w:rPr>
              <w:t>En vista del apoyo brindado al Juzgado de Cobro con el fallo de expedientes por parte del personal juzgador supernumerario y del Centro de Apoyo, en donde la antigüedad pendiente de sentencia pasó de 132 días a 6 días, se le solicita al personal juzgador del Juzgado de Cobro en cumplir con el fallo mínimo de 4 sentencias mensuales por persona Juzgadora, con el fin de mantener el Indicador dentro del rango “Muy bueno” y se cumpla con la cuota de sentencia.</w:t>
            </w:r>
          </w:p>
        </w:tc>
        <w:tc>
          <w:tcPr>
            <w:tcW w:w="427" w:type="pct"/>
            <w:vMerge/>
            <w:shd w:val="clear" w:color="auto" w:fill="auto"/>
            <w:vAlign w:val="center"/>
          </w:tcPr>
          <w:p w14:paraId="66F0FDFE" w14:textId="77777777" w:rsidR="00CF7396" w:rsidRPr="00CF7396" w:rsidRDefault="00CF7396" w:rsidP="00CF7396">
            <w:pPr>
              <w:jc w:val="center"/>
              <w:rPr>
                <w:color w:val="000000" w:themeColor="text1"/>
                <w:lang w:val="es-CR" w:eastAsia="es-CR"/>
              </w:rPr>
            </w:pPr>
          </w:p>
        </w:tc>
        <w:tc>
          <w:tcPr>
            <w:tcW w:w="1044" w:type="pct"/>
            <w:vMerge/>
            <w:shd w:val="clear" w:color="auto" w:fill="auto"/>
            <w:vAlign w:val="center"/>
          </w:tcPr>
          <w:p w14:paraId="464CDA01" w14:textId="77777777" w:rsidR="00CF7396" w:rsidRPr="00CF7396" w:rsidRDefault="00CF7396" w:rsidP="00CF7396">
            <w:pPr>
              <w:jc w:val="center"/>
              <w:rPr>
                <w:color w:val="000000" w:themeColor="text1"/>
                <w:lang w:val="es-CR" w:eastAsia="es-CR"/>
              </w:rPr>
            </w:pPr>
          </w:p>
        </w:tc>
        <w:tc>
          <w:tcPr>
            <w:tcW w:w="687" w:type="pct"/>
            <w:shd w:val="clear" w:color="auto" w:fill="auto"/>
          </w:tcPr>
          <w:p w14:paraId="0D54455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 parcialmente; en el punto 4.2.1 se amplió el tema.</w:t>
            </w:r>
          </w:p>
        </w:tc>
      </w:tr>
      <w:tr w:rsidR="00CF7396" w:rsidRPr="00CF7396" w14:paraId="65957DB8" w14:textId="77777777" w:rsidTr="00AF369B">
        <w:trPr>
          <w:trHeight w:val="695"/>
          <w:jc w:val="center"/>
        </w:trPr>
        <w:tc>
          <w:tcPr>
            <w:tcW w:w="431" w:type="pct"/>
            <w:vMerge/>
            <w:shd w:val="clear" w:color="auto" w:fill="auto"/>
            <w:vAlign w:val="center"/>
          </w:tcPr>
          <w:p w14:paraId="46EFD5D2" w14:textId="77777777" w:rsidR="00CF7396" w:rsidRPr="00CF7396" w:rsidRDefault="00CF7396" w:rsidP="00CF7396">
            <w:pPr>
              <w:jc w:val="center"/>
              <w:rPr>
                <w:color w:val="000000" w:themeColor="text1"/>
                <w:lang w:val="es-CR" w:eastAsia="es-CR"/>
              </w:rPr>
            </w:pPr>
          </w:p>
        </w:tc>
        <w:tc>
          <w:tcPr>
            <w:tcW w:w="2411" w:type="pct"/>
            <w:shd w:val="clear" w:color="auto" w:fill="auto"/>
          </w:tcPr>
          <w:p w14:paraId="79EABA51" w14:textId="77777777" w:rsidR="00CF7396" w:rsidRPr="00CF7396" w:rsidRDefault="00CF7396" w:rsidP="00CF7396">
            <w:pPr>
              <w:numPr>
                <w:ilvl w:val="0"/>
                <w:numId w:val="50"/>
              </w:numPr>
              <w:ind w:left="74"/>
              <w:jc w:val="both"/>
              <w:rPr>
                <w:i/>
                <w:iCs/>
                <w:color w:val="000000" w:themeColor="text1"/>
                <w:lang w:val="es-CR" w:eastAsia="es-CR"/>
              </w:rPr>
            </w:pPr>
            <w:r w:rsidRPr="00CF7396">
              <w:rPr>
                <w:i/>
                <w:iCs/>
                <w:color w:val="000000" w:themeColor="text1"/>
                <w:lang w:val="es-CR" w:eastAsia="es-CR"/>
              </w:rPr>
              <w:t>Reiterar al Juzgado Contravencional y de Menor Cuantía de Matina y de Familia, cumplir con el procedimiento establecido para el completado de la minuta de reunión.</w:t>
            </w:r>
          </w:p>
          <w:p w14:paraId="3CFABE3F" w14:textId="77777777" w:rsidR="00CF7396" w:rsidRPr="00CF7396" w:rsidRDefault="00CF7396" w:rsidP="00CF7396">
            <w:pPr>
              <w:ind w:left="720"/>
              <w:jc w:val="both"/>
              <w:rPr>
                <w:i/>
                <w:iCs/>
                <w:color w:val="000000" w:themeColor="text1"/>
                <w:lang w:val="es-CR" w:eastAsia="es-CR"/>
              </w:rPr>
            </w:pPr>
          </w:p>
        </w:tc>
        <w:tc>
          <w:tcPr>
            <w:tcW w:w="427" w:type="pct"/>
            <w:vMerge/>
            <w:shd w:val="clear" w:color="auto" w:fill="auto"/>
            <w:vAlign w:val="center"/>
          </w:tcPr>
          <w:p w14:paraId="7A61446F" w14:textId="77777777" w:rsidR="00CF7396" w:rsidRPr="00CF7396" w:rsidRDefault="00CF7396" w:rsidP="00CF7396">
            <w:pPr>
              <w:jc w:val="center"/>
              <w:rPr>
                <w:color w:val="000000" w:themeColor="text1"/>
                <w:lang w:val="es-CR" w:eastAsia="es-CR"/>
              </w:rPr>
            </w:pPr>
          </w:p>
        </w:tc>
        <w:tc>
          <w:tcPr>
            <w:tcW w:w="1044" w:type="pct"/>
            <w:vMerge/>
            <w:shd w:val="clear" w:color="auto" w:fill="auto"/>
            <w:vAlign w:val="center"/>
          </w:tcPr>
          <w:p w14:paraId="008B5675" w14:textId="77777777" w:rsidR="00CF7396" w:rsidRPr="00CF7396" w:rsidRDefault="00CF7396" w:rsidP="00CF7396">
            <w:pPr>
              <w:jc w:val="center"/>
              <w:rPr>
                <w:color w:val="000000" w:themeColor="text1"/>
                <w:lang w:val="es-CR" w:eastAsia="es-CR"/>
              </w:rPr>
            </w:pPr>
          </w:p>
        </w:tc>
        <w:tc>
          <w:tcPr>
            <w:tcW w:w="687" w:type="pct"/>
            <w:shd w:val="clear" w:color="auto" w:fill="auto"/>
          </w:tcPr>
          <w:p w14:paraId="7C806AF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70EE53A6" w14:textId="77777777" w:rsidTr="00AF369B">
        <w:trPr>
          <w:trHeight w:val="1527"/>
          <w:jc w:val="center"/>
        </w:trPr>
        <w:tc>
          <w:tcPr>
            <w:tcW w:w="431" w:type="pct"/>
            <w:vMerge/>
            <w:shd w:val="clear" w:color="auto" w:fill="auto"/>
            <w:vAlign w:val="center"/>
          </w:tcPr>
          <w:p w14:paraId="3304F35B" w14:textId="77777777" w:rsidR="00CF7396" w:rsidRPr="00CF7396" w:rsidRDefault="00CF7396" w:rsidP="00CF7396">
            <w:pPr>
              <w:jc w:val="center"/>
              <w:rPr>
                <w:color w:val="000000" w:themeColor="text1"/>
                <w:lang w:val="es-CR" w:eastAsia="es-CR"/>
              </w:rPr>
            </w:pPr>
          </w:p>
        </w:tc>
        <w:tc>
          <w:tcPr>
            <w:tcW w:w="2411" w:type="pct"/>
            <w:shd w:val="clear" w:color="auto" w:fill="auto"/>
          </w:tcPr>
          <w:p w14:paraId="5FF8B908" w14:textId="77777777" w:rsidR="00CF7396" w:rsidRPr="00CF7396" w:rsidRDefault="00CF7396" w:rsidP="00CF7396">
            <w:pPr>
              <w:numPr>
                <w:ilvl w:val="0"/>
                <w:numId w:val="50"/>
              </w:numPr>
              <w:ind w:left="74"/>
              <w:jc w:val="both"/>
              <w:rPr>
                <w:i/>
                <w:iCs/>
                <w:color w:val="000000" w:themeColor="text1"/>
                <w:lang w:val="es-CR" w:eastAsia="es-CR"/>
              </w:rPr>
            </w:pPr>
            <w:r w:rsidRPr="00CF7396">
              <w:rPr>
                <w:i/>
                <w:iCs/>
                <w:color w:val="000000" w:themeColor="text1"/>
                <w:lang w:val="es-CR" w:eastAsia="es-CR"/>
              </w:rPr>
              <w:t>Recordar al Tribunal Penal y a la Sección de Flagrancia que mensualmente deberán de remitir los documentos completos correspondientes a los Indicadores; en el entendido que los archivos no pueden ser uno solo, ya que la Sección de Flagrancia cuenta con su propia matriz de Indicadores y código de oficina; por consiguiente, el Tribunal deberá de remitir su matriz de Indicadores, planes remediales y minuta y por aparte los documentos de la Sección de Flagrancia”.</w:t>
            </w:r>
          </w:p>
          <w:p w14:paraId="63DF52FA" w14:textId="77777777" w:rsidR="00CF7396" w:rsidRPr="00CF7396" w:rsidRDefault="00CF7396" w:rsidP="00CF7396">
            <w:pPr>
              <w:jc w:val="both"/>
              <w:rPr>
                <w:i/>
                <w:iCs/>
                <w:color w:val="000000" w:themeColor="text1"/>
                <w:lang w:val="es-CR" w:eastAsia="es-CR"/>
              </w:rPr>
            </w:pPr>
          </w:p>
        </w:tc>
        <w:tc>
          <w:tcPr>
            <w:tcW w:w="427" w:type="pct"/>
            <w:vMerge/>
            <w:shd w:val="clear" w:color="auto" w:fill="auto"/>
            <w:vAlign w:val="center"/>
          </w:tcPr>
          <w:p w14:paraId="097F3051" w14:textId="77777777" w:rsidR="00CF7396" w:rsidRPr="00CF7396" w:rsidRDefault="00CF7396" w:rsidP="00CF7396">
            <w:pPr>
              <w:jc w:val="center"/>
              <w:rPr>
                <w:color w:val="000000" w:themeColor="text1"/>
                <w:lang w:val="es-CR" w:eastAsia="es-CR"/>
              </w:rPr>
            </w:pPr>
          </w:p>
        </w:tc>
        <w:tc>
          <w:tcPr>
            <w:tcW w:w="1044" w:type="pct"/>
            <w:vMerge/>
            <w:shd w:val="clear" w:color="auto" w:fill="auto"/>
            <w:vAlign w:val="center"/>
          </w:tcPr>
          <w:p w14:paraId="6F6D51B0" w14:textId="77777777" w:rsidR="00CF7396" w:rsidRPr="00CF7396" w:rsidRDefault="00CF7396" w:rsidP="00CF7396">
            <w:pPr>
              <w:jc w:val="center"/>
              <w:rPr>
                <w:color w:val="000000" w:themeColor="text1"/>
                <w:lang w:val="es-CR" w:eastAsia="es-CR"/>
              </w:rPr>
            </w:pPr>
          </w:p>
        </w:tc>
        <w:tc>
          <w:tcPr>
            <w:tcW w:w="687" w:type="pct"/>
            <w:shd w:val="clear" w:color="auto" w:fill="auto"/>
          </w:tcPr>
          <w:p w14:paraId="4FE3CAF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66985491" w14:textId="77777777" w:rsidTr="00AF369B">
        <w:trPr>
          <w:trHeight w:val="528"/>
          <w:jc w:val="center"/>
        </w:trPr>
        <w:tc>
          <w:tcPr>
            <w:tcW w:w="431" w:type="pct"/>
            <w:vMerge w:val="restart"/>
            <w:shd w:val="clear" w:color="auto" w:fill="auto"/>
            <w:vAlign w:val="center"/>
          </w:tcPr>
          <w:p w14:paraId="020BF30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Mayo</w:t>
            </w:r>
          </w:p>
        </w:tc>
        <w:tc>
          <w:tcPr>
            <w:tcW w:w="4569" w:type="pct"/>
            <w:gridSpan w:val="4"/>
            <w:shd w:val="clear" w:color="auto" w:fill="C0504D" w:themeFill="accent2"/>
          </w:tcPr>
          <w:p w14:paraId="1F781B5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Presentación 1073-PLA-EV-TR-2021, Indicadores de abril 2021:</w:t>
            </w:r>
          </w:p>
          <w:p w14:paraId="5DBE3F89" w14:textId="77777777" w:rsidR="00CF7396" w:rsidRPr="00CF7396" w:rsidRDefault="00CF7396" w:rsidP="00CF7396">
            <w:pPr>
              <w:jc w:val="center"/>
              <w:rPr>
                <w:color w:val="000000" w:themeColor="text1"/>
                <w:lang w:val="es-CR" w:eastAsia="es-CR"/>
              </w:rPr>
            </w:pPr>
          </w:p>
        </w:tc>
      </w:tr>
      <w:tr w:rsidR="00CF7396" w:rsidRPr="00CF7396" w14:paraId="02055A4B" w14:textId="77777777" w:rsidTr="00AF369B">
        <w:trPr>
          <w:trHeight w:val="1004"/>
          <w:jc w:val="center"/>
        </w:trPr>
        <w:tc>
          <w:tcPr>
            <w:tcW w:w="431" w:type="pct"/>
            <w:vMerge/>
            <w:shd w:val="clear" w:color="auto" w:fill="auto"/>
            <w:vAlign w:val="center"/>
          </w:tcPr>
          <w:p w14:paraId="7CF12ACB" w14:textId="77777777" w:rsidR="00CF7396" w:rsidRPr="00CF7396" w:rsidRDefault="00CF7396" w:rsidP="00CF7396">
            <w:pPr>
              <w:jc w:val="center"/>
              <w:rPr>
                <w:color w:val="000000" w:themeColor="text1"/>
                <w:lang w:val="es-CR" w:eastAsia="es-CR"/>
              </w:rPr>
            </w:pPr>
          </w:p>
        </w:tc>
        <w:tc>
          <w:tcPr>
            <w:tcW w:w="2411" w:type="pct"/>
            <w:shd w:val="clear" w:color="auto" w:fill="auto"/>
          </w:tcPr>
          <w:p w14:paraId="4B03B212" w14:textId="77777777" w:rsidR="00CF7396" w:rsidRPr="00CF7396" w:rsidRDefault="00CF7396" w:rsidP="00CF7396">
            <w:pPr>
              <w:jc w:val="both"/>
              <w:rPr>
                <w:color w:val="000000" w:themeColor="text1"/>
                <w:lang w:val="es-CR" w:eastAsia="es-CR"/>
              </w:rPr>
            </w:pPr>
          </w:p>
          <w:p w14:paraId="67D32DFC" w14:textId="77777777" w:rsidR="00CF7396" w:rsidRPr="00CF7396" w:rsidRDefault="00CF7396" w:rsidP="00CF7396">
            <w:pPr>
              <w:numPr>
                <w:ilvl w:val="0"/>
                <w:numId w:val="51"/>
              </w:numPr>
              <w:ind w:left="236" w:hanging="284"/>
              <w:jc w:val="both"/>
              <w:rPr>
                <w:i/>
                <w:iCs/>
                <w:color w:val="000000" w:themeColor="text1"/>
                <w:lang w:val="es-CR" w:eastAsia="es-CR"/>
              </w:rPr>
            </w:pPr>
            <w:r w:rsidRPr="00CF7396">
              <w:rPr>
                <w:i/>
                <w:iCs/>
                <w:color w:val="000000" w:themeColor="text1"/>
                <w:lang w:val="es-CR" w:eastAsia="es-CR"/>
              </w:rPr>
              <w:t>Solicitar al Juzgado Agrario de Limón, realizar lo más pronto posible el refrescamiento de la capacitación del Modelo de Sostenibilidad con la Profesional de Planificación destacada en el Circuito y cumplir con los plazos establecidos de entrega y corrección.</w:t>
            </w:r>
          </w:p>
          <w:p w14:paraId="2B980765" w14:textId="77777777" w:rsidR="00CF7396" w:rsidRPr="00CF7396" w:rsidRDefault="00CF7396" w:rsidP="00CF7396">
            <w:pPr>
              <w:jc w:val="both"/>
              <w:rPr>
                <w:color w:val="000000" w:themeColor="text1"/>
                <w:lang w:val="es-CR" w:eastAsia="es-CR"/>
              </w:rPr>
            </w:pPr>
          </w:p>
        </w:tc>
        <w:tc>
          <w:tcPr>
            <w:tcW w:w="427" w:type="pct"/>
            <w:vMerge w:val="restart"/>
            <w:shd w:val="clear" w:color="auto" w:fill="auto"/>
            <w:vAlign w:val="center"/>
          </w:tcPr>
          <w:p w14:paraId="0260884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Acta 12-2021 del 27 de mayo del 2021, artículo I.</w:t>
            </w:r>
          </w:p>
        </w:tc>
        <w:tc>
          <w:tcPr>
            <w:tcW w:w="1044" w:type="pct"/>
            <w:shd w:val="clear" w:color="auto" w:fill="auto"/>
            <w:vAlign w:val="center"/>
          </w:tcPr>
          <w:p w14:paraId="4C58FCC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Aprobada</w:t>
            </w:r>
          </w:p>
        </w:tc>
        <w:tc>
          <w:tcPr>
            <w:tcW w:w="687" w:type="pct"/>
            <w:shd w:val="clear" w:color="auto" w:fill="auto"/>
            <w:vAlign w:val="center"/>
          </w:tcPr>
          <w:p w14:paraId="0CE6819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104C3F23" w14:textId="77777777" w:rsidTr="00AF369B">
        <w:trPr>
          <w:trHeight w:val="1334"/>
          <w:jc w:val="center"/>
        </w:trPr>
        <w:tc>
          <w:tcPr>
            <w:tcW w:w="431" w:type="pct"/>
            <w:vMerge/>
            <w:shd w:val="clear" w:color="auto" w:fill="auto"/>
            <w:vAlign w:val="center"/>
          </w:tcPr>
          <w:p w14:paraId="22658EB8" w14:textId="77777777" w:rsidR="00CF7396" w:rsidRPr="00CF7396" w:rsidRDefault="00CF7396" w:rsidP="00CF7396">
            <w:pPr>
              <w:jc w:val="center"/>
              <w:rPr>
                <w:color w:val="000000" w:themeColor="text1"/>
                <w:lang w:val="es-CR" w:eastAsia="es-CR"/>
              </w:rPr>
            </w:pPr>
          </w:p>
        </w:tc>
        <w:tc>
          <w:tcPr>
            <w:tcW w:w="2411" w:type="pct"/>
            <w:shd w:val="clear" w:color="auto" w:fill="auto"/>
          </w:tcPr>
          <w:p w14:paraId="2D20E76A" w14:textId="77777777" w:rsidR="00CF7396" w:rsidRPr="00CF7396" w:rsidRDefault="00CF7396" w:rsidP="00CF7396">
            <w:pPr>
              <w:numPr>
                <w:ilvl w:val="0"/>
                <w:numId w:val="51"/>
              </w:numPr>
              <w:ind w:left="236" w:hanging="284"/>
              <w:jc w:val="both"/>
              <w:rPr>
                <w:i/>
                <w:iCs/>
                <w:color w:val="000000" w:themeColor="text1"/>
                <w:lang w:val="es-CR" w:eastAsia="es-CR"/>
              </w:rPr>
            </w:pPr>
            <w:r w:rsidRPr="00CF7396">
              <w:rPr>
                <w:i/>
                <w:iCs/>
                <w:color w:val="000000" w:themeColor="text1"/>
                <w:lang w:val="es-CR" w:eastAsia="es-CR"/>
              </w:rPr>
              <w:t xml:space="preserve">Instar al personal técnico del Juzgado de Trabajo de Limón en continuar con los rendimientos en sus cuotas de trabajo, conforme se ha reflejado en los últimos meses en dónde se evidencia el cumplimiento de la cuota mínima por la gran mayoría del personal, por lo que el personal juzgador seguirá reforzando con los seguimientos semanales que actualmente se encuentran efectuando. </w:t>
            </w:r>
          </w:p>
          <w:p w14:paraId="625A8B52" w14:textId="77777777" w:rsidR="00CF7396" w:rsidRPr="00CF7396" w:rsidRDefault="00CF7396" w:rsidP="00CF7396">
            <w:pPr>
              <w:ind w:left="236"/>
              <w:jc w:val="both"/>
              <w:rPr>
                <w:color w:val="000000" w:themeColor="text1"/>
                <w:lang w:val="es-CR" w:eastAsia="es-CR"/>
              </w:rPr>
            </w:pPr>
          </w:p>
        </w:tc>
        <w:tc>
          <w:tcPr>
            <w:tcW w:w="427" w:type="pct"/>
            <w:vMerge/>
            <w:shd w:val="clear" w:color="auto" w:fill="auto"/>
            <w:vAlign w:val="center"/>
          </w:tcPr>
          <w:p w14:paraId="469FC35F"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7A16F3A4" w14:textId="77777777" w:rsidR="00CF7396" w:rsidRPr="00CF7396" w:rsidRDefault="00CF7396" w:rsidP="00CF7396">
            <w:pPr>
              <w:jc w:val="both"/>
              <w:rPr>
                <w:i/>
                <w:iCs/>
                <w:color w:val="000000" w:themeColor="text1"/>
                <w:lang w:val="es-CR" w:eastAsia="es-CR"/>
              </w:rPr>
            </w:pPr>
            <w:r w:rsidRPr="00CF7396">
              <w:rPr>
                <w:i/>
                <w:iCs/>
                <w:color w:val="000000" w:themeColor="text1"/>
                <w:lang w:val="es-CR"/>
              </w:rPr>
              <w:t xml:space="preserve">“(…) </w:t>
            </w:r>
            <w:r w:rsidRPr="00CF7396">
              <w:rPr>
                <w:b/>
                <w:bCs/>
                <w:i/>
                <w:iCs/>
                <w:color w:val="000000" w:themeColor="text1"/>
                <w:lang w:val="es-CR"/>
              </w:rPr>
              <w:t>2.)</w:t>
            </w:r>
            <w:r w:rsidRPr="00CF7396">
              <w:rPr>
                <w:i/>
                <w:iCs/>
                <w:color w:val="000000" w:themeColor="text1"/>
                <w:lang w:val="es-CR"/>
              </w:rPr>
              <w:t xml:space="preserve"> Se aprueba la recomendación N°2 dirigida al personal técnico del Juzgado de Trabajo y en caso de surjan situaciones que les impida el cumplimiento de la cuota mínima, establecerlo en las justificaciones de la minuta”.</w:t>
            </w:r>
          </w:p>
        </w:tc>
        <w:tc>
          <w:tcPr>
            <w:tcW w:w="687" w:type="pct"/>
            <w:shd w:val="clear" w:color="auto" w:fill="auto"/>
          </w:tcPr>
          <w:p w14:paraId="5D8DDC8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p w14:paraId="2651198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parcialmente, al respecto se amplió en el punto 4.2.2 en lo concerniente al Juzgado de Trabajo de Limón.</w:t>
            </w:r>
          </w:p>
        </w:tc>
      </w:tr>
      <w:tr w:rsidR="00CF7396" w:rsidRPr="00CF7396" w14:paraId="045A12DE" w14:textId="77777777" w:rsidTr="00AF369B">
        <w:trPr>
          <w:trHeight w:val="1993"/>
          <w:jc w:val="center"/>
        </w:trPr>
        <w:tc>
          <w:tcPr>
            <w:tcW w:w="431" w:type="pct"/>
            <w:vMerge/>
            <w:shd w:val="clear" w:color="auto" w:fill="auto"/>
            <w:vAlign w:val="center"/>
          </w:tcPr>
          <w:p w14:paraId="581EC9F3" w14:textId="77777777" w:rsidR="00CF7396" w:rsidRPr="00CF7396" w:rsidRDefault="00CF7396" w:rsidP="00CF7396">
            <w:pPr>
              <w:jc w:val="center"/>
              <w:rPr>
                <w:color w:val="000000" w:themeColor="text1"/>
                <w:lang w:val="es-CR" w:eastAsia="es-CR"/>
              </w:rPr>
            </w:pPr>
          </w:p>
        </w:tc>
        <w:tc>
          <w:tcPr>
            <w:tcW w:w="2411" w:type="pct"/>
            <w:shd w:val="clear" w:color="auto" w:fill="auto"/>
          </w:tcPr>
          <w:p w14:paraId="30365DDF" w14:textId="77777777" w:rsidR="00CF7396" w:rsidRPr="00CF7396" w:rsidRDefault="00CF7396" w:rsidP="00CF7396">
            <w:pPr>
              <w:numPr>
                <w:ilvl w:val="0"/>
                <w:numId w:val="51"/>
              </w:numPr>
              <w:ind w:left="236" w:hanging="284"/>
              <w:jc w:val="both"/>
              <w:rPr>
                <w:i/>
                <w:iCs/>
                <w:color w:val="000000" w:themeColor="text1"/>
                <w:lang w:val="es-CR" w:eastAsia="es-CR"/>
              </w:rPr>
            </w:pPr>
            <w:r w:rsidRPr="00CF7396">
              <w:rPr>
                <w:i/>
                <w:iCs/>
                <w:color w:val="000000" w:themeColor="text1"/>
                <w:lang w:val="es-CR" w:eastAsia="es-CR"/>
              </w:rPr>
              <w:t xml:space="preserve">Instar al personal juzgador del Tribunal Penal de Limón, en continuar con el cumplimiento de sus cuotas de trabajo, como se evidencia la mejoría para abril; y aplicar el debido procedimiento para el completado de minutas y planes remediales, conforme las recomendaciones brindadas por la Profesional de Planificación en las realimentaciones mensuales. Adicionalmente, se le solicita realizar las acciones necesarias para aumentar el porcentaje de efectividad de las audiencias, reduciendo posibles errores del personal subalterno que afecten el proceso desde el señalamiento. Adicionalmente, deberá mejorar la selección de expedientes que se pasarán a la Sección de Flagrancia para incrementar la efectividad </w:t>
            </w:r>
            <w:proofErr w:type="gramStart"/>
            <w:r w:rsidRPr="00CF7396">
              <w:rPr>
                <w:i/>
                <w:iCs/>
                <w:color w:val="000000" w:themeColor="text1"/>
                <w:lang w:val="es-CR" w:eastAsia="es-CR"/>
              </w:rPr>
              <w:t>de los señalamiento</w:t>
            </w:r>
            <w:proofErr w:type="gramEnd"/>
            <w:r w:rsidRPr="00CF7396">
              <w:rPr>
                <w:i/>
                <w:iCs/>
                <w:color w:val="000000" w:themeColor="text1"/>
                <w:lang w:val="es-CR" w:eastAsia="es-CR"/>
              </w:rPr>
              <w:t>.</w:t>
            </w:r>
          </w:p>
          <w:p w14:paraId="30BC11C0" w14:textId="77777777" w:rsidR="00CF7396" w:rsidRPr="00CF7396" w:rsidRDefault="00CF7396" w:rsidP="00CF7396">
            <w:pPr>
              <w:ind w:left="236"/>
              <w:jc w:val="both"/>
              <w:rPr>
                <w:color w:val="000000" w:themeColor="text1"/>
                <w:lang w:val="es-CR" w:eastAsia="es-CR"/>
              </w:rPr>
            </w:pPr>
          </w:p>
        </w:tc>
        <w:tc>
          <w:tcPr>
            <w:tcW w:w="427" w:type="pct"/>
            <w:vMerge/>
            <w:shd w:val="clear" w:color="auto" w:fill="auto"/>
            <w:vAlign w:val="center"/>
          </w:tcPr>
          <w:p w14:paraId="3A01AF25" w14:textId="77777777" w:rsidR="00CF7396" w:rsidRPr="00CF7396" w:rsidRDefault="00CF7396" w:rsidP="00CF7396">
            <w:pPr>
              <w:jc w:val="center"/>
              <w:rPr>
                <w:color w:val="000000" w:themeColor="text1"/>
                <w:lang w:val="es-CR" w:eastAsia="es-CR"/>
              </w:rPr>
            </w:pPr>
          </w:p>
        </w:tc>
        <w:tc>
          <w:tcPr>
            <w:tcW w:w="1044" w:type="pct"/>
            <w:vMerge w:val="restart"/>
            <w:shd w:val="clear" w:color="auto" w:fill="auto"/>
            <w:vAlign w:val="center"/>
          </w:tcPr>
          <w:p w14:paraId="6DA8E15A" w14:textId="77777777" w:rsidR="00CF7396" w:rsidRPr="00CF7396" w:rsidRDefault="00CF7396" w:rsidP="00CF7396">
            <w:pPr>
              <w:jc w:val="both"/>
              <w:rPr>
                <w:color w:val="000000" w:themeColor="text1"/>
                <w:lang w:val="es-CR" w:eastAsia="es-CR"/>
              </w:rPr>
            </w:pPr>
            <w:r w:rsidRPr="00CF7396">
              <w:rPr>
                <w:i/>
                <w:iCs/>
                <w:color w:val="000000" w:themeColor="text1"/>
                <w:lang w:val="es-CR"/>
              </w:rPr>
              <w:t>3.) En relación con las recomendaciones 3 y 4 dirigidas al Tribunal Penal y Tribunal de Flagrancia, debido a que no se tiene claro cuáles fueron las recomendaciones dirigidas al despacho por parte de la Profesional de Planificación, solicitar a dicha profesional que informe al Consejo de Administración cuales fueron las recomendaciones brindadas, para proceder con la consulta a la oficinas involucradas y poder tomar como Consejo una decisión al respecto, para lo cual se le otorga un plazo de 5 días hábiles.</w:t>
            </w:r>
            <w:r w:rsidRPr="00CF7396">
              <w:rPr>
                <w:color w:val="000000" w:themeColor="text1"/>
                <w:lang w:val="es-CR"/>
              </w:rPr>
              <w:t xml:space="preserve">  </w:t>
            </w:r>
          </w:p>
        </w:tc>
        <w:tc>
          <w:tcPr>
            <w:tcW w:w="687" w:type="pct"/>
            <w:vMerge w:val="restart"/>
            <w:shd w:val="clear" w:color="auto" w:fill="auto"/>
            <w:vAlign w:val="center"/>
          </w:tcPr>
          <w:p w14:paraId="02DA1B6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 (se envió aclaración mediante oficio 1431-PLA-EV-TR-2021)</w:t>
            </w:r>
          </w:p>
        </w:tc>
      </w:tr>
      <w:tr w:rsidR="00CF7396" w:rsidRPr="00CF7396" w14:paraId="493B1407" w14:textId="77777777" w:rsidTr="00AF369B">
        <w:trPr>
          <w:trHeight w:val="1938"/>
          <w:jc w:val="center"/>
        </w:trPr>
        <w:tc>
          <w:tcPr>
            <w:tcW w:w="431" w:type="pct"/>
            <w:vMerge/>
            <w:shd w:val="clear" w:color="auto" w:fill="auto"/>
            <w:vAlign w:val="center"/>
          </w:tcPr>
          <w:p w14:paraId="0E9276F7" w14:textId="77777777" w:rsidR="00CF7396" w:rsidRPr="00CF7396" w:rsidRDefault="00CF7396" w:rsidP="00CF7396">
            <w:pPr>
              <w:jc w:val="center"/>
              <w:rPr>
                <w:color w:val="000000" w:themeColor="text1"/>
                <w:lang w:val="es-CR" w:eastAsia="es-CR"/>
              </w:rPr>
            </w:pPr>
          </w:p>
        </w:tc>
        <w:tc>
          <w:tcPr>
            <w:tcW w:w="2411" w:type="pct"/>
            <w:shd w:val="clear" w:color="auto" w:fill="auto"/>
          </w:tcPr>
          <w:p w14:paraId="23EAA190" w14:textId="77777777" w:rsidR="00CF7396" w:rsidRPr="00CF7396" w:rsidRDefault="00CF7396" w:rsidP="00CF7396">
            <w:pPr>
              <w:numPr>
                <w:ilvl w:val="0"/>
                <w:numId w:val="51"/>
              </w:numPr>
              <w:ind w:left="236" w:hanging="284"/>
              <w:jc w:val="both"/>
              <w:rPr>
                <w:i/>
                <w:iCs/>
                <w:color w:val="000000" w:themeColor="text1"/>
                <w:lang w:val="es-CR" w:eastAsia="es-CR"/>
              </w:rPr>
            </w:pPr>
            <w:r w:rsidRPr="00CF7396">
              <w:rPr>
                <w:i/>
                <w:iCs/>
                <w:color w:val="000000" w:themeColor="text1"/>
                <w:lang w:val="es-CR" w:eastAsia="es-CR"/>
              </w:rPr>
              <w:t>Al Tribunal de Flagrancia de Limón, cumplir con la cuota establecida de las colaboraciones que se brindan al Tribunal Ordinario de 20 asuntos mensuales, los cuales se revisan de manera mensual por el Equipo de Mejora de Procesos de la Sección de Flagrancia de Limón; lo anterior de conformidad con el acuerdo tomado por el Consejo Superior en sesión 120-2020 del 17 de diciembre del 2020, artículo LXXIV. Asimismo, cumplir con el debido procedimiento para el completado de minutas y planes remediales, conforme las recomendaciones brindadas por la Profesional de Planificación en las realimentaciones mensuales.</w:t>
            </w:r>
          </w:p>
          <w:p w14:paraId="7B44D29C" w14:textId="77777777" w:rsidR="00CF7396" w:rsidRPr="00CF7396" w:rsidRDefault="00CF7396" w:rsidP="00CF7396">
            <w:pPr>
              <w:ind w:left="236"/>
              <w:jc w:val="both"/>
              <w:rPr>
                <w:color w:val="000000" w:themeColor="text1"/>
                <w:lang w:val="es-CR" w:eastAsia="es-CR"/>
              </w:rPr>
            </w:pPr>
          </w:p>
        </w:tc>
        <w:tc>
          <w:tcPr>
            <w:tcW w:w="427" w:type="pct"/>
            <w:vMerge/>
            <w:shd w:val="clear" w:color="auto" w:fill="auto"/>
            <w:vAlign w:val="center"/>
          </w:tcPr>
          <w:p w14:paraId="1A50A332" w14:textId="77777777" w:rsidR="00CF7396" w:rsidRPr="00CF7396" w:rsidRDefault="00CF7396" w:rsidP="00CF7396">
            <w:pPr>
              <w:jc w:val="center"/>
              <w:rPr>
                <w:color w:val="000000" w:themeColor="text1"/>
                <w:lang w:val="es-CR" w:eastAsia="es-CR"/>
              </w:rPr>
            </w:pPr>
          </w:p>
        </w:tc>
        <w:tc>
          <w:tcPr>
            <w:tcW w:w="1044" w:type="pct"/>
            <w:vMerge/>
            <w:shd w:val="clear" w:color="auto" w:fill="auto"/>
            <w:vAlign w:val="center"/>
          </w:tcPr>
          <w:p w14:paraId="2291826B" w14:textId="77777777" w:rsidR="00CF7396" w:rsidRPr="00CF7396" w:rsidRDefault="00CF7396" w:rsidP="00CF7396">
            <w:pPr>
              <w:jc w:val="center"/>
              <w:rPr>
                <w:color w:val="000000" w:themeColor="text1"/>
                <w:lang w:val="es-CR" w:eastAsia="es-CR"/>
              </w:rPr>
            </w:pPr>
          </w:p>
        </w:tc>
        <w:tc>
          <w:tcPr>
            <w:tcW w:w="687" w:type="pct"/>
            <w:vMerge/>
            <w:shd w:val="clear" w:color="auto" w:fill="auto"/>
          </w:tcPr>
          <w:p w14:paraId="434500C3" w14:textId="77777777" w:rsidR="00CF7396" w:rsidRPr="00CF7396" w:rsidRDefault="00CF7396" w:rsidP="00CF7396">
            <w:pPr>
              <w:jc w:val="center"/>
              <w:rPr>
                <w:color w:val="000000" w:themeColor="text1"/>
                <w:lang w:val="es-CR" w:eastAsia="es-CR"/>
              </w:rPr>
            </w:pPr>
          </w:p>
        </w:tc>
      </w:tr>
      <w:tr w:rsidR="00CF7396" w:rsidRPr="00CF7396" w14:paraId="194767AB" w14:textId="77777777" w:rsidTr="00AF369B">
        <w:trPr>
          <w:trHeight w:val="1967"/>
          <w:jc w:val="center"/>
        </w:trPr>
        <w:tc>
          <w:tcPr>
            <w:tcW w:w="431" w:type="pct"/>
            <w:vMerge/>
            <w:shd w:val="clear" w:color="auto" w:fill="auto"/>
            <w:vAlign w:val="center"/>
          </w:tcPr>
          <w:p w14:paraId="7A7C2C8D" w14:textId="77777777" w:rsidR="00CF7396" w:rsidRPr="00CF7396" w:rsidRDefault="00CF7396" w:rsidP="00CF7396">
            <w:pPr>
              <w:jc w:val="center"/>
              <w:rPr>
                <w:color w:val="000000" w:themeColor="text1"/>
                <w:lang w:val="es-CR" w:eastAsia="es-CR"/>
              </w:rPr>
            </w:pPr>
          </w:p>
        </w:tc>
        <w:tc>
          <w:tcPr>
            <w:tcW w:w="2411" w:type="pct"/>
            <w:shd w:val="clear" w:color="auto" w:fill="auto"/>
          </w:tcPr>
          <w:p w14:paraId="08C61F87" w14:textId="77777777" w:rsidR="00CF7396" w:rsidRPr="00CF7396" w:rsidRDefault="00CF7396" w:rsidP="00CF7396">
            <w:pPr>
              <w:numPr>
                <w:ilvl w:val="0"/>
                <w:numId w:val="51"/>
              </w:numPr>
              <w:ind w:left="236" w:hanging="284"/>
              <w:jc w:val="both"/>
              <w:rPr>
                <w:i/>
                <w:iCs/>
                <w:color w:val="000000" w:themeColor="text1"/>
                <w:lang w:val="es-CR" w:eastAsia="es-CR"/>
              </w:rPr>
            </w:pPr>
            <w:r w:rsidRPr="00CF7396">
              <w:rPr>
                <w:i/>
                <w:iCs/>
                <w:color w:val="000000" w:themeColor="text1"/>
                <w:lang w:val="es-CR" w:eastAsia="es-CR"/>
              </w:rPr>
              <w:t>La Fiscalía Adjunta de Limón, deberá cumplir con el acuerdo tomado por el Consejo Superior en sesión 120-2020 del 17 de diciembre del 2020, artículo LXXIV, referente a dar seguimiento a la circular 25-ADM-19 sobre el tamizaje de las causas que son ingresadas por la vía de Flagrancia, poniendo énfasis especial en la medición de la entrada de delitos de incumplimiento de las medidas de protección, conducción temeraria, portación ilícita de armas y desobediencia a la autoridad, los cuales son delitos típicos de flagrancia, de forma que se logre incrementar la carga de trabajo en que ingresa al Tribunal de Flagrancia de Limón.</w:t>
            </w:r>
          </w:p>
          <w:p w14:paraId="33B42CB9" w14:textId="77777777" w:rsidR="00CF7396" w:rsidRPr="00CF7396" w:rsidRDefault="00CF7396" w:rsidP="00CF7396">
            <w:pPr>
              <w:ind w:left="236"/>
              <w:jc w:val="both"/>
              <w:rPr>
                <w:color w:val="000000" w:themeColor="text1"/>
                <w:lang w:val="es-CR" w:eastAsia="es-CR"/>
              </w:rPr>
            </w:pPr>
          </w:p>
        </w:tc>
        <w:tc>
          <w:tcPr>
            <w:tcW w:w="427" w:type="pct"/>
            <w:vMerge/>
            <w:shd w:val="clear" w:color="auto" w:fill="auto"/>
            <w:vAlign w:val="center"/>
          </w:tcPr>
          <w:p w14:paraId="22249544" w14:textId="77777777" w:rsidR="00CF7396" w:rsidRPr="00CF7396" w:rsidRDefault="00CF7396" w:rsidP="00CF7396">
            <w:pPr>
              <w:jc w:val="center"/>
              <w:rPr>
                <w:color w:val="000000" w:themeColor="text1"/>
                <w:lang w:val="es-CR" w:eastAsia="es-CR"/>
              </w:rPr>
            </w:pPr>
          </w:p>
        </w:tc>
        <w:tc>
          <w:tcPr>
            <w:tcW w:w="1044" w:type="pct"/>
            <w:shd w:val="clear" w:color="auto" w:fill="auto"/>
          </w:tcPr>
          <w:p w14:paraId="707F264B" w14:textId="77777777" w:rsidR="00CF7396" w:rsidRPr="00CF7396" w:rsidRDefault="00CF7396" w:rsidP="00CF7396">
            <w:pPr>
              <w:jc w:val="both"/>
              <w:rPr>
                <w:color w:val="000000" w:themeColor="text1"/>
                <w:lang w:val="es-CR" w:eastAsia="es-CR"/>
              </w:rPr>
            </w:pPr>
            <w:r w:rsidRPr="00CF7396">
              <w:rPr>
                <w:i/>
                <w:iCs/>
                <w:color w:val="000000" w:themeColor="text1"/>
                <w:lang w:val="es-CR"/>
              </w:rPr>
              <w:t>4.) Respecto a la recomendación N°5 dirigida a la Fiscalía de Limón, ponerla en conocimiento de dicha oficina para que se pronuncie sobre lo indicado y tomar una decisión al respecto por parte de este Consejo. para lo cual se le otorga un plazo de 10 días hábiles.</w:t>
            </w:r>
          </w:p>
        </w:tc>
        <w:tc>
          <w:tcPr>
            <w:tcW w:w="687" w:type="pct"/>
            <w:shd w:val="clear" w:color="auto" w:fill="auto"/>
          </w:tcPr>
          <w:p w14:paraId="58ED0E3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3876A029" w14:textId="77777777" w:rsidTr="00AF369B">
        <w:trPr>
          <w:trHeight w:val="1144"/>
          <w:jc w:val="center"/>
        </w:trPr>
        <w:tc>
          <w:tcPr>
            <w:tcW w:w="431" w:type="pct"/>
            <w:vMerge/>
            <w:shd w:val="clear" w:color="auto" w:fill="auto"/>
            <w:vAlign w:val="center"/>
          </w:tcPr>
          <w:p w14:paraId="6360BF1F" w14:textId="77777777" w:rsidR="00CF7396" w:rsidRPr="00CF7396" w:rsidRDefault="00CF7396" w:rsidP="00CF7396">
            <w:pPr>
              <w:jc w:val="center"/>
              <w:rPr>
                <w:color w:val="000000" w:themeColor="text1"/>
                <w:lang w:val="es-CR" w:eastAsia="es-CR"/>
              </w:rPr>
            </w:pPr>
          </w:p>
        </w:tc>
        <w:tc>
          <w:tcPr>
            <w:tcW w:w="2411" w:type="pct"/>
            <w:shd w:val="clear" w:color="auto" w:fill="auto"/>
          </w:tcPr>
          <w:p w14:paraId="1190E45A" w14:textId="77777777" w:rsidR="00CF7396" w:rsidRPr="00CF7396" w:rsidRDefault="00CF7396" w:rsidP="00CF7396">
            <w:pPr>
              <w:numPr>
                <w:ilvl w:val="0"/>
                <w:numId w:val="51"/>
              </w:numPr>
              <w:ind w:left="236" w:hanging="284"/>
              <w:jc w:val="both"/>
              <w:rPr>
                <w:i/>
                <w:iCs/>
                <w:color w:val="000000" w:themeColor="text1"/>
                <w:lang w:val="es-CR" w:eastAsia="es-CR"/>
              </w:rPr>
            </w:pPr>
            <w:r w:rsidRPr="00CF7396">
              <w:rPr>
                <w:i/>
                <w:iCs/>
                <w:color w:val="000000" w:themeColor="text1"/>
                <w:lang w:val="es-CR" w:eastAsia="es-CR"/>
              </w:rPr>
              <w:t>Las jefaturas de los despachos del Circuito deberán instar al personal subalterno en realizar los cursos virtuales sobre “Derechos de la población afrodescendiente” y “Pueblos indígenas”, por cuanto el Circuito Judicial cuenta con la mayor cantidad de población usuaria afrodescendiente e indígena.</w:t>
            </w:r>
          </w:p>
          <w:p w14:paraId="7E950D3C" w14:textId="77777777" w:rsidR="00CF7396" w:rsidRPr="00CF7396" w:rsidRDefault="00CF7396" w:rsidP="00CF7396">
            <w:pPr>
              <w:jc w:val="center"/>
              <w:rPr>
                <w:color w:val="000000" w:themeColor="text1"/>
                <w:lang w:val="es-CR" w:eastAsia="es-CR"/>
              </w:rPr>
            </w:pPr>
            <w:r w:rsidRPr="00CF7396">
              <w:rPr>
                <w:noProof/>
                <w:color w:val="000000" w:themeColor="text1"/>
                <w:lang w:val="es-CR" w:eastAsia="es-CR"/>
              </w:rPr>
              <w:drawing>
                <wp:inline distT="0" distB="0" distL="0" distR="0" wp14:anchorId="2693F9B6" wp14:editId="15DF80BA">
                  <wp:extent cx="704850" cy="4572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4850" cy="457200"/>
                          </a:xfrm>
                          <a:prstGeom prst="rect">
                            <a:avLst/>
                          </a:prstGeom>
                          <a:noFill/>
                        </pic:spPr>
                      </pic:pic>
                    </a:graphicData>
                  </a:graphic>
                </wp:inline>
              </w:drawing>
            </w:r>
          </w:p>
        </w:tc>
        <w:tc>
          <w:tcPr>
            <w:tcW w:w="427" w:type="pct"/>
            <w:vMerge/>
            <w:shd w:val="clear" w:color="auto" w:fill="auto"/>
            <w:vAlign w:val="center"/>
          </w:tcPr>
          <w:p w14:paraId="3729AE02"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55055C44" w14:textId="77777777" w:rsidR="00CF7396" w:rsidRPr="00CF7396" w:rsidRDefault="00CF7396" w:rsidP="00CF7396">
            <w:pPr>
              <w:jc w:val="both"/>
              <w:rPr>
                <w:i/>
                <w:iCs/>
                <w:color w:val="000000" w:themeColor="text1"/>
                <w:lang w:val="es-CR"/>
              </w:rPr>
            </w:pPr>
            <w:r w:rsidRPr="00CF7396">
              <w:rPr>
                <w:i/>
                <w:iCs/>
                <w:color w:val="000000" w:themeColor="text1"/>
                <w:lang w:val="es-CR"/>
              </w:rPr>
              <w:t>5.) Respecto a la recomendación N°6 se aprueba la misma, se insta al personal judicial para que dentro de sus posibilidades de tiempo y disponibilidad de cursos realicen las capacitaciones que se indican”.</w:t>
            </w:r>
          </w:p>
        </w:tc>
        <w:tc>
          <w:tcPr>
            <w:tcW w:w="687" w:type="pct"/>
            <w:shd w:val="clear" w:color="auto" w:fill="auto"/>
          </w:tcPr>
          <w:p w14:paraId="49B178D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 el Consejo de Administración emitió la circular 08-2021.</w:t>
            </w:r>
          </w:p>
        </w:tc>
      </w:tr>
      <w:tr w:rsidR="00CF7396" w:rsidRPr="00CF7396" w14:paraId="1D42179F" w14:textId="77777777" w:rsidTr="00AF369B">
        <w:trPr>
          <w:trHeight w:val="439"/>
          <w:jc w:val="center"/>
        </w:trPr>
        <w:tc>
          <w:tcPr>
            <w:tcW w:w="431" w:type="pct"/>
            <w:vMerge w:val="restart"/>
            <w:shd w:val="clear" w:color="auto" w:fill="auto"/>
            <w:vAlign w:val="center"/>
          </w:tcPr>
          <w:p w14:paraId="39EB119F"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Junio</w:t>
            </w:r>
          </w:p>
        </w:tc>
        <w:tc>
          <w:tcPr>
            <w:tcW w:w="4569" w:type="pct"/>
            <w:gridSpan w:val="4"/>
            <w:shd w:val="clear" w:color="auto" w:fill="C0504D" w:themeFill="accent2"/>
          </w:tcPr>
          <w:p w14:paraId="0A0FDA9B"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Presentación 1968-PLA-EV-TR-2021, Indicadores de mayo 2021</w:t>
            </w:r>
          </w:p>
        </w:tc>
      </w:tr>
      <w:tr w:rsidR="00CF7396" w:rsidRPr="00CF7396" w14:paraId="53296B45" w14:textId="77777777" w:rsidTr="00AF369B">
        <w:trPr>
          <w:trHeight w:val="1267"/>
          <w:jc w:val="center"/>
        </w:trPr>
        <w:tc>
          <w:tcPr>
            <w:tcW w:w="431" w:type="pct"/>
            <w:vMerge/>
            <w:shd w:val="clear" w:color="auto" w:fill="auto"/>
            <w:vAlign w:val="center"/>
          </w:tcPr>
          <w:p w14:paraId="0B90E1CB" w14:textId="77777777" w:rsidR="00CF7396" w:rsidRPr="00CF7396" w:rsidRDefault="00CF7396" w:rsidP="00CF7396">
            <w:pPr>
              <w:jc w:val="center"/>
              <w:rPr>
                <w:color w:val="000000" w:themeColor="text1"/>
                <w:lang w:val="es-CR" w:eastAsia="es-CR"/>
              </w:rPr>
            </w:pPr>
          </w:p>
        </w:tc>
        <w:tc>
          <w:tcPr>
            <w:tcW w:w="2411" w:type="pct"/>
            <w:shd w:val="clear" w:color="auto" w:fill="auto"/>
          </w:tcPr>
          <w:p w14:paraId="5032D09B" w14:textId="77777777" w:rsidR="00CF7396" w:rsidRPr="00CF7396" w:rsidRDefault="00CF7396" w:rsidP="00CF7396">
            <w:pPr>
              <w:numPr>
                <w:ilvl w:val="0"/>
                <w:numId w:val="52"/>
              </w:numPr>
              <w:autoSpaceDN w:val="0"/>
              <w:ind w:left="70" w:hanging="70"/>
              <w:rPr>
                <w:b/>
                <w:bCs/>
                <w:i/>
                <w:iCs/>
                <w:color w:val="000000" w:themeColor="text1"/>
                <w:lang w:val="es-CR" w:eastAsia="zh-CN"/>
              </w:rPr>
            </w:pPr>
            <w:r w:rsidRPr="00CF7396">
              <w:rPr>
                <w:b/>
                <w:bCs/>
                <w:i/>
                <w:iCs/>
                <w:color w:val="000000" w:themeColor="text1"/>
                <w:lang w:val="es-CR"/>
              </w:rPr>
              <w:t xml:space="preserve">“Juzgado de Cobro: </w:t>
            </w:r>
          </w:p>
          <w:p w14:paraId="4879BC6D" w14:textId="77777777" w:rsidR="00CF7396" w:rsidRPr="00CF7396" w:rsidRDefault="00CF7396" w:rsidP="00CF7396">
            <w:pPr>
              <w:ind w:left="70" w:hanging="70"/>
              <w:rPr>
                <w:rFonts w:eastAsia="Calibri"/>
                <w:i/>
                <w:iCs/>
                <w:color w:val="000000" w:themeColor="text1"/>
                <w:lang w:val="es-CR"/>
              </w:rPr>
            </w:pPr>
          </w:p>
          <w:p w14:paraId="013E6D94" w14:textId="77777777" w:rsidR="00CF7396" w:rsidRPr="00CF7396" w:rsidRDefault="00CF7396" w:rsidP="00CF7396">
            <w:pPr>
              <w:ind w:left="70" w:hanging="70"/>
              <w:jc w:val="both"/>
              <w:rPr>
                <w:i/>
                <w:iCs/>
                <w:color w:val="000000" w:themeColor="text1"/>
                <w:lang w:val="es-CR"/>
              </w:rPr>
            </w:pPr>
            <w:r w:rsidRPr="00CF7396">
              <w:rPr>
                <w:i/>
                <w:iCs/>
                <w:color w:val="000000" w:themeColor="text1"/>
                <w:lang w:val="es-CR"/>
              </w:rPr>
              <w:t>Recordar al Juez 1 firmar por orden de antigüedad y de mantener los sistemas actualizados.</w:t>
            </w:r>
          </w:p>
          <w:p w14:paraId="52FE8149" w14:textId="77777777" w:rsidR="00CF7396" w:rsidRPr="00CF7396" w:rsidRDefault="00CF7396" w:rsidP="00CF7396">
            <w:pPr>
              <w:rPr>
                <w:color w:val="000000" w:themeColor="text1"/>
                <w:lang w:val="es-CR" w:eastAsia="es-CR"/>
              </w:rPr>
            </w:pPr>
          </w:p>
        </w:tc>
        <w:tc>
          <w:tcPr>
            <w:tcW w:w="427" w:type="pct"/>
            <w:vMerge w:val="restart"/>
            <w:shd w:val="clear" w:color="auto" w:fill="auto"/>
            <w:vAlign w:val="center"/>
          </w:tcPr>
          <w:p w14:paraId="08B2A20B"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Acta 13-2021 del 24 de junio del 2021, artículo I.</w:t>
            </w:r>
          </w:p>
        </w:tc>
        <w:tc>
          <w:tcPr>
            <w:tcW w:w="1044" w:type="pct"/>
            <w:shd w:val="clear" w:color="auto" w:fill="auto"/>
            <w:vAlign w:val="center"/>
          </w:tcPr>
          <w:p w14:paraId="47FF3ABD" w14:textId="77777777" w:rsidR="00CF7396" w:rsidRPr="00CF7396" w:rsidRDefault="00CF7396" w:rsidP="00CF7396">
            <w:pPr>
              <w:jc w:val="both"/>
              <w:rPr>
                <w:i/>
                <w:iCs/>
                <w:color w:val="000000" w:themeColor="text1"/>
                <w:lang w:val="es-CR" w:eastAsia="es-CR"/>
              </w:rPr>
            </w:pPr>
            <w:r w:rsidRPr="00CF7396">
              <w:rPr>
                <w:b/>
                <w:bCs/>
                <w:i/>
                <w:iCs/>
                <w:color w:val="000000" w:themeColor="text1"/>
                <w:lang w:val="es-CR"/>
              </w:rPr>
              <w:t xml:space="preserve">“SE ACUERDA: 1) </w:t>
            </w:r>
            <w:r w:rsidRPr="00CF7396">
              <w:rPr>
                <w:i/>
                <w:iCs/>
                <w:color w:val="000000" w:themeColor="text1"/>
                <w:lang w:val="es-CR"/>
              </w:rPr>
              <w:t>Aprobar las recomendaciones dirigidas a los despachos 1 y 3, respecto a la recomendación al Juzgado de Cobro, se hace saber al juez 1 que debe firmar por antigüedad dando prioridad a los expedientes de abril y cumpliendo con las cuotas establecidas por el Modelo de Sostenibilidad y justificar en las minutas las situaciones que lo ameriten, de no cumplirse con lo indicado este Consejo se verá en la obligación de comunicar lo pertinente a las instancias correspondientes”.</w:t>
            </w:r>
          </w:p>
        </w:tc>
        <w:tc>
          <w:tcPr>
            <w:tcW w:w="687" w:type="pct"/>
            <w:shd w:val="clear" w:color="auto" w:fill="auto"/>
          </w:tcPr>
          <w:p w14:paraId="257D4E16"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Sin aplicar. Lo anterior fue elevado ante el Consejo Superior, tal como se hizo del conocimiento en el punto 4.2.</w:t>
            </w:r>
          </w:p>
        </w:tc>
      </w:tr>
      <w:tr w:rsidR="00CF7396" w:rsidRPr="00CF7396" w14:paraId="4DC0C505" w14:textId="77777777" w:rsidTr="00AF369B">
        <w:trPr>
          <w:trHeight w:val="1001"/>
          <w:jc w:val="center"/>
        </w:trPr>
        <w:tc>
          <w:tcPr>
            <w:tcW w:w="431" w:type="pct"/>
            <w:vMerge/>
            <w:shd w:val="clear" w:color="auto" w:fill="auto"/>
            <w:vAlign w:val="center"/>
          </w:tcPr>
          <w:p w14:paraId="770528A1" w14:textId="77777777" w:rsidR="00CF7396" w:rsidRPr="00CF7396" w:rsidRDefault="00CF7396" w:rsidP="00CF7396">
            <w:pPr>
              <w:jc w:val="center"/>
              <w:rPr>
                <w:color w:val="000000" w:themeColor="text1"/>
                <w:lang w:val="es-CR" w:eastAsia="es-CR"/>
              </w:rPr>
            </w:pPr>
          </w:p>
        </w:tc>
        <w:tc>
          <w:tcPr>
            <w:tcW w:w="2411" w:type="pct"/>
            <w:shd w:val="clear" w:color="auto" w:fill="auto"/>
          </w:tcPr>
          <w:p w14:paraId="1BF49E47" w14:textId="77777777" w:rsidR="00CF7396" w:rsidRPr="00CF7396" w:rsidRDefault="00CF7396" w:rsidP="00CF7396">
            <w:pPr>
              <w:numPr>
                <w:ilvl w:val="0"/>
                <w:numId w:val="52"/>
              </w:numPr>
              <w:autoSpaceDN w:val="0"/>
              <w:ind w:left="212" w:hanging="212"/>
              <w:rPr>
                <w:b/>
                <w:bCs/>
                <w:i/>
                <w:iCs/>
                <w:color w:val="000000" w:themeColor="text1"/>
                <w:lang w:val="es-CR"/>
              </w:rPr>
            </w:pPr>
            <w:r w:rsidRPr="00CF7396">
              <w:rPr>
                <w:b/>
                <w:bCs/>
                <w:i/>
                <w:iCs/>
                <w:color w:val="000000" w:themeColor="text1"/>
                <w:lang w:val="es-CR"/>
              </w:rPr>
              <w:t>“Juzgado Contravencional y de Menor Cuantía de Matina:</w:t>
            </w:r>
          </w:p>
          <w:p w14:paraId="1268D1F4" w14:textId="77777777" w:rsidR="00CF7396" w:rsidRPr="00CF7396" w:rsidRDefault="00CF7396" w:rsidP="00CF7396">
            <w:pPr>
              <w:ind w:left="212"/>
              <w:rPr>
                <w:rFonts w:eastAsia="Calibri"/>
                <w:i/>
                <w:iCs/>
                <w:color w:val="000000" w:themeColor="text1"/>
                <w:lang w:val="es-CR"/>
              </w:rPr>
            </w:pPr>
          </w:p>
          <w:p w14:paraId="5A4B2E0B" w14:textId="77777777" w:rsidR="00CF7396" w:rsidRPr="00CF7396" w:rsidRDefault="00CF7396" w:rsidP="00CF7396">
            <w:pPr>
              <w:jc w:val="both"/>
              <w:rPr>
                <w:i/>
                <w:iCs/>
                <w:color w:val="000000" w:themeColor="text1"/>
                <w:lang w:val="es-CR"/>
              </w:rPr>
            </w:pPr>
            <w:r w:rsidRPr="00CF7396">
              <w:rPr>
                <w:i/>
                <w:iCs/>
                <w:color w:val="000000" w:themeColor="text1"/>
                <w:lang w:val="es-CR"/>
              </w:rPr>
              <w:t>Deberá de coordinar con el Centro de Conciliación para trasladar expedientes a dicha oficina, especialmente en pensiones alimentarias, contravenciones y violencia doméstica.</w:t>
            </w:r>
          </w:p>
          <w:p w14:paraId="113242E0" w14:textId="77777777" w:rsidR="00CF7396" w:rsidRPr="00CF7396" w:rsidRDefault="00CF7396" w:rsidP="00CF7396">
            <w:pPr>
              <w:ind w:left="212" w:hanging="212"/>
              <w:jc w:val="both"/>
              <w:rPr>
                <w:i/>
                <w:iCs/>
                <w:color w:val="000000" w:themeColor="text1"/>
                <w:lang w:val="es-CR"/>
              </w:rPr>
            </w:pPr>
          </w:p>
          <w:p w14:paraId="503C4DE9" w14:textId="77777777" w:rsidR="00CF7396" w:rsidRPr="00CF7396" w:rsidRDefault="00CF7396" w:rsidP="00CF7396">
            <w:pPr>
              <w:jc w:val="both"/>
              <w:rPr>
                <w:i/>
                <w:iCs/>
                <w:color w:val="000000" w:themeColor="text1"/>
                <w:lang w:val="es-CR"/>
              </w:rPr>
            </w:pPr>
            <w:proofErr w:type="gramStart"/>
            <w:r w:rsidRPr="00CF7396">
              <w:rPr>
                <w:i/>
                <w:iCs/>
                <w:color w:val="000000" w:themeColor="text1"/>
                <w:lang w:val="es-CR"/>
              </w:rPr>
              <w:t>Reiterar</w:t>
            </w:r>
            <w:proofErr w:type="gramEnd"/>
            <w:r w:rsidRPr="00CF7396">
              <w:rPr>
                <w:i/>
                <w:iCs/>
                <w:color w:val="000000" w:themeColor="text1"/>
                <w:lang w:val="es-CR"/>
              </w:rPr>
              <w:t xml:space="preserve"> que en las minutas se deben de justificar todos los Indicadores críticos, a menos que cuenten con planes remediales, por lo que en caso de dudas puede contactar a la Profesional de Planificación.</w:t>
            </w:r>
          </w:p>
          <w:p w14:paraId="3485C8E0" w14:textId="77777777" w:rsidR="00CF7396" w:rsidRPr="00CF7396" w:rsidRDefault="00CF7396" w:rsidP="00CF7396">
            <w:pPr>
              <w:ind w:left="720"/>
              <w:rPr>
                <w:color w:val="000000" w:themeColor="text1"/>
                <w:lang w:val="es-CR" w:eastAsia="es-CR"/>
              </w:rPr>
            </w:pPr>
          </w:p>
        </w:tc>
        <w:tc>
          <w:tcPr>
            <w:tcW w:w="427" w:type="pct"/>
            <w:vMerge/>
            <w:shd w:val="clear" w:color="auto" w:fill="auto"/>
            <w:vAlign w:val="center"/>
          </w:tcPr>
          <w:p w14:paraId="0B77FC11"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150DBE9E" w14:textId="77777777" w:rsidR="00CF7396" w:rsidRPr="00CF7396" w:rsidRDefault="00CF7396" w:rsidP="00CF7396">
            <w:pPr>
              <w:jc w:val="both"/>
              <w:rPr>
                <w:i/>
                <w:iCs/>
                <w:color w:val="000000" w:themeColor="text1"/>
                <w:lang w:val="es-CR" w:eastAsia="es-CR"/>
              </w:rPr>
            </w:pPr>
            <w:r w:rsidRPr="00CF7396">
              <w:rPr>
                <w:b/>
                <w:bCs/>
                <w:i/>
                <w:iCs/>
                <w:color w:val="000000" w:themeColor="text1"/>
                <w:lang w:val="es-CR"/>
              </w:rPr>
              <w:t>2)”</w:t>
            </w:r>
            <w:r w:rsidRPr="00CF7396">
              <w:rPr>
                <w:i/>
                <w:iCs/>
                <w:color w:val="000000" w:themeColor="text1"/>
                <w:lang w:val="es-CR"/>
              </w:rPr>
              <w:t>Asimismo, se aprueba la recomendación N°2 dirigida al Juzgado Contravencional de Matina a excepción de las conciliaciones en la materia de Violencia Doméstica, toda vez que no se pueden realizar por el tipo de materia, al respecto se le recuerda al señor juez tener en cuenta las oportunidades de mejora que le realizó la Contraloría de Servicios, de no cumplirse con lo solicitado o de no informar los impedimentos que se han presentado para cumplirse con las mismas, este Consejo se verá en la obligación de comunicar lo pertinente a las instancias correspondientes”</w:t>
            </w:r>
            <w:r w:rsidRPr="00CF7396">
              <w:rPr>
                <w:b/>
                <w:bCs/>
                <w:i/>
                <w:iCs/>
                <w:color w:val="000000" w:themeColor="text1"/>
                <w:lang w:val="es-CR"/>
              </w:rPr>
              <w:t xml:space="preserve">.  </w:t>
            </w:r>
          </w:p>
        </w:tc>
        <w:tc>
          <w:tcPr>
            <w:tcW w:w="687" w:type="pct"/>
            <w:shd w:val="clear" w:color="auto" w:fill="auto"/>
          </w:tcPr>
          <w:p w14:paraId="4B566DD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54694C75" w14:textId="77777777" w:rsidTr="00AF369B">
        <w:trPr>
          <w:trHeight w:val="2520"/>
          <w:jc w:val="center"/>
        </w:trPr>
        <w:tc>
          <w:tcPr>
            <w:tcW w:w="431" w:type="pct"/>
            <w:vMerge/>
            <w:shd w:val="clear" w:color="auto" w:fill="auto"/>
            <w:vAlign w:val="center"/>
          </w:tcPr>
          <w:p w14:paraId="77532A94" w14:textId="77777777" w:rsidR="00CF7396" w:rsidRPr="00CF7396" w:rsidRDefault="00CF7396" w:rsidP="00CF7396">
            <w:pPr>
              <w:jc w:val="center"/>
              <w:rPr>
                <w:color w:val="000000" w:themeColor="text1"/>
                <w:lang w:val="es-CR" w:eastAsia="es-CR"/>
              </w:rPr>
            </w:pPr>
          </w:p>
        </w:tc>
        <w:tc>
          <w:tcPr>
            <w:tcW w:w="2411" w:type="pct"/>
            <w:shd w:val="clear" w:color="auto" w:fill="auto"/>
          </w:tcPr>
          <w:p w14:paraId="4C9560D5" w14:textId="77777777" w:rsidR="00CF7396" w:rsidRPr="00CF7396" w:rsidRDefault="00CF7396" w:rsidP="00CF7396">
            <w:pPr>
              <w:numPr>
                <w:ilvl w:val="0"/>
                <w:numId w:val="52"/>
              </w:numPr>
              <w:autoSpaceDN w:val="0"/>
              <w:ind w:left="212" w:hanging="212"/>
              <w:rPr>
                <w:b/>
                <w:bCs/>
                <w:i/>
                <w:iCs/>
                <w:color w:val="000000" w:themeColor="text1"/>
                <w:lang w:val="es-CR"/>
              </w:rPr>
            </w:pPr>
            <w:r w:rsidRPr="00CF7396">
              <w:rPr>
                <w:b/>
                <w:bCs/>
                <w:i/>
                <w:iCs/>
                <w:color w:val="000000" w:themeColor="text1"/>
                <w:lang w:val="es-CR"/>
              </w:rPr>
              <w:t>“Juzgado de Familia:</w:t>
            </w:r>
          </w:p>
          <w:p w14:paraId="19B0A8F8" w14:textId="77777777" w:rsidR="00CF7396" w:rsidRPr="00CF7396" w:rsidRDefault="00CF7396" w:rsidP="00CF7396">
            <w:pPr>
              <w:ind w:left="212"/>
              <w:rPr>
                <w:rFonts w:eastAsia="Calibri"/>
                <w:i/>
                <w:iCs/>
                <w:color w:val="000000" w:themeColor="text1"/>
                <w:lang w:val="es-CR"/>
              </w:rPr>
            </w:pPr>
          </w:p>
          <w:p w14:paraId="294EE08D" w14:textId="77777777" w:rsidR="00CF7396" w:rsidRPr="00CF7396" w:rsidRDefault="00CF7396" w:rsidP="00CF7396">
            <w:pPr>
              <w:jc w:val="both"/>
              <w:rPr>
                <w:i/>
                <w:iCs/>
                <w:color w:val="000000" w:themeColor="text1"/>
                <w:lang w:val="es-CR"/>
              </w:rPr>
            </w:pPr>
            <w:r w:rsidRPr="00CF7396">
              <w:rPr>
                <w:i/>
                <w:iCs/>
                <w:color w:val="000000" w:themeColor="text1"/>
                <w:lang w:val="es-CR"/>
              </w:rPr>
              <w:t>La persona juzgadora 1 deberá fallar con prioridad los siguientes expedientes vencidos de abril e inicios de mayo:</w:t>
            </w:r>
          </w:p>
          <w:p w14:paraId="52094C60" w14:textId="77777777" w:rsidR="00CF7396" w:rsidRPr="00CF7396" w:rsidRDefault="00CF7396" w:rsidP="00CF7396">
            <w:pPr>
              <w:ind w:left="708"/>
              <w:rPr>
                <w:i/>
                <w:iCs/>
                <w:color w:val="000000" w:themeColor="text1"/>
                <w:lang w:val="es-CR"/>
              </w:rPr>
            </w:pPr>
          </w:p>
          <w:p w14:paraId="49C3DFD5" w14:textId="77777777" w:rsidR="00CF7396" w:rsidRPr="00CF7396" w:rsidRDefault="00CF7396" w:rsidP="00CF7396">
            <w:pPr>
              <w:ind w:left="720"/>
              <w:rPr>
                <w:i/>
                <w:iCs/>
                <w:color w:val="000000" w:themeColor="text1"/>
                <w:lang w:val="es-CR"/>
              </w:rPr>
            </w:pPr>
            <w:r w:rsidRPr="00CF7396">
              <w:rPr>
                <w:i/>
                <w:iCs/>
                <w:noProof/>
                <w:color w:val="000000" w:themeColor="text1"/>
                <w:lang w:val="es-CR"/>
              </w:rPr>
              <w:drawing>
                <wp:inline distT="0" distB="0" distL="0" distR="0" wp14:anchorId="3A5A2F98" wp14:editId="30E0B3C2">
                  <wp:extent cx="1504950" cy="1060450"/>
                  <wp:effectExtent l="0" t="0" r="0" b="6350"/>
                  <wp:docPr id="10"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abla&#10;&#10;Descripción generada automáticamente"/>
                          <pic:cNvPicPr>
                            <a:picLocks noChangeAspect="1" noChangeArrowheads="1"/>
                          </pic:cNvPicPr>
                        </pic:nvPicPr>
                        <pic:blipFill rotWithShape="1">
                          <a:blip r:embed="rId15">
                            <a:extLst>
                              <a:ext uri="{28A0092B-C50C-407E-A947-70E740481C1C}">
                                <a14:useLocalDpi xmlns:a14="http://schemas.microsoft.com/office/drawing/2010/main" val="0"/>
                              </a:ext>
                            </a:extLst>
                          </a:blip>
                          <a:srcRect l="2429" r="1619"/>
                          <a:stretch/>
                        </pic:blipFill>
                        <pic:spPr bwMode="auto">
                          <a:xfrm>
                            <a:off x="0" y="0"/>
                            <a:ext cx="1504950" cy="1060450"/>
                          </a:xfrm>
                          <a:prstGeom prst="rect">
                            <a:avLst/>
                          </a:prstGeom>
                          <a:noFill/>
                          <a:ln>
                            <a:noFill/>
                          </a:ln>
                          <a:extLst>
                            <a:ext uri="{53640926-AAD7-44D8-BBD7-CCE9431645EC}">
                              <a14:shadowObscured xmlns:a14="http://schemas.microsoft.com/office/drawing/2010/main"/>
                            </a:ext>
                          </a:extLst>
                        </pic:spPr>
                      </pic:pic>
                    </a:graphicData>
                  </a:graphic>
                </wp:inline>
              </w:drawing>
            </w:r>
          </w:p>
          <w:p w14:paraId="7A6EC9DD" w14:textId="77777777" w:rsidR="00CF7396" w:rsidRPr="00CF7396" w:rsidRDefault="00CF7396" w:rsidP="00CF7396">
            <w:pPr>
              <w:ind w:left="720"/>
              <w:rPr>
                <w:i/>
                <w:iCs/>
                <w:color w:val="000000" w:themeColor="text1"/>
                <w:lang w:val="es-CR"/>
              </w:rPr>
            </w:pPr>
            <w:r w:rsidRPr="00CF7396">
              <w:rPr>
                <w:i/>
                <w:iCs/>
                <w:noProof/>
                <w:color w:val="000000" w:themeColor="text1"/>
                <w:lang w:val="es-CR"/>
              </w:rPr>
              <w:drawing>
                <wp:inline distT="0" distB="0" distL="0" distR="0" wp14:anchorId="375CF5A4" wp14:editId="04485818">
                  <wp:extent cx="1473200" cy="527050"/>
                  <wp:effectExtent l="0" t="0" r="0" b="6350"/>
                  <wp:docPr id="11" name="Imagen 11"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Escala de tiempo&#10;&#10;Descripción generada automáticamente"/>
                          <pic:cNvPicPr>
                            <a:picLocks noChangeAspect="1" noChangeArrowheads="1"/>
                          </pic:cNvPicPr>
                        </pic:nvPicPr>
                        <pic:blipFill rotWithShape="1">
                          <a:blip r:embed="rId16">
                            <a:extLst>
                              <a:ext uri="{28A0092B-C50C-407E-A947-70E740481C1C}">
                                <a14:useLocalDpi xmlns:a14="http://schemas.microsoft.com/office/drawing/2010/main" val="0"/>
                              </a:ext>
                            </a:extLst>
                          </a:blip>
                          <a:srcRect l="2110"/>
                          <a:stretch/>
                        </pic:blipFill>
                        <pic:spPr bwMode="auto">
                          <a:xfrm>
                            <a:off x="0" y="0"/>
                            <a:ext cx="1473200" cy="527050"/>
                          </a:xfrm>
                          <a:prstGeom prst="rect">
                            <a:avLst/>
                          </a:prstGeom>
                          <a:noFill/>
                          <a:ln>
                            <a:noFill/>
                          </a:ln>
                          <a:extLst>
                            <a:ext uri="{53640926-AAD7-44D8-BBD7-CCE9431645EC}">
                              <a14:shadowObscured xmlns:a14="http://schemas.microsoft.com/office/drawing/2010/main"/>
                            </a:ext>
                          </a:extLst>
                        </pic:spPr>
                      </pic:pic>
                    </a:graphicData>
                  </a:graphic>
                </wp:inline>
              </w:drawing>
            </w:r>
          </w:p>
          <w:p w14:paraId="07431B2D" w14:textId="77777777" w:rsidR="00CF7396" w:rsidRPr="00CF7396" w:rsidRDefault="00CF7396" w:rsidP="00CF7396">
            <w:pPr>
              <w:ind w:left="708"/>
              <w:rPr>
                <w:i/>
                <w:iCs/>
                <w:color w:val="000000" w:themeColor="text1"/>
                <w:lang w:val="es-CR"/>
              </w:rPr>
            </w:pPr>
          </w:p>
          <w:p w14:paraId="34763270" w14:textId="77777777" w:rsidR="00CF7396" w:rsidRPr="00CF7396" w:rsidRDefault="00CF7396" w:rsidP="00CF7396">
            <w:pPr>
              <w:ind w:left="212"/>
              <w:jc w:val="both"/>
              <w:rPr>
                <w:i/>
                <w:iCs/>
                <w:color w:val="000000" w:themeColor="text1"/>
                <w:lang w:val="es-CR"/>
              </w:rPr>
            </w:pPr>
            <w:r w:rsidRPr="00CF7396">
              <w:rPr>
                <w:i/>
                <w:iCs/>
                <w:color w:val="000000" w:themeColor="text1"/>
                <w:lang w:val="es-CR"/>
              </w:rPr>
              <w:t>La persona juzgadora 2 deberá fallar con prioridad los siguientes expedientes vencidos de marzo y abril:</w:t>
            </w:r>
          </w:p>
          <w:p w14:paraId="3579C928" w14:textId="77777777" w:rsidR="00CF7396" w:rsidRPr="00CF7396" w:rsidRDefault="00CF7396" w:rsidP="00CF7396">
            <w:pPr>
              <w:ind w:left="708"/>
              <w:rPr>
                <w:i/>
                <w:iCs/>
                <w:color w:val="000000" w:themeColor="text1"/>
                <w:lang w:val="es-CR"/>
              </w:rPr>
            </w:pPr>
          </w:p>
          <w:p w14:paraId="1C26CE89" w14:textId="77777777" w:rsidR="00CF7396" w:rsidRPr="00CF7396" w:rsidRDefault="00CF7396" w:rsidP="00CF7396">
            <w:pPr>
              <w:ind w:left="720"/>
              <w:rPr>
                <w:i/>
                <w:iCs/>
                <w:color w:val="000000" w:themeColor="text1"/>
                <w:lang w:val="es-CR"/>
              </w:rPr>
            </w:pPr>
            <w:r w:rsidRPr="00CF7396">
              <w:rPr>
                <w:i/>
                <w:iCs/>
                <w:noProof/>
                <w:color w:val="000000" w:themeColor="text1"/>
                <w:lang w:val="es-CR"/>
              </w:rPr>
              <w:drawing>
                <wp:inline distT="0" distB="0" distL="0" distR="0" wp14:anchorId="66683714" wp14:editId="4715FA78">
                  <wp:extent cx="1498600" cy="2089150"/>
                  <wp:effectExtent l="0" t="0" r="6350" b="6350"/>
                  <wp:docPr id="12" name="Imagen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abla&#10;&#10;Descripción generada automáticament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98600" cy="2089150"/>
                          </a:xfrm>
                          <a:prstGeom prst="rect">
                            <a:avLst/>
                          </a:prstGeom>
                          <a:noFill/>
                          <a:ln>
                            <a:noFill/>
                          </a:ln>
                        </pic:spPr>
                      </pic:pic>
                    </a:graphicData>
                  </a:graphic>
                </wp:inline>
              </w:drawing>
            </w:r>
          </w:p>
          <w:p w14:paraId="17CE30CB" w14:textId="77777777" w:rsidR="00CF7396" w:rsidRPr="00CF7396" w:rsidRDefault="00CF7396" w:rsidP="00CF7396">
            <w:pPr>
              <w:ind w:left="708"/>
              <w:rPr>
                <w:i/>
                <w:iCs/>
                <w:color w:val="000000" w:themeColor="text1"/>
                <w:lang w:val="es-CR"/>
              </w:rPr>
            </w:pPr>
          </w:p>
          <w:p w14:paraId="5C32991C" w14:textId="77777777" w:rsidR="00CF7396" w:rsidRPr="00CF7396" w:rsidRDefault="00CF7396" w:rsidP="00CF7396">
            <w:pPr>
              <w:jc w:val="both"/>
              <w:rPr>
                <w:i/>
                <w:iCs/>
                <w:color w:val="000000" w:themeColor="text1"/>
                <w:lang w:val="es-CR"/>
              </w:rPr>
            </w:pPr>
            <w:r w:rsidRPr="00CF7396">
              <w:rPr>
                <w:i/>
                <w:iCs/>
                <w:color w:val="000000" w:themeColor="text1"/>
                <w:lang w:val="es-CR"/>
              </w:rPr>
              <w:t>Posteriormente deberá de fallar por orden de antigüedad. Recordar a las personas técnicas y juzgadoras cumplir con la cuota de trabajo establecida y en caso de que se requiera justificar las razones pertinentes de dicho incumplimiento en la minuta de reunión. Adicionalmente, se les recuerda que en la minuta de reunión deben de justificar todos los Indicadores críticos, a menos que cuenten con planes remediales”</w:t>
            </w:r>
          </w:p>
          <w:p w14:paraId="1C28BE4F" w14:textId="77777777" w:rsidR="00CF7396" w:rsidRPr="00CF7396" w:rsidRDefault="00CF7396" w:rsidP="00CF7396">
            <w:pPr>
              <w:jc w:val="both"/>
              <w:rPr>
                <w:i/>
                <w:iCs/>
                <w:color w:val="000000" w:themeColor="text1"/>
                <w:lang w:val="es-CR"/>
              </w:rPr>
            </w:pPr>
          </w:p>
          <w:p w14:paraId="6219AF32" w14:textId="77777777" w:rsidR="00CF7396" w:rsidRPr="00CF7396" w:rsidRDefault="00CF7396" w:rsidP="00CF7396">
            <w:pPr>
              <w:jc w:val="center"/>
              <w:rPr>
                <w:i/>
                <w:iCs/>
                <w:color w:val="000000" w:themeColor="text1"/>
                <w:lang w:val="es-CR"/>
              </w:rPr>
            </w:pPr>
            <w:r w:rsidRPr="00CF7396">
              <w:rPr>
                <w:i/>
                <w:iCs/>
                <w:noProof/>
                <w:color w:val="000000" w:themeColor="text1"/>
                <w:lang w:val="es-CR"/>
              </w:rPr>
              <w:drawing>
                <wp:inline distT="0" distB="0" distL="0" distR="0" wp14:anchorId="31369F44" wp14:editId="1788CD18">
                  <wp:extent cx="981075" cy="647700"/>
                  <wp:effectExtent l="0" t="0" r="9525" b="0"/>
                  <wp:docPr id="16" name="Imagen 1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10;&#10;Descripción generada automáticamen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81075" cy="647700"/>
                          </a:xfrm>
                          <a:prstGeom prst="rect">
                            <a:avLst/>
                          </a:prstGeom>
                          <a:noFill/>
                        </pic:spPr>
                      </pic:pic>
                    </a:graphicData>
                  </a:graphic>
                </wp:inline>
              </w:drawing>
            </w:r>
          </w:p>
          <w:p w14:paraId="0E62EA7B" w14:textId="77777777" w:rsidR="00CF7396" w:rsidRPr="00CF7396" w:rsidRDefault="00CF7396" w:rsidP="00CF7396">
            <w:pPr>
              <w:rPr>
                <w:i/>
                <w:iCs/>
                <w:color w:val="000000" w:themeColor="text1"/>
                <w:lang w:val="es-CR"/>
              </w:rPr>
            </w:pPr>
          </w:p>
          <w:p w14:paraId="03CA37F2" w14:textId="77777777" w:rsidR="00CF7396" w:rsidRPr="00CF7396" w:rsidRDefault="00CF7396" w:rsidP="00CF7396">
            <w:pPr>
              <w:jc w:val="both"/>
              <w:rPr>
                <w:color w:val="000000" w:themeColor="text1"/>
                <w:lang w:val="es-CR" w:eastAsia="es-CR"/>
              </w:rPr>
            </w:pPr>
          </w:p>
        </w:tc>
        <w:tc>
          <w:tcPr>
            <w:tcW w:w="427" w:type="pct"/>
            <w:vMerge/>
            <w:shd w:val="clear" w:color="auto" w:fill="auto"/>
            <w:vAlign w:val="center"/>
          </w:tcPr>
          <w:p w14:paraId="7FD0E86C" w14:textId="77777777" w:rsidR="00CF7396" w:rsidRPr="00CF7396" w:rsidRDefault="00CF7396" w:rsidP="00CF7396">
            <w:pPr>
              <w:jc w:val="center"/>
              <w:rPr>
                <w:color w:val="000000" w:themeColor="text1"/>
                <w:lang w:val="es-CR" w:eastAsia="es-CR"/>
              </w:rPr>
            </w:pPr>
          </w:p>
        </w:tc>
        <w:tc>
          <w:tcPr>
            <w:tcW w:w="1044" w:type="pct"/>
            <w:shd w:val="clear" w:color="auto" w:fill="auto"/>
          </w:tcPr>
          <w:p w14:paraId="0C716934" w14:textId="77777777" w:rsidR="00CF7396" w:rsidRPr="00CF7396" w:rsidRDefault="00CF7396" w:rsidP="00CF7396">
            <w:pPr>
              <w:jc w:val="center"/>
              <w:rPr>
                <w:color w:val="000000" w:themeColor="text1"/>
                <w:lang w:val="es-CR" w:eastAsia="es-CR"/>
              </w:rPr>
            </w:pPr>
            <w:r w:rsidRPr="00CF7396">
              <w:rPr>
                <w:color w:val="000000" w:themeColor="text1"/>
                <w:lang w:val="es-CR"/>
              </w:rPr>
              <w:t>Aprobado.</w:t>
            </w:r>
          </w:p>
        </w:tc>
        <w:tc>
          <w:tcPr>
            <w:tcW w:w="687" w:type="pct"/>
            <w:shd w:val="clear" w:color="auto" w:fill="auto"/>
          </w:tcPr>
          <w:p w14:paraId="75DDAE0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508CF25C" w14:textId="77777777" w:rsidTr="00AF369B">
        <w:trPr>
          <w:trHeight w:val="439"/>
          <w:jc w:val="center"/>
        </w:trPr>
        <w:tc>
          <w:tcPr>
            <w:tcW w:w="431" w:type="pct"/>
            <w:vMerge w:val="restart"/>
            <w:shd w:val="clear" w:color="auto" w:fill="auto"/>
            <w:vAlign w:val="center"/>
          </w:tcPr>
          <w:p w14:paraId="66A6F427" w14:textId="77777777" w:rsidR="00CF7396" w:rsidRPr="00CF7396" w:rsidRDefault="00CF7396" w:rsidP="00CF7396">
            <w:pPr>
              <w:jc w:val="center"/>
              <w:rPr>
                <w:color w:val="000000" w:themeColor="text1"/>
                <w:lang w:val="es-CR" w:eastAsia="es-CR"/>
              </w:rPr>
            </w:pPr>
          </w:p>
          <w:p w14:paraId="2DF1593B" w14:textId="77777777" w:rsidR="00CF7396" w:rsidRPr="00CF7396" w:rsidRDefault="00CF7396" w:rsidP="00CF7396">
            <w:pPr>
              <w:jc w:val="center"/>
              <w:rPr>
                <w:color w:val="000000" w:themeColor="text1"/>
                <w:lang w:val="es-CR" w:eastAsia="es-CR"/>
              </w:rPr>
            </w:pPr>
          </w:p>
          <w:p w14:paraId="1EF8F6D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Julio</w:t>
            </w:r>
          </w:p>
        </w:tc>
        <w:tc>
          <w:tcPr>
            <w:tcW w:w="4569" w:type="pct"/>
            <w:gridSpan w:val="4"/>
            <w:shd w:val="clear" w:color="auto" w:fill="C0504D" w:themeFill="accent2"/>
          </w:tcPr>
          <w:p w14:paraId="502257BE"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Presentación 1775-PLA-EV-TR-2021, Indicadores junio 2021</w:t>
            </w:r>
          </w:p>
        </w:tc>
      </w:tr>
      <w:tr w:rsidR="00CF7396" w:rsidRPr="00CF7396" w14:paraId="1387DC19" w14:textId="77777777" w:rsidTr="00AF369B">
        <w:trPr>
          <w:trHeight w:val="2702"/>
          <w:jc w:val="center"/>
        </w:trPr>
        <w:tc>
          <w:tcPr>
            <w:tcW w:w="431" w:type="pct"/>
            <w:vMerge/>
            <w:shd w:val="clear" w:color="auto" w:fill="auto"/>
            <w:vAlign w:val="center"/>
          </w:tcPr>
          <w:p w14:paraId="4A3A8132" w14:textId="77777777" w:rsidR="00CF7396" w:rsidRPr="00CF7396" w:rsidRDefault="00CF7396" w:rsidP="00CF7396">
            <w:pPr>
              <w:jc w:val="center"/>
              <w:rPr>
                <w:color w:val="000000" w:themeColor="text1"/>
                <w:lang w:val="es-CR" w:eastAsia="es-CR"/>
              </w:rPr>
            </w:pPr>
          </w:p>
        </w:tc>
        <w:tc>
          <w:tcPr>
            <w:tcW w:w="2411" w:type="pct"/>
            <w:shd w:val="clear" w:color="auto" w:fill="auto"/>
          </w:tcPr>
          <w:p w14:paraId="417B49D5" w14:textId="77777777" w:rsidR="00CF7396" w:rsidRPr="00CF7396" w:rsidRDefault="00CF7396" w:rsidP="00CF7396">
            <w:pPr>
              <w:jc w:val="both"/>
              <w:rPr>
                <w:i/>
                <w:iCs/>
                <w:color w:val="000000" w:themeColor="text1"/>
                <w:lang w:val="es-CR" w:eastAsia="es-CR"/>
              </w:rPr>
            </w:pPr>
            <w:r w:rsidRPr="00CF7396">
              <w:rPr>
                <w:i/>
                <w:iCs/>
                <w:color w:val="000000" w:themeColor="text1"/>
                <w:lang w:val="es-CR" w:eastAsia="es-CR"/>
              </w:rPr>
              <w:t>1.” Hacer del conocimiento del Centro de Apoyo, Coordinación y Mejoramiento de la Función Jurisdiccional o del Consejo Superior, el incumplimiento por parte del Juzgado Contravencional de Matina en relación con la operativa del Modelo de sostenibilidad, específicamente con el completado de las minutas de reunión, lo anterior ha sido reiterado en acuerdos tomados por parte de este Consejo en la sesión de abril y junio de este año.</w:t>
            </w:r>
          </w:p>
        </w:tc>
        <w:tc>
          <w:tcPr>
            <w:tcW w:w="427" w:type="pct"/>
            <w:vMerge w:val="restart"/>
            <w:shd w:val="clear" w:color="auto" w:fill="auto"/>
            <w:vAlign w:val="center"/>
          </w:tcPr>
          <w:p w14:paraId="31CC5515"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Acta 16-2021 del 29 de julio del 2021, artículo I</w:t>
            </w:r>
          </w:p>
        </w:tc>
        <w:tc>
          <w:tcPr>
            <w:tcW w:w="1044" w:type="pct"/>
            <w:shd w:val="clear" w:color="auto" w:fill="auto"/>
            <w:vAlign w:val="center"/>
          </w:tcPr>
          <w:p w14:paraId="06E8E544" w14:textId="77777777" w:rsidR="00CF7396" w:rsidRPr="00CF7396" w:rsidRDefault="00CF7396" w:rsidP="00CF7396">
            <w:pPr>
              <w:autoSpaceDE w:val="0"/>
              <w:autoSpaceDN w:val="0"/>
              <w:adjustRightInd w:val="0"/>
              <w:jc w:val="both"/>
              <w:rPr>
                <w:i/>
                <w:iCs/>
                <w:color w:val="000000" w:themeColor="text1"/>
                <w:kern w:val="1"/>
                <w:lang w:val="es-CR" w:eastAsia="zh-CN" w:bidi="hi-IN"/>
              </w:rPr>
            </w:pPr>
            <w:r w:rsidRPr="00CF7396">
              <w:rPr>
                <w:bCs/>
                <w:i/>
                <w:iCs/>
                <w:color w:val="000000" w:themeColor="text1"/>
                <w:kern w:val="1"/>
                <w:lang w:val="es-CR" w:eastAsia="zh-CN" w:bidi="hi-IN"/>
              </w:rPr>
              <w:t>“Respecto a la recomendación N°1, se dispone que el Juzgado Contravencional de Matina informe a este Consejo en el plazo de 10 días hábiles de recibido este comunicado, sobre las acciones tomadas para corregir lo informado por la Profesional de Planificación y que ya le fue comunicado en la revisión de Indicadores del mes de mayo comunicado mediante oficio N°</w:t>
            </w:r>
            <w:r w:rsidRPr="00CF7396">
              <w:rPr>
                <w:i/>
                <w:iCs/>
                <w:color w:val="000000" w:themeColor="text1"/>
                <w:kern w:val="1"/>
                <w:lang w:val="es-CR" w:eastAsia="zh-CN" w:bidi="hi-IN"/>
              </w:rPr>
              <w:t>16-CAICJZA-2021</w:t>
            </w:r>
            <w:r w:rsidRPr="00CF7396">
              <w:rPr>
                <w:bCs/>
                <w:i/>
                <w:iCs/>
                <w:color w:val="000000" w:themeColor="text1"/>
                <w:kern w:val="1"/>
                <w:lang w:val="es-CR" w:eastAsia="zh-CN" w:bidi="hi-IN"/>
              </w:rPr>
              <w:t>.</w:t>
            </w:r>
          </w:p>
        </w:tc>
        <w:tc>
          <w:tcPr>
            <w:tcW w:w="687" w:type="pct"/>
            <w:shd w:val="clear" w:color="auto" w:fill="auto"/>
          </w:tcPr>
          <w:p w14:paraId="2FB024F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1E9BE31D" w14:textId="77777777" w:rsidTr="00AF369B">
        <w:trPr>
          <w:trHeight w:val="434"/>
          <w:jc w:val="center"/>
        </w:trPr>
        <w:tc>
          <w:tcPr>
            <w:tcW w:w="431" w:type="pct"/>
            <w:vMerge/>
            <w:shd w:val="clear" w:color="auto" w:fill="auto"/>
            <w:vAlign w:val="center"/>
          </w:tcPr>
          <w:p w14:paraId="5E136AEB" w14:textId="77777777" w:rsidR="00CF7396" w:rsidRPr="00CF7396" w:rsidRDefault="00CF7396" w:rsidP="00CF7396">
            <w:pPr>
              <w:jc w:val="center"/>
              <w:rPr>
                <w:color w:val="000000" w:themeColor="text1"/>
                <w:lang w:val="es-CR" w:eastAsia="es-CR"/>
              </w:rPr>
            </w:pPr>
          </w:p>
        </w:tc>
        <w:tc>
          <w:tcPr>
            <w:tcW w:w="2411" w:type="pct"/>
            <w:shd w:val="clear" w:color="auto" w:fill="auto"/>
          </w:tcPr>
          <w:p w14:paraId="29F9B049" w14:textId="77777777" w:rsidR="00CF7396" w:rsidRPr="00CF7396" w:rsidRDefault="00CF7396" w:rsidP="00CF7396">
            <w:pPr>
              <w:jc w:val="both"/>
              <w:rPr>
                <w:i/>
                <w:iCs/>
                <w:color w:val="000000" w:themeColor="text1"/>
                <w:lang w:val="es-CR" w:eastAsia="es-CR"/>
              </w:rPr>
            </w:pPr>
            <w:r w:rsidRPr="00CF7396">
              <w:rPr>
                <w:i/>
                <w:iCs/>
                <w:color w:val="000000" w:themeColor="text1"/>
                <w:lang w:val="es-CR" w:eastAsia="es-CR"/>
              </w:rPr>
              <w:t>2. Solicitar al Juez 3 del Juzgado de Cobro de Limón, mantener los sistemas actualizados diariamente, por lo que se le solicita verificar las 958 firmas que se encuentran pendientes en el Escritorio Virtual y realizar la actualización correspondiente.</w:t>
            </w:r>
          </w:p>
          <w:p w14:paraId="6AEC9E1C" w14:textId="77777777" w:rsidR="00CF7396" w:rsidRPr="00CF7396" w:rsidRDefault="00CF7396" w:rsidP="00CF7396">
            <w:pPr>
              <w:jc w:val="both"/>
              <w:rPr>
                <w:i/>
                <w:iCs/>
                <w:color w:val="000000" w:themeColor="text1"/>
                <w:lang w:val="es-CR" w:eastAsia="es-CR"/>
              </w:rPr>
            </w:pPr>
          </w:p>
        </w:tc>
        <w:tc>
          <w:tcPr>
            <w:tcW w:w="427" w:type="pct"/>
            <w:vMerge/>
            <w:shd w:val="clear" w:color="auto" w:fill="auto"/>
            <w:vAlign w:val="center"/>
          </w:tcPr>
          <w:p w14:paraId="127A7DDA"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003ADA68" w14:textId="77777777" w:rsidR="00CF7396" w:rsidRPr="00CF7396" w:rsidRDefault="00CF7396" w:rsidP="00CF7396">
            <w:pPr>
              <w:autoSpaceDE w:val="0"/>
              <w:autoSpaceDN w:val="0"/>
              <w:adjustRightInd w:val="0"/>
              <w:jc w:val="both"/>
              <w:rPr>
                <w:i/>
                <w:iCs/>
                <w:color w:val="000000" w:themeColor="text1"/>
                <w:kern w:val="1"/>
                <w:lang w:val="es-CR" w:eastAsia="zh-CN" w:bidi="hi-IN"/>
              </w:rPr>
            </w:pPr>
            <w:r w:rsidRPr="00CF7396">
              <w:rPr>
                <w:bCs/>
                <w:i/>
                <w:iCs/>
                <w:color w:val="000000" w:themeColor="text1"/>
                <w:kern w:val="1"/>
                <w:lang w:val="es-CR" w:eastAsia="zh-CN" w:bidi="hi-IN"/>
              </w:rPr>
              <w:t>2. Respecto a la recomendación N°2, se solicita al Juez 3 del Juzgado de Cobro de Limón que informe sobre la situación actual de los de 958 expedientes, que se mantienen pendiente de firma en el escritorio virtual y además recordarle que debe mantener los sistemas actualizados diariamente en el Escritorio Virtual, dicho informe deberá realizarlo en el plazo de 10 días hábiles una vez comunicado este acuerdo.</w:t>
            </w:r>
          </w:p>
          <w:p w14:paraId="6CD982D3" w14:textId="77777777" w:rsidR="00CF7396" w:rsidRPr="00CF7396" w:rsidRDefault="00CF7396" w:rsidP="00CF7396">
            <w:pPr>
              <w:jc w:val="center"/>
              <w:rPr>
                <w:i/>
                <w:iCs/>
                <w:color w:val="000000" w:themeColor="text1"/>
                <w:lang w:val="es-CR" w:eastAsia="es-CR"/>
              </w:rPr>
            </w:pPr>
          </w:p>
        </w:tc>
        <w:tc>
          <w:tcPr>
            <w:tcW w:w="687" w:type="pct"/>
            <w:shd w:val="clear" w:color="auto" w:fill="auto"/>
          </w:tcPr>
          <w:p w14:paraId="6F7CB79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54220F64" w14:textId="77777777" w:rsidTr="00AF369B">
        <w:trPr>
          <w:trHeight w:val="2520"/>
          <w:jc w:val="center"/>
        </w:trPr>
        <w:tc>
          <w:tcPr>
            <w:tcW w:w="431" w:type="pct"/>
            <w:vMerge/>
            <w:shd w:val="clear" w:color="auto" w:fill="auto"/>
            <w:vAlign w:val="center"/>
          </w:tcPr>
          <w:p w14:paraId="5D649F7B" w14:textId="77777777" w:rsidR="00CF7396" w:rsidRPr="00CF7396" w:rsidRDefault="00CF7396" w:rsidP="00CF7396">
            <w:pPr>
              <w:jc w:val="center"/>
              <w:rPr>
                <w:color w:val="000000" w:themeColor="text1"/>
                <w:lang w:val="es-CR" w:eastAsia="es-CR"/>
              </w:rPr>
            </w:pPr>
          </w:p>
        </w:tc>
        <w:tc>
          <w:tcPr>
            <w:tcW w:w="2411" w:type="pct"/>
            <w:shd w:val="clear" w:color="auto" w:fill="auto"/>
          </w:tcPr>
          <w:p w14:paraId="78472A9D" w14:textId="77777777" w:rsidR="00CF7396" w:rsidRPr="00CF7396" w:rsidRDefault="00CF7396" w:rsidP="00CF7396">
            <w:pPr>
              <w:jc w:val="both"/>
              <w:rPr>
                <w:i/>
                <w:iCs/>
                <w:color w:val="000000" w:themeColor="text1"/>
                <w:lang w:val="es-CR" w:eastAsia="es-CR"/>
              </w:rPr>
            </w:pPr>
            <w:r w:rsidRPr="00CF7396">
              <w:rPr>
                <w:i/>
                <w:iCs/>
                <w:color w:val="000000" w:themeColor="text1"/>
                <w:lang w:val="es-CR" w:eastAsia="es-CR"/>
              </w:rPr>
              <w:t>3. El Tribunal Colegiado de Primer Instancia de Limón, informará a este Consejo en el plazo de 10 días hábiles el tiempo que considera para fallar el siguiente expediente; lo anterior debido a que se ha identificado que los planes remediales no han tenido el efecto esperado:</w:t>
            </w:r>
          </w:p>
          <w:p w14:paraId="5D3ACFAE" w14:textId="77777777" w:rsidR="00CF7396" w:rsidRPr="00CF7396" w:rsidRDefault="00CF7396" w:rsidP="00CF7396">
            <w:pPr>
              <w:jc w:val="both"/>
              <w:rPr>
                <w:i/>
                <w:iCs/>
                <w:color w:val="000000" w:themeColor="text1"/>
                <w:lang w:val="es-CR" w:eastAsia="es-CR"/>
              </w:rPr>
            </w:pPr>
          </w:p>
          <w:p w14:paraId="343E2FC9" w14:textId="77777777" w:rsidR="00CF7396" w:rsidRPr="00CF7396" w:rsidRDefault="00CF7396" w:rsidP="00CF7396">
            <w:pPr>
              <w:jc w:val="both"/>
              <w:rPr>
                <w:color w:val="000000" w:themeColor="text1"/>
                <w:lang w:val="es-CR" w:eastAsia="es-CR"/>
              </w:rPr>
            </w:pPr>
            <w:r w:rsidRPr="00CF7396">
              <w:rPr>
                <w:bCs/>
                <w:noProof/>
                <w:color w:val="000000" w:themeColor="text1"/>
                <w:lang w:val="es-CR"/>
              </w:rPr>
              <w:drawing>
                <wp:inline distT="0" distB="0" distL="0" distR="0" wp14:anchorId="7630DFF1" wp14:editId="4C0C12AB">
                  <wp:extent cx="4238625" cy="396642"/>
                  <wp:effectExtent l="0" t="0" r="0" b="3810"/>
                  <wp:docPr id="25" name="Imagen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302786" cy="402646"/>
                          </a:xfrm>
                          <a:prstGeom prst="rect">
                            <a:avLst/>
                          </a:prstGeom>
                          <a:noFill/>
                          <a:ln>
                            <a:noFill/>
                            <a:prstDash/>
                          </a:ln>
                        </pic:spPr>
                      </pic:pic>
                    </a:graphicData>
                  </a:graphic>
                </wp:inline>
              </w:drawing>
            </w:r>
          </w:p>
        </w:tc>
        <w:tc>
          <w:tcPr>
            <w:tcW w:w="427" w:type="pct"/>
            <w:vMerge/>
            <w:shd w:val="clear" w:color="auto" w:fill="auto"/>
            <w:vAlign w:val="center"/>
          </w:tcPr>
          <w:p w14:paraId="50BC093C"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58BB2D1E" w14:textId="77777777" w:rsidR="00CF7396" w:rsidRPr="00CF7396" w:rsidRDefault="00CF7396" w:rsidP="00CF7396">
            <w:pPr>
              <w:autoSpaceDE w:val="0"/>
              <w:autoSpaceDN w:val="0"/>
              <w:adjustRightInd w:val="0"/>
              <w:jc w:val="both"/>
              <w:rPr>
                <w:bCs/>
                <w:i/>
                <w:iCs/>
                <w:color w:val="000000" w:themeColor="text1"/>
                <w:kern w:val="1"/>
                <w:lang w:val="es-CR" w:eastAsia="zh-CN" w:bidi="hi-IN"/>
              </w:rPr>
            </w:pPr>
            <w:r w:rsidRPr="00CF7396">
              <w:rPr>
                <w:bCs/>
                <w:i/>
                <w:iCs/>
                <w:color w:val="000000" w:themeColor="text1"/>
                <w:kern w:val="1"/>
                <w:lang w:val="es-CR" w:eastAsia="zh-CN" w:bidi="hi-IN"/>
              </w:rPr>
              <w:t>3. Respecto a la recomendación N°3 se solicita al Tribunal Colegiado de Primer Instancia de Limón, que informe a este Consejo en el plazo de 10 días hábiles una vez comunicado este acuerdo, cuál será el plazo que considera necesario para fallar el siguiente expediente 17-000212-930-CI; lo anterior debido a que se ha identificado que el mismo aún se mantiene pendiente.</w:t>
            </w:r>
          </w:p>
          <w:p w14:paraId="1FBECE70" w14:textId="77777777" w:rsidR="00CF7396" w:rsidRPr="00CF7396" w:rsidRDefault="00CF7396" w:rsidP="00CF7396">
            <w:pPr>
              <w:jc w:val="center"/>
              <w:rPr>
                <w:i/>
                <w:iCs/>
                <w:color w:val="000000" w:themeColor="text1"/>
                <w:lang w:val="es-CR" w:eastAsia="es-CR"/>
              </w:rPr>
            </w:pPr>
          </w:p>
        </w:tc>
        <w:tc>
          <w:tcPr>
            <w:tcW w:w="687" w:type="pct"/>
            <w:shd w:val="clear" w:color="auto" w:fill="auto"/>
          </w:tcPr>
          <w:p w14:paraId="76025FC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 xml:space="preserve">Implantado </w:t>
            </w:r>
          </w:p>
        </w:tc>
      </w:tr>
      <w:tr w:rsidR="00CF7396" w:rsidRPr="00CF7396" w14:paraId="62F7ACD8" w14:textId="77777777" w:rsidTr="00AF369B">
        <w:trPr>
          <w:trHeight w:val="1426"/>
          <w:jc w:val="center"/>
        </w:trPr>
        <w:tc>
          <w:tcPr>
            <w:tcW w:w="431" w:type="pct"/>
            <w:vMerge/>
            <w:shd w:val="clear" w:color="auto" w:fill="auto"/>
            <w:vAlign w:val="center"/>
          </w:tcPr>
          <w:p w14:paraId="39B559F4" w14:textId="77777777" w:rsidR="00CF7396" w:rsidRPr="00CF7396" w:rsidRDefault="00CF7396" w:rsidP="00CF7396">
            <w:pPr>
              <w:jc w:val="center"/>
              <w:rPr>
                <w:color w:val="000000" w:themeColor="text1"/>
                <w:lang w:val="es-CR" w:eastAsia="es-CR"/>
              </w:rPr>
            </w:pPr>
          </w:p>
        </w:tc>
        <w:tc>
          <w:tcPr>
            <w:tcW w:w="2411" w:type="pct"/>
            <w:shd w:val="clear" w:color="auto" w:fill="auto"/>
          </w:tcPr>
          <w:p w14:paraId="7D48AB52" w14:textId="77777777" w:rsidR="00CF7396" w:rsidRPr="00CF7396" w:rsidRDefault="00CF7396" w:rsidP="00CF7396">
            <w:pPr>
              <w:jc w:val="both"/>
              <w:rPr>
                <w:i/>
                <w:iCs/>
                <w:color w:val="000000" w:themeColor="text1"/>
                <w:lang w:val="es-CR" w:eastAsia="es-CR"/>
              </w:rPr>
            </w:pPr>
            <w:r w:rsidRPr="00CF7396">
              <w:rPr>
                <w:i/>
                <w:iCs/>
                <w:color w:val="000000" w:themeColor="text1"/>
                <w:lang w:val="es-CR" w:eastAsia="es-CR"/>
              </w:rPr>
              <w:t>4. El Juzgado de Familia de Limón dará prioridad al fallo de los siguientes expedientes, por lo que deberá de formular un plan remedial con el plazo para fallarlos e informará a este Consejo en un plazo de 10 días hábiles:</w:t>
            </w:r>
          </w:p>
          <w:p w14:paraId="67E16624" w14:textId="77777777" w:rsidR="00CF7396" w:rsidRPr="00CF7396" w:rsidRDefault="00CF7396" w:rsidP="00CF7396">
            <w:pPr>
              <w:jc w:val="both"/>
              <w:rPr>
                <w:i/>
                <w:iCs/>
                <w:color w:val="000000" w:themeColor="text1"/>
                <w:lang w:val="es-CR" w:eastAsia="es-CR"/>
              </w:rPr>
            </w:pPr>
          </w:p>
          <w:p w14:paraId="4D186EEF" w14:textId="77777777" w:rsidR="00CF7396" w:rsidRPr="00CF7396" w:rsidRDefault="00CF7396" w:rsidP="00CF7396">
            <w:pPr>
              <w:jc w:val="both"/>
              <w:rPr>
                <w:color w:val="000000" w:themeColor="text1"/>
                <w:lang w:val="es-CR" w:eastAsia="es-CR"/>
              </w:rPr>
            </w:pPr>
            <w:r w:rsidRPr="00CF7396">
              <w:rPr>
                <w:bCs/>
                <w:noProof/>
                <w:color w:val="000000" w:themeColor="text1"/>
                <w:lang w:val="es-CR"/>
              </w:rPr>
              <w:drawing>
                <wp:inline distT="0" distB="0" distL="0" distR="0" wp14:anchorId="0634F62D" wp14:editId="38D4DDD6">
                  <wp:extent cx="4362450" cy="257175"/>
                  <wp:effectExtent l="0" t="0" r="0" b="9525"/>
                  <wp:docPr id="26" name="Imagen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362450" cy="257175"/>
                          </a:xfrm>
                          <a:prstGeom prst="rect">
                            <a:avLst/>
                          </a:prstGeom>
                          <a:noFill/>
                          <a:ln>
                            <a:noFill/>
                            <a:prstDash/>
                          </a:ln>
                        </pic:spPr>
                      </pic:pic>
                    </a:graphicData>
                  </a:graphic>
                </wp:inline>
              </w:drawing>
            </w:r>
          </w:p>
          <w:p w14:paraId="3D64AA54" w14:textId="77777777" w:rsidR="00CF7396" w:rsidRPr="00CF7396" w:rsidRDefault="00CF7396" w:rsidP="00CF7396">
            <w:pPr>
              <w:jc w:val="both"/>
              <w:rPr>
                <w:color w:val="000000" w:themeColor="text1"/>
                <w:lang w:val="es-CR" w:eastAsia="es-CR"/>
              </w:rPr>
            </w:pPr>
          </w:p>
          <w:p w14:paraId="59E73ABF" w14:textId="77777777" w:rsidR="00CF7396" w:rsidRPr="00CF7396" w:rsidRDefault="00CF7396" w:rsidP="00CF7396">
            <w:pPr>
              <w:jc w:val="both"/>
              <w:rPr>
                <w:color w:val="000000" w:themeColor="text1"/>
                <w:lang w:val="es-CR" w:eastAsia="es-CR"/>
              </w:rPr>
            </w:pPr>
            <w:r w:rsidRPr="00CF7396">
              <w:rPr>
                <w:bCs/>
                <w:noProof/>
                <w:color w:val="000000" w:themeColor="text1"/>
                <w:lang w:val="es-CR"/>
              </w:rPr>
              <w:drawing>
                <wp:inline distT="0" distB="0" distL="0" distR="0" wp14:anchorId="594F2B24" wp14:editId="4D36DA18">
                  <wp:extent cx="4343400" cy="606408"/>
                  <wp:effectExtent l="0" t="0" r="0" b="3810"/>
                  <wp:docPr id="27" name="Imagen 10" descr="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366100" cy="609577"/>
                          </a:xfrm>
                          <a:prstGeom prst="rect">
                            <a:avLst/>
                          </a:prstGeom>
                          <a:noFill/>
                          <a:ln>
                            <a:noFill/>
                            <a:prstDash/>
                          </a:ln>
                        </pic:spPr>
                      </pic:pic>
                    </a:graphicData>
                  </a:graphic>
                </wp:inline>
              </w:drawing>
            </w:r>
          </w:p>
        </w:tc>
        <w:tc>
          <w:tcPr>
            <w:tcW w:w="427" w:type="pct"/>
            <w:vMerge/>
            <w:shd w:val="clear" w:color="auto" w:fill="auto"/>
            <w:vAlign w:val="center"/>
          </w:tcPr>
          <w:p w14:paraId="16C59040"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343B9914" w14:textId="77777777" w:rsidR="00CF7396" w:rsidRPr="00CF7396" w:rsidRDefault="00CF7396" w:rsidP="00CF7396">
            <w:pPr>
              <w:autoSpaceDE w:val="0"/>
              <w:autoSpaceDN w:val="0"/>
              <w:adjustRightInd w:val="0"/>
              <w:jc w:val="both"/>
              <w:rPr>
                <w:bCs/>
                <w:i/>
                <w:iCs/>
                <w:color w:val="000000" w:themeColor="text1"/>
                <w:kern w:val="1"/>
                <w:lang w:val="es-CR" w:eastAsia="zh-CN" w:bidi="hi-IN"/>
              </w:rPr>
            </w:pPr>
            <w:r w:rsidRPr="00CF7396">
              <w:rPr>
                <w:bCs/>
                <w:i/>
                <w:iCs/>
                <w:color w:val="000000" w:themeColor="text1"/>
                <w:kern w:val="1"/>
                <w:lang w:val="es-CR" w:eastAsia="zh-CN" w:bidi="hi-IN"/>
              </w:rPr>
              <w:t>4. Respecto a la recomendación N°4 el Juzgado de Familia de Limón deberá dar prioridad al fallo de los siguientes expedientes, por lo que deberá de formular un plan remedial con el plazo para fallarlos e informará a este Consejo en un plazo de 10 días hábiles:</w:t>
            </w:r>
          </w:p>
          <w:p w14:paraId="6D6C6616" w14:textId="77777777" w:rsidR="00CF7396" w:rsidRPr="00CF7396" w:rsidRDefault="00CF7396" w:rsidP="00CF7396">
            <w:pPr>
              <w:jc w:val="center"/>
              <w:rPr>
                <w:i/>
                <w:iCs/>
                <w:color w:val="000000" w:themeColor="text1"/>
                <w:lang w:val="es-CR" w:eastAsia="es-CR"/>
              </w:rPr>
            </w:pPr>
          </w:p>
        </w:tc>
        <w:tc>
          <w:tcPr>
            <w:tcW w:w="687" w:type="pct"/>
            <w:shd w:val="clear" w:color="auto" w:fill="auto"/>
          </w:tcPr>
          <w:p w14:paraId="72954151"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589E73F9" w14:textId="77777777" w:rsidTr="00AF369B">
        <w:trPr>
          <w:trHeight w:val="1054"/>
          <w:jc w:val="center"/>
        </w:trPr>
        <w:tc>
          <w:tcPr>
            <w:tcW w:w="431" w:type="pct"/>
            <w:vMerge/>
            <w:shd w:val="clear" w:color="auto" w:fill="auto"/>
            <w:vAlign w:val="center"/>
          </w:tcPr>
          <w:p w14:paraId="52AED460" w14:textId="77777777" w:rsidR="00CF7396" w:rsidRPr="00CF7396" w:rsidRDefault="00CF7396" w:rsidP="00CF7396">
            <w:pPr>
              <w:jc w:val="center"/>
              <w:rPr>
                <w:color w:val="000000" w:themeColor="text1"/>
                <w:lang w:val="es-CR" w:eastAsia="es-CR"/>
              </w:rPr>
            </w:pPr>
          </w:p>
        </w:tc>
        <w:tc>
          <w:tcPr>
            <w:tcW w:w="2411" w:type="pct"/>
            <w:shd w:val="clear" w:color="auto" w:fill="auto"/>
          </w:tcPr>
          <w:p w14:paraId="18165506" w14:textId="77777777" w:rsidR="00CF7396" w:rsidRPr="00CF7396" w:rsidRDefault="00CF7396" w:rsidP="00CF7396">
            <w:pPr>
              <w:jc w:val="both"/>
              <w:rPr>
                <w:i/>
                <w:iCs/>
                <w:color w:val="000000" w:themeColor="text1"/>
                <w:lang w:val="es-CR" w:eastAsia="es-CR"/>
              </w:rPr>
            </w:pPr>
            <w:r w:rsidRPr="00CF7396">
              <w:rPr>
                <w:i/>
                <w:iCs/>
                <w:color w:val="000000" w:themeColor="text1"/>
                <w:lang w:val="es-CR" w:eastAsia="es-CR"/>
              </w:rPr>
              <w:t>5.El Consejo de Administración deberá de remitir al CACMFJ las recomendaciones dadas por esta Dirección con su respectivo acuerdo.</w:t>
            </w:r>
          </w:p>
          <w:p w14:paraId="2BC87B1B" w14:textId="77777777" w:rsidR="00CF7396" w:rsidRPr="00CF7396" w:rsidRDefault="00CF7396" w:rsidP="00CF7396">
            <w:pPr>
              <w:jc w:val="both"/>
              <w:rPr>
                <w:color w:val="000000" w:themeColor="text1"/>
                <w:lang w:val="es-CR" w:eastAsia="es-CR"/>
              </w:rPr>
            </w:pPr>
          </w:p>
        </w:tc>
        <w:tc>
          <w:tcPr>
            <w:tcW w:w="427" w:type="pct"/>
            <w:vMerge/>
            <w:shd w:val="clear" w:color="auto" w:fill="auto"/>
            <w:vAlign w:val="center"/>
          </w:tcPr>
          <w:p w14:paraId="45278FED"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19C95E20" w14:textId="77777777" w:rsidR="00CF7396" w:rsidRPr="00CF7396" w:rsidRDefault="00CF7396" w:rsidP="00CF7396">
            <w:pPr>
              <w:autoSpaceDE w:val="0"/>
              <w:autoSpaceDN w:val="0"/>
              <w:adjustRightInd w:val="0"/>
              <w:jc w:val="both"/>
              <w:rPr>
                <w:bCs/>
                <w:i/>
                <w:iCs/>
                <w:color w:val="000000" w:themeColor="text1"/>
                <w:kern w:val="1"/>
                <w:lang w:val="es-CR" w:eastAsia="zh-CN" w:bidi="hi-IN"/>
              </w:rPr>
            </w:pPr>
            <w:r w:rsidRPr="00CF7396">
              <w:rPr>
                <w:bCs/>
                <w:i/>
                <w:iCs/>
                <w:color w:val="000000" w:themeColor="text1"/>
                <w:kern w:val="1"/>
                <w:lang w:val="es-CR" w:eastAsia="zh-CN" w:bidi="hi-IN"/>
              </w:rPr>
              <w:t xml:space="preserve">5. Respecto a la recomendación N°5, este Consejo comunicará al Centro de Apoyo, los casos que no sean atendidos por los despachos una vez el Consejo </w:t>
            </w:r>
            <w:proofErr w:type="gramStart"/>
            <w:r w:rsidRPr="00CF7396">
              <w:rPr>
                <w:bCs/>
                <w:i/>
                <w:iCs/>
                <w:color w:val="000000" w:themeColor="text1"/>
                <w:kern w:val="1"/>
                <w:lang w:val="es-CR" w:eastAsia="zh-CN" w:bidi="hi-IN"/>
              </w:rPr>
              <w:t>comunique</w:t>
            </w:r>
            <w:proofErr w:type="gramEnd"/>
            <w:r w:rsidRPr="00CF7396">
              <w:rPr>
                <w:bCs/>
                <w:i/>
                <w:iCs/>
                <w:color w:val="000000" w:themeColor="text1"/>
                <w:kern w:val="1"/>
                <w:lang w:val="es-CR" w:eastAsia="zh-CN" w:bidi="hi-IN"/>
              </w:rPr>
              <w:t xml:space="preserve"> lo pertinente a las oficinas y que se considere que deben ser elevadas a ese Centro. </w:t>
            </w:r>
          </w:p>
          <w:p w14:paraId="5D2CC219" w14:textId="77777777" w:rsidR="00CF7396" w:rsidRPr="00CF7396" w:rsidRDefault="00CF7396" w:rsidP="00CF7396">
            <w:pPr>
              <w:jc w:val="center"/>
              <w:rPr>
                <w:i/>
                <w:iCs/>
                <w:color w:val="000000" w:themeColor="text1"/>
                <w:lang w:val="es-CR" w:eastAsia="es-CR"/>
              </w:rPr>
            </w:pPr>
          </w:p>
        </w:tc>
        <w:tc>
          <w:tcPr>
            <w:tcW w:w="687" w:type="pct"/>
            <w:shd w:val="clear" w:color="auto" w:fill="auto"/>
          </w:tcPr>
          <w:p w14:paraId="191F161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64717FAC" w14:textId="77777777" w:rsidTr="00AF369B">
        <w:trPr>
          <w:trHeight w:val="576"/>
          <w:jc w:val="center"/>
        </w:trPr>
        <w:tc>
          <w:tcPr>
            <w:tcW w:w="431" w:type="pct"/>
            <w:vMerge/>
            <w:shd w:val="clear" w:color="auto" w:fill="auto"/>
            <w:vAlign w:val="center"/>
          </w:tcPr>
          <w:p w14:paraId="51D40394" w14:textId="77777777" w:rsidR="00CF7396" w:rsidRPr="00CF7396" w:rsidRDefault="00CF7396" w:rsidP="00CF7396">
            <w:pPr>
              <w:jc w:val="center"/>
              <w:rPr>
                <w:color w:val="000000" w:themeColor="text1"/>
                <w:lang w:val="es-CR" w:eastAsia="es-CR"/>
              </w:rPr>
            </w:pPr>
          </w:p>
        </w:tc>
        <w:tc>
          <w:tcPr>
            <w:tcW w:w="2411" w:type="pct"/>
            <w:shd w:val="clear" w:color="auto" w:fill="auto"/>
          </w:tcPr>
          <w:p w14:paraId="4D9A22BA" w14:textId="77777777" w:rsidR="00CF7396" w:rsidRPr="00CF7396" w:rsidRDefault="00CF7396" w:rsidP="00CF7396">
            <w:pPr>
              <w:jc w:val="both"/>
              <w:rPr>
                <w:i/>
                <w:iCs/>
                <w:color w:val="000000" w:themeColor="text1"/>
                <w:lang w:val="es-CR" w:eastAsia="es-CR"/>
              </w:rPr>
            </w:pPr>
            <w:r w:rsidRPr="00CF7396">
              <w:rPr>
                <w:i/>
                <w:iCs/>
                <w:color w:val="000000" w:themeColor="text1"/>
                <w:lang w:val="es-CR" w:eastAsia="es-CR"/>
              </w:rPr>
              <w:t xml:space="preserve">6. Instar al Tribunal Penal y a la Sección de Flagrancia en continuar realizando los esfuerzos por cumplir con el porcentaje de cumplimiento de cuotas de trabajo; así como con la cantidad de expedientes señalados a juicio, el mínimo de las 20 colaboraciones de la Sección de Flagrancia con expedientes del ordinario y velar por el cumplimiento de las cuotas de la persona juzgadora del Centro que se encuentra realizando las prescripciones de </w:t>
            </w:r>
            <w:proofErr w:type="spellStart"/>
            <w:r w:rsidRPr="00CF7396">
              <w:rPr>
                <w:i/>
                <w:iCs/>
                <w:color w:val="000000" w:themeColor="text1"/>
                <w:lang w:val="es-CR" w:eastAsia="es-CR"/>
              </w:rPr>
              <w:t>Bribrí</w:t>
            </w:r>
            <w:proofErr w:type="spellEnd"/>
            <w:r w:rsidRPr="00CF7396">
              <w:rPr>
                <w:i/>
                <w:iCs/>
                <w:color w:val="000000" w:themeColor="text1"/>
                <w:lang w:val="es-CR" w:eastAsia="es-CR"/>
              </w:rPr>
              <w:t>.</w:t>
            </w:r>
          </w:p>
          <w:p w14:paraId="2D330ADE" w14:textId="77777777" w:rsidR="00CF7396" w:rsidRPr="00CF7396" w:rsidRDefault="00CF7396" w:rsidP="00CF7396">
            <w:pPr>
              <w:jc w:val="both"/>
              <w:rPr>
                <w:i/>
                <w:iCs/>
                <w:color w:val="000000" w:themeColor="text1"/>
                <w:lang w:val="es-CR" w:eastAsia="es-CR"/>
              </w:rPr>
            </w:pPr>
          </w:p>
          <w:p w14:paraId="1A34C390" w14:textId="77777777" w:rsidR="00CF7396" w:rsidRPr="00CF7396" w:rsidRDefault="00CF7396" w:rsidP="00CF7396">
            <w:pPr>
              <w:jc w:val="center"/>
              <w:rPr>
                <w:i/>
                <w:iCs/>
                <w:color w:val="000000" w:themeColor="text1"/>
                <w:lang w:val="es-CR" w:eastAsia="es-CR"/>
              </w:rPr>
            </w:pPr>
            <w:r w:rsidRPr="00CF7396">
              <w:rPr>
                <w:i/>
                <w:iCs/>
                <w:noProof/>
                <w:color w:val="000000" w:themeColor="text1"/>
                <w:lang w:val="es-CR" w:eastAsia="es-CR"/>
              </w:rPr>
              <w:drawing>
                <wp:inline distT="0" distB="0" distL="0" distR="0" wp14:anchorId="4C59B8A3" wp14:editId="290D30F7">
                  <wp:extent cx="781050" cy="514350"/>
                  <wp:effectExtent l="0" t="0" r="0" b="0"/>
                  <wp:docPr id="17" name="Imagen 17"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Aplicación, Sitio web&#10;&#10;Descripción generada automáticamen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81050" cy="514350"/>
                          </a:xfrm>
                          <a:prstGeom prst="rect">
                            <a:avLst/>
                          </a:prstGeom>
                          <a:noFill/>
                        </pic:spPr>
                      </pic:pic>
                    </a:graphicData>
                  </a:graphic>
                </wp:inline>
              </w:drawing>
            </w:r>
          </w:p>
        </w:tc>
        <w:tc>
          <w:tcPr>
            <w:tcW w:w="427" w:type="pct"/>
            <w:vMerge/>
            <w:shd w:val="clear" w:color="auto" w:fill="auto"/>
            <w:vAlign w:val="center"/>
          </w:tcPr>
          <w:p w14:paraId="753F27C7"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12E5ED8A" w14:textId="77777777" w:rsidR="00CF7396" w:rsidRPr="00CF7396" w:rsidRDefault="00CF7396" w:rsidP="00CF7396">
            <w:pPr>
              <w:autoSpaceDE w:val="0"/>
              <w:autoSpaceDN w:val="0"/>
              <w:adjustRightInd w:val="0"/>
              <w:jc w:val="center"/>
              <w:rPr>
                <w:bCs/>
                <w:color w:val="000000" w:themeColor="text1"/>
                <w:kern w:val="1"/>
                <w:lang w:val="es-CR" w:eastAsia="zh-CN" w:bidi="hi-IN"/>
              </w:rPr>
            </w:pPr>
            <w:r w:rsidRPr="00CF7396">
              <w:rPr>
                <w:bCs/>
                <w:color w:val="000000" w:themeColor="text1"/>
                <w:kern w:val="1"/>
                <w:lang w:val="es-CR" w:eastAsia="zh-CN" w:bidi="hi-IN"/>
              </w:rPr>
              <w:t>Aprobada.</w:t>
            </w:r>
          </w:p>
          <w:p w14:paraId="19D67E82" w14:textId="77777777" w:rsidR="00CF7396" w:rsidRPr="00CF7396" w:rsidRDefault="00CF7396" w:rsidP="00CF7396">
            <w:pPr>
              <w:autoSpaceDE w:val="0"/>
              <w:autoSpaceDN w:val="0"/>
              <w:adjustRightInd w:val="0"/>
              <w:jc w:val="both"/>
              <w:rPr>
                <w:i/>
                <w:iCs/>
                <w:color w:val="000000" w:themeColor="text1"/>
                <w:kern w:val="1"/>
                <w:lang w:val="es-CR" w:eastAsia="es-CR" w:bidi="hi-IN"/>
              </w:rPr>
            </w:pPr>
          </w:p>
        </w:tc>
        <w:tc>
          <w:tcPr>
            <w:tcW w:w="687" w:type="pct"/>
            <w:shd w:val="clear" w:color="auto" w:fill="auto"/>
          </w:tcPr>
          <w:p w14:paraId="54BFFD9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 parcialmente, en el punto 4.2.2 se amplió el tema, propiamente en dónde refiere al Tribunal Penal y la Sección de Flagrancia de Limón.</w:t>
            </w:r>
          </w:p>
        </w:tc>
      </w:tr>
      <w:tr w:rsidR="00CF7396" w:rsidRPr="00CF7396" w14:paraId="1FD3EA3F" w14:textId="77777777" w:rsidTr="00AF369B">
        <w:trPr>
          <w:trHeight w:val="555"/>
          <w:jc w:val="center"/>
        </w:trPr>
        <w:tc>
          <w:tcPr>
            <w:tcW w:w="431" w:type="pct"/>
            <w:vMerge w:val="restart"/>
            <w:shd w:val="clear" w:color="auto" w:fill="auto"/>
            <w:vAlign w:val="center"/>
          </w:tcPr>
          <w:p w14:paraId="713BCB30" w14:textId="77777777" w:rsidR="00CF7396" w:rsidRPr="00CF7396" w:rsidRDefault="00CF7396" w:rsidP="00CF7396">
            <w:pPr>
              <w:jc w:val="center"/>
              <w:rPr>
                <w:color w:val="000000" w:themeColor="text1"/>
                <w:lang w:val="es-CR" w:eastAsia="es-CR"/>
              </w:rPr>
            </w:pPr>
          </w:p>
          <w:p w14:paraId="1DEEEB3F" w14:textId="77777777" w:rsidR="00CF7396" w:rsidRPr="00CF7396" w:rsidRDefault="00CF7396" w:rsidP="00CF7396">
            <w:pPr>
              <w:jc w:val="center"/>
              <w:rPr>
                <w:color w:val="000000" w:themeColor="text1"/>
                <w:lang w:val="es-CR" w:eastAsia="es-CR"/>
              </w:rPr>
            </w:pPr>
          </w:p>
          <w:p w14:paraId="71C39EA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Agosto</w:t>
            </w:r>
          </w:p>
        </w:tc>
        <w:tc>
          <w:tcPr>
            <w:tcW w:w="4569" w:type="pct"/>
            <w:gridSpan w:val="4"/>
            <w:shd w:val="clear" w:color="auto" w:fill="C0504D" w:themeFill="accent2"/>
          </w:tcPr>
          <w:p w14:paraId="78A9A961" w14:textId="77777777" w:rsidR="00CF7396" w:rsidRPr="00CF7396" w:rsidRDefault="00CF7396" w:rsidP="00CF7396">
            <w:pPr>
              <w:jc w:val="center"/>
              <w:rPr>
                <w:b/>
                <w:bCs/>
                <w:color w:val="000000" w:themeColor="text1"/>
                <w:lang w:val="es-CR" w:eastAsia="es-CR"/>
              </w:rPr>
            </w:pPr>
            <w:r w:rsidRPr="00CF7396">
              <w:rPr>
                <w:b/>
                <w:bCs/>
                <w:color w:val="000000" w:themeColor="text1"/>
                <w:lang w:val="es-CR" w:eastAsia="es-CR"/>
              </w:rPr>
              <w:t>Presentación 1958-PLA-EV-TR-2021, Indicadores de julio 2021</w:t>
            </w:r>
          </w:p>
        </w:tc>
      </w:tr>
      <w:tr w:rsidR="00CF7396" w:rsidRPr="00CF7396" w14:paraId="41D25B8A" w14:textId="77777777" w:rsidTr="00AF369B">
        <w:trPr>
          <w:trHeight w:val="70"/>
          <w:jc w:val="center"/>
        </w:trPr>
        <w:tc>
          <w:tcPr>
            <w:tcW w:w="431" w:type="pct"/>
            <w:vMerge/>
            <w:shd w:val="clear" w:color="auto" w:fill="auto"/>
            <w:vAlign w:val="center"/>
          </w:tcPr>
          <w:p w14:paraId="1FCE3E0B" w14:textId="77777777" w:rsidR="00CF7396" w:rsidRPr="00CF7396" w:rsidRDefault="00CF7396" w:rsidP="00CF7396">
            <w:pPr>
              <w:jc w:val="center"/>
              <w:rPr>
                <w:color w:val="000000" w:themeColor="text1"/>
                <w:lang w:val="es-CR" w:eastAsia="es-CR"/>
              </w:rPr>
            </w:pPr>
          </w:p>
        </w:tc>
        <w:tc>
          <w:tcPr>
            <w:tcW w:w="2411" w:type="pct"/>
            <w:shd w:val="clear" w:color="auto" w:fill="auto"/>
          </w:tcPr>
          <w:p w14:paraId="462EE697" w14:textId="77777777" w:rsidR="00CF7396" w:rsidRPr="00CF7396" w:rsidRDefault="00CF7396" w:rsidP="00CF7396">
            <w:pPr>
              <w:jc w:val="both"/>
              <w:rPr>
                <w:i/>
                <w:iCs/>
                <w:color w:val="000000" w:themeColor="text1"/>
                <w:lang w:val="es-CR" w:eastAsia="zh-CN"/>
              </w:rPr>
            </w:pPr>
            <w:r w:rsidRPr="00CF7396">
              <w:rPr>
                <w:bCs/>
                <w:i/>
                <w:iCs/>
                <w:color w:val="000000" w:themeColor="text1"/>
                <w:lang w:val="es-CR"/>
              </w:rPr>
              <w:t>1.</w:t>
            </w:r>
            <w:r w:rsidRPr="00CF7396">
              <w:rPr>
                <w:i/>
                <w:iCs/>
                <w:color w:val="000000" w:themeColor="text1"/>
                <w:lang w:val="es-CR" w:eastAsia="es-CR"/>
              </w:rPr>
              <w:t xml:space="preserve"> </w:t>
            </w:r>
            <w:r w:rsidRPr="00CF7396">
              <w:rPr>
                <w:bCs/>
                <w:i/>
                <w:iCs/>
                <w:color w:val="000000" w:themeColor="text1"/>
                <w:lang w:val="es-CR"/>
              </w:rPr>
              <w:t>Por segunda ocasión reiterar al Juez 3 del Juzgado de Cobro de Limón en actualizar los sistemas diarios. Al 25 de agosto se constata que tiene 1186 asuntos pendientes de firma.</w:t>
            </w:r>
          </w:p>
        </w:tc>
        <w:tc>
          <w:tcPr>
            <w:tcW w:w="427" w:type="pct"/>
            <w:vMerge w:val="restart"/>
            <w:shd w:val="clear" w:color="auto" w:fill="auto"/>
            <w:vAlign w:val="center"/>
          </w:tcPr>
          <w:p w14:paraId="10510A5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Acta 17-2021 del 26 de agosto del 2021, artículo I</w:t>
            </w:r>
          </w:p>
        </w:tc>
        <w:tc>
          <w:tcPr>
            <w:tcW w:w="1044" w:type="pct"/>
            <w:vMerge w:val="restart"/>
            <w:shd w:val="clear" w:color="auto" w:fill="auto"/>
            <w:vAlign w:val="center"/>
          </w:tcPr>
          <w:p w14:paraId="1006A37E" w14:textId="77777777" w:rsidR="00CF7396" w:rsidRPr="00CF7396" w:rsidRDefault="00CF7396" w:rsidP="00CF7396">
            <w:pPr>
              <w:jc w:val="both"/>
              <w:rPr>
                <w:i/>
                <w:iCs/>
                <w:color w:val="000000" w:themeColor="text1"/>
                <w:lang w:val="es-CR" w:eastAsia="es-CR"/>
              </w:rPr>
            </w:pPr>
            <w:r w:rsidRPr="00CF7396">
              <w:rPr>
                <w:bCs/>
                <w:i/>
                <w:iCs/>
                <w:color w:val="000000" w:themeColor="text1"/>
                <w:lang w:val="es-CR"/>
              </w:rPr>
              <w:t xml:space="preserve">Aprobar las recomendaciones de la 1 a la 6. </w:t>
            </w:r>
            <w:proofErr w:type="gramStart"/>
            <w:r w:rsidRPr="00CF7396">
              <w:rPr>
                <w:bCs/>
                <w:i/>
                <w:iCs/>
                <w:color w:val="000000" w:themeColor="text1"/>
                <w:lang w:val="es-CR"/>
              </w:rPr>
              <w:t>Además</w:t>
            </w:r>
            <w:proofErr w:type="gramEnd"/>
            <w:r w:rsidRPr="00CF7396">
              <w:rPr>
                <w:bCs/>
                <w:i/>
                <w:iCs/>
                <w:color w:val="000000" w:themeColor="text1"/>
                <w:lang w:val="es-CR"/>
              </w:rPr>
              <w:t xml:space="preserve"> con la recomendación N°5 recordar al Juzgado Contravencional de Matina sobre el correcto llenado de la minuta ya que persiste el problema de la confección de las minutas de ese despacho. En relación con la recomendación del Juzgado de Cobro reiterar al juez 3 la firma de los expedientes en virtud de que persiste la situación desde el mes anterior. Respecto a la recomendación 7 la Licda. Maribel informa que la Licda. Shirley se encuentra en realización del estudio.</w:t>
            </w:r>
          </w:p>
        </w:tc>
        <w:tc>
          <w:tcPr>
            <w:tcW w:w="687" w:type="pct"/>
            <w:shd w:val="clear" w:color="auto" w:fill="auto"/>
          </w:tcPr>
          <w:p w14:paraId="69BAE43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Sin aplicar, ver punto 4.2.1 propiamente en la parte del Juzgado de Cobro de Limón</w:t>
            </w:r>
          </w:p>
        </w:tc>
      </w:tr>
      <w:tr w:rsidR="00CF7396" w:rsidRPr="00CF7396" w14:paraId="3F3A8372" w14:textId="77777777" w:rsidTr="00AF369B">
        <w:trPr>
          <w:trHeight w:val="1065"/>
          <w:jc w:val="center"/>
        </w:trPr>
        <w:tc>
          <w:tcPr>
            <w:tcW w:w="431" w:type="pct"/>
            <w:vMerge/>
            <w:shd w:val="clear" w:color="auto" w:fill="auto"/>
            <w:vAlign w:val="center"/>
          </w:tcPr>
          <w:p w14:paraId="3E0E8823" w14:textId="77777777" w:rsidR="00CF7396" w:rsidRPr="00CF7396" w:rsidRDefault="00CF7396" w:rsidP="00CF7396">
            <w:pPr>
              <w:jc w:val="center"/>
              <w:rPr>
                <w:color w:val="000000" w:themeColor="text1"/>
                <w:lang w:val="es-CR" w:eastAsia="es-CR"/>
              </w:rPr>
            </w:pPr>
          </w:p>
        </w:tc>
        <w:tc>
          <w:tcPr>
            <w:tcW w:w="2411" w:type="pct"/>
            <w:shd w:val="clear" w:color="auto" w:fill="auto"/>
          </w:tcPr>
          <w:p w14:paraId="4E8979BC" w14:textId="77777777" w:rsidR="00CF7396" w:rsidRPr="00CF7396" w:rsidRDefault="00CF7396" w:rsidP="00CF7396">
            <w:pPr>
              <w:jc w:val="both"/>
              <w:rPr>
                <w:i/>
                <w:iCs/>
                <w:color w:val="000000" w:themeColor="text1"/>
                <w:lang w:val="es-CR"/>
              </w:rPr>
            </w:pPr>
            <w:r w:rsidRPr="00CF7396">
              <w:rPr>
                <w:bCs/>
                <w:i/>
                <w:iCs/>
                <w:color w:val="000000" w:themeColor="text1"/>
                <w:lang w:val="es-CR"/>
              </w:rPr>
              <w:t xml:space="preserve">2. Por segunda ocasión el Juzgado de Familia, aún mantiene pendiente de fallo el expediente 19-000828-1152-FA. En la sesión de julio se había recomendado el fallo de dicho expediente e informar al Consejo, por lo anterior deberá de referirse al respecto. </w:t>
            </w:r>
          </w:p>
          <w:p w14:paraId="0B100508" w14:textId="77777777" w:rsidR="00CF7396" w:rsidRPr="00CF7396" w:rsidRDefault="00CF7396" w:rsidP="00CF7396">
            <w:pPr>
              <w:jc w:val="both"/>
              <w:rPr>
                <w:i/>
                <w:iCs/>
                <w:color w:val="000000" w:themeColor="text1"/>
                <w:lang w:val="es-CR" w:eastAsia="es-CR"/>
              </w:rPr>
            </w:pPr>
          </w:p>
        </w:tc>
        <w:tc>
          <w:tcPr>
            <w:tcW w:w="427" w:type="pct"/>
            <w:vMerge/>
            <w:shd w:val="clear" w:color="auto" w:fill="auto"/>
            <w:vAlign w:val="center"/>
          </w:tcPr>
          <w:p w14:paraId="009DAE52" w14:textId="77777777" w:rsidR="00CF7396" w:rsidRPr="00CF7396" w:rsidRDefault="00CF7396" w:rsidP="00CF7396">
            <w:pPr>
              <w:jc w:val="center"/>
              <w:rPr>
                <w:color w:val="000000" w:themeColor="text1"/>
                <w:lang w:val="es-CR" w:eastAsia="es-CR"/>
              </w:rPr>
            </w:pPr>
          </w:p>
        </w:tc>
        <w:tc>
          <w:tcPr>
            <w:tcW w:w="1044" w:type="pct"/>
            <w:vMerge/>
            <w:shd w:val="clear" w:color="auto" w:fill="auto"/>
            <w:vAlign w:val="center"/>
          </w:tcPr>
          <w:p w14:paraId="3C352BEC" w14:textId="77777777" w:rsidR="00CF7396" w:rsidRPr="00CF7396" w:rsidRDefault="00CF7396" w:rsidP="00CF7396">
            <w:pPr>
              <w:jc w:val="center"/>
              <w:rPr>
                <w:i/>
                <w:iCs/>
                <w:color w:val="000000" w:themeColor="text1"/>
                <w:lang w:val="es-CR" w:eastAsia="es-CR"/>
              </w:rPr>
            </w:pPr>
          </w:p>
        </w:tc>
        <w:tc>
          <w:tcPr>
            <w:tcW w:w="687" w:type="pct"/>
            <w:shd w:val="clear" w:color="auto" w:fill="auto"/>
          </w:tcPr>
          <w:p w14:paraId="5EE2D60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1AFB1FBB" w14:textId="77777777" w:rsidTr="00AF369B">
        <w:trPr>
          <w:trHeight w:val="711"/>
          <w:jc w:val="center"/>
        </w:trPr>
        <w:tc>
          <w:tcPr>
            <w:tcW w:w="431" w:type="pct"/>
            <w:vMerge/>
            <w:shd w:val="clear" w:color="auto" w:fill="auto"/>
            <w:vAlign w:val="center"/>
          </w:tcPr>
          <w:p w14:paraId="42D17445" w14:textId="77777777" w:rsidR="00CF7396" w:rsidRPr="00CF7396" w:rsidRDefault="00CF7396" w:rsidP="00CF7396">
            <w:pPr>
              <w:jc w:val="center"/>
              <w:rPr>
                <w:color w:val="000000" w:themeColor="text1"/>
                <w:lang w:val="es-CR" w:eastAsia="es-CR"/>
              </w:rPr>
            </w:pPr>
          </w:p>
        </w:tc>
        <w:tc>
          <w:tcPr>
            <w:tcW w:w="2411" w:type="pct"/>
            <w:shd w:val="clear" w:color="auto" w:fill="auto"/>
          </w:tcPr>
          <w:p w14:paraId="78665C52" w14:textId="77777777" w:rsidR="00CF7396" w:rsidRPr="00CF7396" w:rsidRDefault="00CF7396" w:rsidP="00CF7396">
            <w:pPr>
              <w:jc w:val="both"/>
              <w:rPr>
                <w:i/>
                <w:iCs/>
                <w:color w:val="000000" w:themeColor="text1"/>
                <w:lang w:val="es-CR"/>
              </w:rPr>
            </w:pPr>
            <w:r w:rsidRPr="00CF7396">
              <w:rPr>
                <w:bCs/>
                <w:i/>
                <w:iCs/>
                <w:color w:val="000000" w:themeColor="text1"/>
                <w:lang w:val="es-CR"/>
              </w:rPr>
              <w:t>3. Reconocer a las personas juzgadoras de trámite y de fondo del Juzgado de Pensiones Alimentarias de Limón, los esfuerzos realizados por superar los rangos establecidos de sus cuotas de trabajo.</w:t>
            </w:r>
          </w:p>
          <w:p w14:paraId="09F0AD27" w14:textId="77777777" w:rsidR="00CF7396" w:rsidRPr="00CF7396" w:rsidRDefault="00CF7396" w:rsidP="00CF7396">
            <w:pPr>
              <w:jc w:val="both"/>
              <w:rPr>
                <w:i/>
                <w:iCs/>
                <w:color w:val="000000" w:themeColor="text1"/>
                <w:lang w:val="es-CR" w:eastAsia="es-CR"/>
              </w:rPr>
            </w:pPr>
          </w:p>
        </w:tc>
        <w:tc>
          <w:tcPr>
            <w:tcW w:w="427" w:type="pct"/>
            <w:vMerge/>
            <w:shd w:val="clear" w:color="auto" w:fill="auto"/>
            <w:vAlign w:val="center"/>
          </w:tcPr>
          <w:p w14:paraId="712F7247" w14:textId="77777777" w:rsidR="00CF7396" w:rsidRPr="00CF7396" w:rsidRDefault="00CF7396" w:rsidP="00CF7396">
            <w:pPr>
              <w:jc w:val="center"/>
              <w:rPr>
                <w:color w:val="000000" w:themeColor="text1"/>
                <w:lang w:val="es-CR" w:eastAsia="es-CR"/>
              </w:rPr>
            </w:pPr>
          </w:p>
        </w:tc>
        <w:tc>
          <w:tcPr>
            <w:tcW w:w="1044" w:type="pct"/>
            <w:vMerge/>
            <w:shd w:val="clear" w:color="auto" w:fill="auto"/>
            <w:vAlign w:val="center"/>
          </w:tcPr>
          <w:p w14:paraId="44400813" w14:textId="77777777" w:rsidR="00CF7396" w:rsidRPr="00CF7396" w:rsidRDefault="00CF7396" w:rsidP="00CF7396">
            <w:pPr>
              <w:jc w:val="center"/>
              <w:rPr>
                <w:i/>
                <w:iCs/>
                <w:color w:val="000000" w:themeColor="text1"/>
                <w:lang w:val="es-CR" w:eastAsia="es-CR"/>
              </w:rPr>
            </w:pPr>
          </w:p>
        </w:tc>
        <w:tc>
          <w:tcPr>
            <w:tcW w:w="687" w:type="pct"/>
            <w:shd w:val="clear" w:color="auto" w:fill="auto"/>
          </w:tcPr>
          <w:p w14:paraId="6782AB8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5C87F0ED" w14:textId="77777777" w:rsidTr="00AF369B">
        <w:trPr>
          <w:trHeight w:val="962"/>
          <w:jc w:val="center"/>
        </w:trPr>
        <w:tc>
          <w:tcPr>
            <w:tcW w:w="431" w:type="pct"/>
            <w:vMerge/>
            <w:shd w:val="clear" w:color="auto" w:fill="auto"/>
            <w:vAlign w:val="center"/>
          </w:tcPr>
          <w:p w14:paraId="2EFCF990" w14:textId="77777777" w:rsidR="00CF7396" w:rsidRPr="00CF7396" w:rsidRDefault="00CF7396" w:rsidP="00CF7396">
            <w:pPr>
              <w:jc w:val="center"/>
              <w:rPr>
                <w:color w:val="000000" w:themeColor="text1"/>
                <w:lang w:val="es-CR" w:eastAsia="es-CR"/>
              </w:rPr>
            </w:pPr>
          </w:p>
        </w:tc>
        <w:tc>
          <w:tcPr>
            <w:tcW w:w="2411" w:type="pct"/>
            <w:shd w:val="clear" w:color="auto" w:fill="auto"/>
          </w:tcPr>
          <w:p w14:paraId="39FEDEBB" w14:textId="77777777" w:rsidR="00CF7396" w:rsidRPr="00CF7396" w:rsidRDefault="00CF7396" w:rsidP="00CF7396">
            <w:pPr>
              <w:jc w:val="both"/>
              <w:rPr>
                <w:i/>
                <w:iCs/>
                <w:color w:val="000000" w:themeColor="text1"/>
                <w:lang w:val="es-CR"/>
              </w:rPr>
            </w:pPr>
            <w:r w:rsidRPr="00CF7396">
              <w:rPr>
                <w:bCs/>
                <w:i/>
                <w:iCs/>
                <w:color w:val="000000" w:themeColor="text1"/>
                <w:lang w:val="es-CR"/>
              </w:rPr>
              <w:t>4. El Juzgado Agrario, deberá de tomar las medidas necesarias para mejorar los Indicadores de gestión, formulando planes remediales efectivos, ya que se detecta incumplimiento en los planes conforme al Modelo de Sostenibilidad, por lo que de requerirse asesoría podrá contar con la Profesional de Planificación</w:t>
            </w:r>
          </w:p>
          <w:p w14:paraId="01B38879" w14:textId="77777777" w:rsidR="00CF7396" w:rsidRPr="00CF7396" w:rsidRDefault="00CF7396" w:rsidP="00CF7396">
            <w:pPr>
              <w:jc w:val="both"/>
              <w:rPr>
                <w:i/>
                <w:iCs/>
                <w:color w:val="000000" w:themeColor="text1"/>
                <w:lang w:val="es-CR" w:eastAsia="es-CR"/>
              </w:rPr>
            </w:pPr>
          </w:p>
        </w:tc>
        <w:tc>
          <w:tcPr>
            <w:tcW w:w="427" w:type="pct"/>
            <w:vMerge/>
            <w:shd w:val="clear" w:color="auto" w:fill="auto"/>
            <w:vAlign w:val="center"/>
          </w:tcPr>
          <w:p w14:paraId="5F8749F2" w14:textId="77777777" w:rsidR="00CF7396" w:rsidRPr="00CF7396" w:rsidRDefault="00CF7396" w:rsidP="00CF7396">
            <w:pPr>
              <w:jc w:val="center"/>
              <w:rPr>
                <w:color w:val="000000" w:themeColor="text1"/>
                <w:lang w:val="es-CR" w:eastAsia="es-CR"/>
              </w:rPr>
            </w:pPr>
          </w:p>
        </w:tc>
        <w:tc>
          <w:tcPr>
            <w:tcW w:w="1044" w:type="pct"/>
            <w:vMerge/>
            <w:shd w:val="clear" w:color="auto" w:fill="auto"/>
            <w:vAlign w:val="center"/>
          </w:tcPr>
          <w:p w14:paraId="642CA766" w14:textId="77777777" w:rsidR="00CF7396" w:rsidRPr="00CF7396" w:rsidRDefault="00CF7396" w:rsidP="00CF7396">
            <w:pPr>
              <w:jc w:val="center"/>
              <w:rPr>
                <w:i/>
                <w:iCs/>
                <w:color w:val="000000" w:themeColor="text1"/>
                <w:lang w:val="es-CR" w:eastAsia="es-CR"/>
              </w:rPr>
            </w:pPr>
          </w:p>
        </w:tc>
        <w:tc>
          <w:tcPr>
            <w:tcW w:w="687" w:type="pct"/>
            <w:shd w:val="clear" w:color="auto" w:fill="auto"/>
          </w:tcPr>
          <w:p w14:paraId="201EE6C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 parcialmente, en el punto 4.2.2, específicamente en el Juzgado Agrario se amplió al respecto.</w:t>
            </w:r>
          </w:p>
        </w:tc>
      </w:tr>
      <w:tr w:rsidR="00CF7396" w:rsidRPr="00CF7396" w14:paraId="75DABE66" w14:textId="77777777" w:rsidTr="00AF369B">
        <w:trPr>
          <w:trHeight w:val="835"/>
          <w:jc w:val="center"/>
        </w:trPr>
        <w:tc>
          <w:tcPr>
            <w:tcW w:w="431" w:type="pct"/>
            <w:vMerge/>
            <w:shd w:val="clear" w:color="auto" w:fill="auto"/>
            <w:vAlign w:val="center"/>
          </w:tcPr>
          <w:p w14:paraId="66329A5F" w14:textId="77777777" w:rsidR="00CF7396" w:rsidRPr="00CF7396" w:rsidRDefault="00CF7396" w:rsidP="00CF7396">
            <w:pPr>
              <w:jc w:val="center"/>
              <w:rPr>
                <w:color w:val="000000" w:themeColor="text1"/>
                <w:lang w:val="es-CR" w:eastAsia="es-CR"/>
              </w:rPr>
            </w:pPr>
          </w:p>
        </w:tc>
        <w:tc>
          <w:tcPr>
            <w:tcW w:w="2411" w:type="pct"/>
            <w:shd w:val="clear" w:color="auto" w:fill="auto"/>
          </w:tcPr>
          <w:p w14:paraId="3E592C64" w14:textId="77777777" w:rsidR="00CF7396" w:rsidRPr="00CF7396" w:rsidRDefault="00CF7396" w:rsidP="00CF7396">
            <w:pPr>
              <w:jc w:val="both"/>
              <w:rPr>
                <w:i/>
                <w:iCs/>
                <w:color w:val="000000" w:themeColor="text1"/>
                <w:lang w:val="es-CR"/>
              </w:rPr>
            </w:pPr>
            <w:r w:rsidRPr="00CF7396">
              <w:rPr>
                <w:bCs/>
                <w:i/>
                <w:iCs/>
                <w:color w:val="000000" w:themeColor="text1"/>
                <w:lang w:val="es-CR"/>
              </w:rPr>
              <w:t>5. El Juzgado Contravencional de Matina, deberá dar prioridad al fallo de los expedientes que tiene vencido desde el 19 de marzo en el buzón de tareas con número 20-000519-1540-FC o bien referirse ante el Consejo sobre dicho expediente.</w:t>
            </w:r>
          </w:p>
        </w:tc>
        <w:tc>
          <w:tcPr>
            <w:tcW w:w="427" w:type="pct"/>
            <w:vMerge/>
            <w:shd w:val="clear" w:color="auto" w:fill="auto"/>
            <w:vAlign w:val="center"/>
          </w:tcPr>
          <w:p w14:paraId="7E08D828" w14:textId="77777777" w:rsidR="00CF7396" w:rsidRPr="00CF7396" w:rsidRDefault="00CF7396" w:rsidP="00CF7396">
            <w:pPr>
              <w:jc w:val="center"/>
              <w:rPr>
                <w:color w:val="000000" w:themeColor="text1"/>
                <w:lang w:val="es-CR" w:eastAsia="es-CR"/>
              </w:rPr>
            </w:pPr>
          </w:p>
        </w:tc>
        <w:tc>
          <w:tcPr>
            <w:tcW w:w="1044" w:type="pct"/>
            <w:vMerge/>
            <w:shd w:val="clear" w:color="auto" w:fill="auto"/>
            <w:vAlign w:val="center"/>
          </w:tcPr>
          <w:p w14:paraId="345982F3" w14:textId="77777777" w:rsidR="00CF7396" w:rsidRPr="00CF7396" w:rsidRDefault="00CF7396" w:rsidP="00CF7396">
            <w:pPr>
              <w:jc w:val="center"/>
              <w:rPr>
                <w:i/>
                <w:iCs/>
                <w:color w:val="000000" w:themeColor="text1"/>
                <w:lang w:val="es-CR" w:eastAsia="es-CR"/>
              </w:rPr>
            </w:pPr>
          </w:p>
        </w:tc>
        <w:tc>
          <w:tcPr>
            <w:tcW w:w="687" w:type="pct"/>
            <w:shd w:val="clear" w:color="auto" w:fill="auto"/>
          </w:tcPr>
          <w:p w14:paraId="6901670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01BF92ED" w14:textId="77777777" w:rsidTr="00AF369B">
        <w:trPr>
          <w:trHeight w:val="550"/>
          <w:jc w:val="center"/>
        </w:trPr>
        <w:tc>
          <w:tcPr>
            <w:tcW w:w="431" w:type="pct"/>
            <w:vMerge/>
            <w:shd w:val="clear" w:color="auto" w:fill="auto"/>
            <w:vAlign w:val="center"/>
          </w:tcPr>
          <w:p w14:paraId="63C7521A" w14:textId="77777777" w:rsidR="00CF7396" w:rsidRPr="00CF7396" w:rsidRDefault="00CF7396" w:rsidP="00CF7396">
            <w:pPr>
              <w:jc w:val="center"/>
              <w:rPr>
                <w:color w:val="000000" w:themeColor="text1"/>
                <w:lang w:val="es-CR" w:eastAsia="es-CR"/>
              </w:rPr>
            </w:pPr>
          </w:p>
        </w:tc>
        <w:tc>
          <w:tcPr>
            <w:tcW w:w="2411" w:type="pct"/>
            <w:shd w:val="clear" w:color="auto" w:fill="auto"/>
          </w:tcPr>
          <w:p w14:paraId="70A5A3CE" w14:textId="77777777" w:rsidR="00CF7396" w:rsidRPr="00CF7396" w:rsidRDefault="00CF7396" w:rsidP="00CF7396">
            <w:pPr>
              <w:jc w:val="both"/>
              <w:rPr>
                <w:i/>
                <w:iCs/>
                <w:color w:val="000000" w:themeColor="text1"/>
                <w:lang w:val="es-CR" w:eastAsia="es-CR"/>
              </w:rPr>
            </w:pPr>
            <w:r w:rsidRPr="00CF7396">
              <w:rPr>
                <w:bCs/>
                <w:i/>
                <w:iCs/>
                <w:color w:val="000000" w:themeColor="text1"/>
                <w:lang w:val="es-CR" w:eastAsia="es-CR"/>
              </w:rPr>
              <w:t>6. La Administración Regional remitirá a la Profesional de Planificación la plantilla de seguimiento del personal supernumerario correspondiente a julio.</w:t>
            </w:r>
          </w:p>
        </w:tc>
        <w:tc>
          <w:tcPr>
            <w:tcW w:w="427" w:type="pct"/>
            <w:vMerge/>
            <w:shd w:val="clear" w:color="auto" w:fill="auto"/>
            <w:vAlign w:val="center"/>
          </w:tcPr>
          <w:p w14:paraId="1D8A196A" w14:textId="77777777" w:rsidR="00CF7396" w:rsidRPr="00CF7396" w:rsidRDefault="00CF7396" w:rsidP="00CF7396">
            <w:pPr>
              <w:jc w:val="center"/>
              <w:rPr>
                <w:color w:val="000000" w:themeColor="text1"/>
                <w:lang w:val="es-CR" w:eastAsia="es-CR"/>
              </w:rPr>
            </w:pPr>
          </w:p>
        </w:tc>
        <w:tc>
          <w:tcPr>
            <w:tcW w:w="1044" w:type="pct"/>
            <w:vMerge/>
            <w:shd w:val="clear" w:color="auto" w:fill="auto"/>
            <w:vAlign w:val="center"/>
          </w:tcPr>
          <w:p w14:paraId="55FDA97C" w14:textId="77777777" w:rsidR="00CF7396" w:rsidRPr="00CF7396" w:rsidRDefault="00CF7396" w:rsidP="00CF7396">
            <w:pPr>
              <w:jc w:val="center"/>
              <w:rPr>
                <w:i/>
                <w:iCs/>
                <w:color w:val="000000" w:themeColor="text1"/>
                <w:lang w:val="es-CR" w:eastAsia="es-CR"/>
              </w:rPr>
            </w:pPr>
          </w:p>
        </w:tc>
        <w:tc>
          <w:tcPr>
            <w:tcW w:w="687" w:type="pct"/>
            <w:shd w:val="clear" w:color="auto" w:fill="auto"/>
          </w:tcPr>
          <w:p w14:paraId="7F5BD9C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224D7525" w14:textId="77777777" w:rsidTr="00AF369B">
        <w:trPr>
          <w:trHeight w:val="1925"/>
          <w:jc w:val="center"/>
        </w:trPr>
        <w:tc>
          <w:tcPr>
            <w:tcW w:w="431" w:type="pct"/>
            <w:vMerge/>
            <w:shd w:val="clear" w:color="auto" w:fill="auto"/>
            <w:vAlign w:val="center"/>
          </w:tcPr>
          <w:p w14:paraId="2D742E8B" w14:textId="77777777" w:rsidR="00CF7396" w:rsidRPr="00CF7396" w:rsidRDefault="00CF7396" w:rsidP="00CF7396">
            <w:pPr>
              <w:jc w:val="center"/>
              <w:rPr>
                <w:color w:val="000000" w:themeColor="text1"/>
                <w:lang w:val="es-CR" w:eastAsia="es-CR"/>
              </w:rPr>
            </w:pPr>
          </w:p>
        </w:tc>
        <w:tc>
          <w:tcPr>
            <w:tcW w:w="2411" w:type="pct"/>
            <w:shd w:val="clear" w:color="auto" w:fill="auto"/>
          </w:tcPr>
          <w:p w14:paraId="5D2A56ED" w14:textId="77777777" w:rsidR="00CF7396" w:rsidRPr="00CF7396" w:rsidRDefault="00CF7396" w:rsidP="00CF7396">
            <w:pPr>
              <w:jc w:val="both"/>
              <w:rPr>
                <w:bCs/>
                <w:i/>
                <w:iCs/>
                <w:color w:val="000000" w:themeColor="text1"/>
                <w:lang w:val="es-CR"/>
              </w:rPr>
            </w:pPr>
            <w:r w:rsidRPr="00CF7396">
              <w:rPr>
                <w:bCs/>
                <w:i/>
                <w:iCs/>
                <w:color w:val="000000" w:themeColor="text1"/>
                <w:lang w:val="es-CR"/>
              </w:rPr>
              <w:t>7. La Administración Regional valorará si con recurso de la oficina pueden brindarle apoyo a la Coordinadora Shirley, tal como lo había recomendado la Dirección de Planificación en la reunión realizada a inicios de año para que valorarán en conformar un equipo de mejora con recursos de la Administración e informará a este Consejo para la siguiente sesión.</w:t>
            </w:r>
          </w:p>
          <w:p w14:paraId="3C559711" w14:textId="77777777" w:rsidR="00CF7396" w:rsidRPr="00CF7396" w:rsidRDefault="00CF7396" w:rsidP="00CF7396">
            <w:pPr>
              <w:jc w:val="center"/>
              <w:rPr>
                <w:i/>
                <w:iCs/>
                <w:color w:val="000000" w:themeColor="text1"/>
                <w:lang w:val="es-CR"/>
              </w:rPr>
            </w:pPr>
            <w:r w:rsidRPr="00CF7396">
              <w:rPr>
                <w:i/>
                <w:iCs/>
                <w:noProof/>
                <w:color w:val="000000" w:themeColor="text1"/>
                <w:lang w:val="es-CR"/>
              </w:rPr>
              <w:drawing>
                <wp:inline distT="0" distB="0" distL="0" distR="0" wp14:anchorId="7A1C2ED8" wp14:editId="263E20BD">
                  <wp:extent cx="923925" cy="590550"/>
                  <wp:effectExtent l="0" t="0" r="9525" b="0"/>
                  <wp:docPr id="18" name="Imagen 1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Aplicación&#10;&#10;Descripción generada automáticament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3925" cy="590550"/>
                          </a:xfrm>
                          <a:prstGeom prst="rect">
                            <a:avLst/>
                          </a:prstGeom>
                          <a:noFill/>
                        </pic:spPr>
                      </pic:pic>
                    </a:graphicData>
                  </a:graphic>
                </wp:inline>
              </w:drawing>
            </w:r>
          </w:p>
          <w:p w14:paraId="3A914044" w14:textId="77777777" w:rsidR="00CF7396" w:rsidRPr="00CF7396" w:rsidRDefault="00CF7396" w:rsidP="00CF7396">
            <w:pPr>
              <w:jc w:val="both"/>
              <w:rPr>
                <w:bCs/>
                <w:i/>
                <w:iCs/>
                <w:color w:val="000000" w:themeColor="text1"/>
                <w:lang w:val="es-CR"/>
              </w:rPr>
            </w:pPr>
          </w:p>
        </w:tc>
        <w:tc>
          <w:tcPr>
            <w:tcW w:w="427" w:type="pct"/>
            <w:vMerge/>
            <w:shd w:val="clear" w:color="auto" w:fill="auto"/>
            <w:vAlign w:val="center"/>
          </w:tcPr>
          <w:p w14:paraId="715B496A" w14:textId="77777777" w:rsidR="00CF7396" w:rsidRPr="00CF7396" w:rsidRDefault="00CF7396" w:rsidP="00CF7396">
            <w:pPr>
              <w:jc w:val="center"/>
              <w:rPr>
                <w:color w:val="000000" w:themeColor="text1"/>
                <w:lang w:val="es-CR" w:eastAsia="es-CR"/>
              </w:rPr>
            </w:pPr>
          </w:p>
        </w:tc>
        <w:tc>
          <w:tcPr>
            <w:tcW w:w="1044" w:type="pct"/>
            <w:vMerge/>
            <w:shd w:val="clear" w:color="auto" w:fill="auto"/>
            <w:vAlign w:val="center"/>
          </w:tcPr>
          <w:p w14:paraId="561C6A1B" w14:textId="77777777" w:rsidR="00CF7396" w:rsidRPr="00CF7396" w:rsidRDefault="00CF7396" w:rsidP="00CF7396">
            <w:pPr>
              <w:jc w:val="center"/>
              <w:rPr>
                <w:i/>
                <w:iCs/>
                <w:color w:val="000000" w:themeColor="text1"/>
                <w:lang w:val="es-CR" w:eastAsia="es-CR"/>
              </w:rPr>
            </w:pPr>
          </w:p>
        </w:tc>
        <w:tc>
          <w:tcPr>
            <w:tcW w:w="687" w:type="pct"/>
            <w:shd w:val="clear" w:color="auto" w:fill="auto"/>
          </w:tcPr>
          <w:p w14:paraId="1B1F7EBA"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En proceso</w:t>
            </w:r>
          </w:p>
        </w:tc>
      </w:tr>
      <w:tr w:rsidR="00CF7396" w:rsidRPr="00CF7396" w14:paraId="3D6950DE" w14:textId="77777777" w:rsidTr="00AF369B">
        <w:trPr>
          <w:trHeight w:val="434"/>
          <w:jc w:val="center"/>
        </w:trPr>
        <w:tc>
          <w:tcPr>
            <w:tcW w:w="431" w:type="pct"/>
            <w:vMerge w:val="restart"/>
            <w:shd w:val="clear" w:color="auto" w:fill="auto"/>
            <w:vAlign w:val="center"/>
          </w:tcPr>
          <w:p w14:paraId="1093E28A" w14:textId="77777777" w:rsidR="00CF7396" w:rsidRPr="00CF7396" w:rsidRDefault="00CF7396" w:rsidP="00CF7396">
            <w:pPr>
              <w:jc w:val="center"/>
              <w:rPr>
                <w:color w:val="000000" w:themeColor="text1"/>
                <w:lang w:val="es-CR" w:eastAsia="es-CR"/>
              </w:rPr>
            </w:pPr>
          </w:p>
          <w:p w14:paraId="1466704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Setiembre</w:t>
            </w:r>
          </w:p>
        </w:tc>
        <w:tc>
          <w:tcPr>
            <w:tcW w:w="4569" w:type="pct"/>
            <w:gridSpan w:val="4"/>
            <w:shd w:val="clear" w:color="auto" w:fill="C0504D" w:themeFill="accent2"/>
          </w:tcPr>
          <w:p w14:paraId="38EED4DF" w14:textId="77777777" w:rsidR="00CF7396" w:rsidRPr="00CF7396" w:rsidRDefault="00CF7396" w:rsidP="00CF7396">
            <w:pPr>
              <w:jc w:val="center"/>
              <w:rPr>
                <w:b/>
                <w:color w:val="000000" w:themeColor="text1"/>
                <w:lang w:val="es-CR" w:eastAsia="es-CR"/>
              </w:rPr>
            </w:pPr>
            <w:r w:rsidRPr="00CF7396">
              <w:rPr>
                <w:b/>
                <w:color w:val="000000" w:themeColor="text1"/>
                <w:lang w:val="es-CR"/>
              </w:rPr>
              <w:t>Presentación 2248-PLA-EV-TR-2021, Indicadores de agosto</w:t>
            </w:r>
          </w:p>
        </w:tc>
      </w:tr>
      <w:tr w:rsidR="00CF7396" w:rsidRPr="00CF7396" w14:paraId="3A5A50F8" w14:textId="77777777" w:rsidTr="00AF369B">
        <w:trPr>
          <w:trHeight w:val="1732"/>
          <w:jc w:val="center"/>
        </w:trPr>
        <w:tc>
          <w:tcPr>
            <w:tcW w:w="431" w:type="pct"/>
            <w:vMerge/>
            <w:shd w:val="clear" w:color="auto" w:fill="auto"/>
            <w:vAlign w:val="center"/>
          </w:tcPr>
          <w:p w14:paraId="0C503708" w14:textId="77777777" w:rsidR="00CF7396" w:rsidRPr="00CF7396" w:rsidRDefault="00CF7396" w:rsidP="00CF7396">
            <w:pPr>
              <w:jc w:val="center"/>
              <w:rPr>
                <w:color w:val="000000" w:themeColor="text1"/>
                <w:lang w:val="es-CR" w:eastAsia="es-CR"/>
              </w:rPr>
            </w:pPr>
          </w:p>
        </w:tc>
        <w:tc>
          <w:tcPr>
            <w:tcW w:w="2411" w:type="pct"/>
            <w:shd w:val="clear" w:color="auto" w:fill="auto"/>
          </w:tcPr>
          <w:p w14:paraId="7C5BF456" w14:textId="77777777" w:rsidR="00CF7396" w:rsidRPr="00CF7396" w:rsidRDefault="00CF7396" w:rsidP="00CF7396">
            <w:pPr>
              <w:jc w:val="both"/>
              <w:rPr>
                <w:i/>
                <w:iCs/>
                <w:color w:val="000000" w:themeColor="text1"/>
                <w:lang w:val="es-CR" w:eastAsia="zh-CN"/>
              </w:rPr>
            </w:pPr>
            <w:r w:rsidRPr="00CF7396">
              <w:rPr>
                <w:b/>
                <w:bCs/>
                <w:i/>
                <w:iCs/>
                <w:color w:val="000000" w:themeColor="text1"/>
                <w:lang w:val="es-CR"/>
              </w:rPr>
              <w:t>1-</w:t>
            </w:r>
            <w:r w:rsidRPr="00CF7396">
              <w:rPr>
                <w:i/>
                <w:iCs/>
                <w:color w:val="000000" w:themeColor="text1"/>
                <w:lang w:val="es-CR"/>
              </w:rPr>
              <w:t xml:space="preserve"> Emitir una circular a los despachos judiciales reiterando los procedimientos establecidos para la formulación de planes remediales y completados de minutas, las cuales se encuentran en el siguiente </w:t>
            </w:r>
            <w:proofErr w:type="gramStart"/>
            <w:r w:rsidRPr="00CF7396">
              <w:rPr>
                <w:i/>
                <w:iCs/>
                <w:color w:val="000000" w:themeColor="text1"/>
                <w:lang w:val="es-CR"/>
              </w:rPr>
              <w:t>link</w:t>
            </w:r>
            <w:proofErr w:type="gramEnd"/>
            <w:r w:rsidRPr="00CF7396">
              <w:rPr>
                <w:i/>
                <w:iCs/>
                <w:color w:val="000000" w:themeColor="text1"/>
                <w:lang w:val="es-CR"/>
              </w:rPr>
              <w:t>:</w:t>
            </w:r>
          </w:p>
          <w:p w14:paraId="6EB97D8D" w14:textId="77777777" w:rsidR="00CF7396" w:rsidRPr="00CF7396" w:rsidRDefault="00CF7396" w:rsidP="00CF7396">
            <w:pPr>
              <w:jc w:val="both"/>
              <w:rPr>
                <w:i/>
                <w:iCs/>
                <w:color w:val="000000" w:themeColor="text1"/>
                <w:lang w:val="es-CR"/>
              </w:rPr>
            </w:pPr>
          </w:p>
          <w:p w14:paraId="5D12833B" w14:textId="77777777" w:rsidR="00CF7396" w:rsidRPr="00CF7396" w:rsidRDefault="00000000" w:rsidP="00CF7396">
            <w:pPr>
              <w:jc w:val="both"/>
              <w:rPr>
                <w:i/>
                <w:iCs/>
                <w:color w:val="000000" w:themeColor="text1"/>
                <w:lang w:val="es-CR"/>
              </w:rPr>
            </w:pPr>
            <w:hyperlink r:id="rId24" w:history="1">
              <w:r w:rsidR="00CF7396" w:rsidRPr="00CF7396">
                <w:rPr>
                  <w:i/>
                  <w:iCs/>
                  <w:color w:val="000000" w:themeColor="text1"/>
                  <w:u w:val="single"/>
                  <w:lang w:val="es-CR"/>
                </w:rPr>
                <w:t>https://planificacion.poder-judicial.go.cr/index.php/evaluacion/Modelo-de-sostenibilidad</w:t>
              </w:r>
            </w:hyperlink>
          </w:p>
          <w:p w14:paraId="2A4155C3" w14:textId="77777777" w:rsidR="00CF7396" w:rsidRPr="00CF7396" w:rsidRDefault="00CF7396" w:rsidP="00CF7396">
            <w:pPr>
              <w:jc w:val="both"/>
              <w:rPr>
                <w:i/>
                <w:iCs/>
                <w:color w:val="000000" w:themeColor="text1"/>
                <w:lang w:val="es-CR"/>
              </w:rPr>
            </w:pPr>
          </w:p>
          <w:p w14:paraId="2783DFD3" w14:textId="77777777" w:rsidR="00CF7396" w:rsidRPr="00CF7396" w:rsidRDefault="00CF7396" w:rsidP="00CF7396">
            <w:pPr>
              <w:jc w:val="both"/>
              <w:rPr>
                <w:bCs/>
                <w:i/>
                <w:iCs/>
                <w:color w:val="000000" w:themeColor="text1"/>
                <w:lang w:val="es-CR"/>
              </w:rPr>
            </w:pPr>
          </w:p>
        </w:tc>
        <w:tc>
          <w:tcPr>
            <w:tcW w:w="427" w:type="pct"/>
            <w:vMerge w:val="restart"/>
            <w:shd w:val="clear" w:color="auto" w:fill="auto"/>
            <w:vAlign w:val="center"/>
          </w:tcPr>
          <w:p w14:paraId="092E6E2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Acta 18-2021 del 26 de agosto del 2021, artículo I</w:t>
            </w:r>
          </w:p>
        </w:tc>
        <w:tc>
          <w:tcPr>
            <w:tcW w:w="1044" w:type="pct"/>
            <w:shd w:val="clear" w:color="auto" w:fill="auto"/>
            <w:vAlign w:val="center"/>
          </w:tcPr>
          <w:p w14:paraId="5544B977" w14:textId="77777777" w:rsidR="00CF7396" w:rsidRPr="00CF7396" w:rsidRDefault="00CF7396" w:rsidP="00CF7396">
            <w:pPr>
              <w:jc w:val="both"/>
              <w:rPr>
                <w:i/>
                <w:iCs/>
                <w:color w:val="000000" w:themeColor="text1"/>
                <w:lang w:val="es-CR"/>
              </w:rPr>
            </w:pPr>
            <w:r w:rsidRPr="00CF7396">
              <w:rPr>
                <w:b/>
                <w:bCs/>
                <w:i/>
                <w:iCs/>
                <w:color w:val="000000" w:themeColor="text1"/>
                <w:lang w:val="es-CR"/>
              </w:rPr>
              <w:t>Se aprueba la recomendación:</w:t>
            </w:r>
            <w:r w:rsidRPr="00CF7396">
              <w:rPr>
                <w:i/>
                <w:iCs/>
                <w:color w:val="000000" w:themeColor="text1"/>
                <w:lang w:val="es-CR"/>
              </w:rPr>
              <w:t xml:space="preserve"> Comunicar a los despachos mediante circular el </w:t>
            </w:r>
            <w:proofErr w:type="gramStart"/>
            <w:r w:rsidRPr="00CF7396">
              <w:rPr>
                <w:i/>
                <w:iCs/>
                <w:color w:val="000000" w:themeColor="text1"/>
                <w:lang w:val="es-CR"/>
              </w:rPr>
              <w:t>link</w:t>
            </w:r>
            <w:proofErr w:type="gramEnd"/>
            <w:r w:rsidRPr="00CF7396">
              <w:rPr>
                <w:i/>
                <w:iCs/>
                <w:color w:val="000000" w:themeColor="text1"/>
                <w:lang w:val="es-CR"/>
              </w:rPr>
              <w:t xml:space="preserve"> donde se encuentra los procedimientos para la formulación de planes remediales y llenado de minutas. </w:t>
            </w:r>
          </w:p>
        </w:tc>
        <w:tc>
          <w:tcPr>
            <w:tcW w:w="687" w:type="pct"/>
            <w:shd w:val="clear" w:color="auto" w:fill="auto"/>
          </w:tcPr>
          <w:p w14:paraId="488BE84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305AC9B8" w14:textId="77777777" w:rsidTr="00AF369B">
        <w:trPr>
          <w:trHeight w:val="2520"/>
          <w:jc w:val="center"/>
        </w:trPr>
        <w:tc>
          <w:tcPr>
            <w:tcW w:w="431" w:type="pct"/>
            <w:vMerge/>
            <w:shd w:val="clear" w:color="auto" w:fill="auto"/>
            <w:vAlign w:val="center"/>
          </w:tcPr>
          <w:p w14:paraId="35E112E2" w14:textId="77777777" w:rsidR="00CF7396" w:rsidRPr="00CF7396" w:rsidRDefault="00CF7396" w:rsidP="00CF7396">
            <w:pPr>
              <w:jc w:val="center"/>
              <w:rPr>
                <w:color w:val="000000" w:themeColor="text1"/>
                <w:lang w:val="es-CR" w:eastAsia="es-CR"/>
              </w:rPr>
            </w:pPr>
          </w:p>
        </w:tc>
        <w:tc>
          <w:tcPr>
            <w:tcW w:w="2411" w:type="pct"/>
            <w:shd w:val="clear" w:color="auto" w:fill="auto"/>
          </w:tcPr>
          <w:p w14:paraId="169E4B4F" w14:textId="77777777" w:rsidR="00CF7396" w:rsidRPr="00CF7396" w:rsidRDefault="00CF7396" w:rsidP="00CF7396">
            <w:pPr>
              <w:jc w:val="both"/>
              <w:rPr>
                <w:i/>
                <w:iCs/>
                <w:color w:val="000000" w:themeColor="text1"/>
                <w:lang w:val="es-CR"/>
              </w:rPr>
            </w:pPr>
            <w:r w:rsidRPr="00CF7396">
              <w:rPr>
                <w:b/>
                <w:bCs/>
                <w:i/>
                <w:iCs/>
                <w:color w:val="000000" w:themeColor="text1"/>
                <w:lang w:val="es-CR"/>
              </w:rPr>
              <w:t>2-</w:t>
            </w:r>
            <w:r w:rsidRPr="00CF7396">
              <w:rPr>
                <w:i/>
                <w:iCs/>
                <w:color w:val="000000" w:themeColor="text1"/>
                <w:lang w:val="es-CR"/>
              </w:rPr>
              <w:t xml:space="preserve"> Se reitera por sexta ocasión al Juzgado Contravencional de Matina el incumplimiento con el Modelo de Sostenibilidad en cuanto al completado de minutas y planes remediales, por lo que el Consejo de Administración tomará las medidas pertinentes. </w:t>
            </w:r>
          </w:p>
          <w:p w14:paraId="51BBDC0E" w14:textId="77777777" w:rsidR="00CF7396" w:rsidRPr="00CF7396" w:rsidRDefault="00CF7396" w:rsidP="00CF7396">
            <w:pPr>
              <w:jc w:val="both"/>
              <w:rPr>
                <w:i/>
                <w:iCs/>
                <w:color w:val="000000" w:themeColor="text1"/>
                <w:lang w:val="es-CR"/>
              </w:rPr>
            </w:pPr>
          </w:p>
          <w:p w14:paraId="2EF5F46E" w14:textId="77777777" w:rsidR="00CF7396" w:rsidRPr="00CF7396" w:rsidRDefault="00CF7396" w:rsidP="00CF7396">
            <w:pPr>
              <w:jc w:val="both"/>
              <w:rPr>
                <w:i/>
                <w:iCs/>
                <w:color w:val="000000" w:themeColor="text1"/>
                <w:lang w:val="es-CR"/>
              </w:rPr>
            </w:pPr>
          </w:p>
          <w:p w14:paraId="2CAEF6A8" w14:textId="77777777" w:rsidR="00CF7396" w:rsidRPr="00CF7396" w:rsidRDefault="00CF7396" w:rsidP="00CF7396">
            <w:pPr>
              <w:jc w:val="both"/>
              <w:rPr>
                <w:bCs/>
                <w:i/>
                <w:iCs/>
                <w:color w:val="000000" w:themeColor="text1"/>
                <w:lang w:val="es-CR"/>
              </w:rPr>
            </w:pPr>
          </w:p>
        </w:tc>
        <w:tc>
          <w:tcPr>
            <w:tcW w:w="427" w:type="pct"/>
            <w:vMerge/>
            <w:shd w:val="clear" w:color="auto" w:fill="auto"/>
            <w:vAlign w:val="center"/>
          </w:tcPr>
          <w:p w14:paraId="4F394493"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6308A86C" w14:textId="77777777" w:rsidR="00CF7396" w:rsidRPr="00CF7396" w:rsidRDefault="00CF7396" w:rsidP="00CF7396">
            <w:pPr>
              <w:jc w:val="both"/>
              <w:rPr>
                <w:i/>
                <w:iCs/>
                <w:color w:val="000000" w:themeColor="text1"/>
                <w:lang w:val="es-CR"/>
              </w:rPr>
            </w:pPr>
            <w:r w:rsidRPr="00CF7396">
              <w:rPr>
                <w:b/>
                <w:bCs/>
                <w:i/>
                <w:iCs/>
                <w:color w:val="000000" w:themeColor="text1"/>
                <w:lang w:val="es-CR"/>
              </w:rPr>
              <w:t xml:space="preserve">Se aprueba la recomendación y se acuerda: </w:t>
            </w:r>
            <w:r w:rsidRPr="00CF7396">
              <w:rPr>
                <w:i/>
                <w:iCs/>
                <w:color w:val="000000" w:themeColor="text1"/>
                <w:lang w:val="es-CR"/>
              </w:rPr>
              <w:t>Revisado el correo del Consejo de Administración, no se recibió respuesta de los oficios enviados por este Consejo, por lo cual se comunica esta situación al Centro de Apoyo en vista de la que situación continua en cuanto incumplimientos señalados en este punto con ese Despacho.</w:t>
            </w:r>
          </w:p>
          <w:p w14:paraId="5E321C16" w14:textId="77777777" w:rsidR="00CF7396" w:rsidRPr="00CF7396" w:rsidRDefault="00CF7396" w:rsidP="00CF7396">
            <w:pPr>
              <w:jc w:val="center"/>
              <w:rPr>
                <w:i/>
                <w:iCs/>
                <w:color w:val="000000" w:themeColor="text1"/>
                <w:lang w:val="es-CR" w:eastAsia="es-CR"/>
              </w:rPr>
            </w:pPr>
          </w:p>
        </w:tc>
        <w:tc>
          <w:tcPr>
            <w:tcW w:w="687" w:type="pct"/>
            <w:shd w:val="clear" w:color="auto" w:fill="auto"/>
          </w:tcPr>
          <w:p w14:paraId="436C649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1228E78C" w14:textId="77777777" w:rsidTr="00AF369B">
        <w:trPr>
          <w:trHeight w:val="70"/>
          <w:jc w:val="center"/>
        </w:trPr>
        <w:tc>
          <w:tcPr>
            <w:tcW w:w="431" w:type="pct"/>
            <w:vMerge/>
            <w:shd w:val="clear" w:color="auto" w:fill="auto"/>
            <w:vAlign w:val="center"/>
          </w:tcPr>
          <w:p w14:paraId="25F976C8" w14:textId="77777777" w:rsidR="00CF7396" w:rsidRPr="00CF7396" w:rsidRDefault="00CF7396" w:rsidP="00CF7396">
            <w:pPr>
              <w:jc w:val="center"/>
              <w:rPr>
                <w:color w:val="000000" w:themeColor="text1"/>
                <w:lang w:val="es-CR" w:eastAsia="es-CR"/>
              </w:rPr>
            </w:pPr>
          </w:p>
        </w:tc>
        <w:tc>
          <w:tcPr>
            <w:tcW w:w="2411" w:type="pct"/>
            <w:shd w:val="clear" w:color="auto" w:fill="auto"/>
          </w:tcPr>
          <w:p w14:paraId="6E4E8F73" w14:textId="77777777" w:rsidR="00CF7396" w:rsidRPr="00CF7396" w:rsidRDefault="00CF7396" w:rsidP="00CF7396">
            <w:pPr>
              <w:jc w:val="both"/>
              <w:rPr>
                <w:i/>
                <w:iCs/>
                <w:color w:val="000000" w:themeColor="text1"/>
                <w:lang w:val="es-CR"/>
              </w:rPr>
            </w:pPr>
            <w:r w:rsidRPr="00CF7396">
              <w:rPr>
                <w:b/>
                <w:bCs/>
                <w:i/>
                <w:iCs/>
                <w:color w:val="000000" w:themeColor="text1"/>
                <w:lang w:val="es-CR"/>
              </w:rPr>
              <w:t xml:space="preserve">3- </w:t>
            </w:r>
            <w:r w:rsidRPr="00CF7396">
              <w:rPr>
                <w:i/>
                <w:iCs/>
                <w:color w:val="000000" w:themeColor="text1"/>
                <w:lang w:val="es-CR"/>
              </w:rPr>
              <w:t xml:space="preserve">Deberá el Juez del Juzgado Contravencional de Matina dar prioridad al fallo de los expedientes que se encuentran vencidos: </w:t>
            </w:r>
            <w:proofErr w:type="spellStart"/>
            <w:r w:rsidRPr="00CF7396">
              <w:rPr>
                <w:i/>
                <w:iCs/>
                <w:color w:val="000000" w:themeColor="text1"/>
                <w:lang w:val="es-CR"/>
              </w:rPr>
              <w:t>exp</w:t>
            </w:r>
            <w:proofErr w:type="spellEnd"/>
            <w:r w:rsidRPr="00CF7396">
              <w:rPr>
                <w:i/>
                <w:iCs/>
                <w:color w:val="000000" w:themeColor="text1"/>
                <w:lang w:val="es-CR"/>
              </w:rPr>
              <w:t xml:space="preserve"> 20-000519-1540-FC pendiente de fallo desde el 19-5-21, se le había indicado fallar o referirse. Tiene pendiente de fallar </w:t>
            </w:r>
            <w:hyperlink r:id="rId25" w:history="1">
              <w:r w:rsidRPr="00CF7396">
                <w:rPr>
                  <w:i/>
                  <w:iCs/>
                  <w:color w:val="000000" w:themeColor="text1"/>
                  <w:u w:val="single"/>
                  <w:lang w:val="es-CR"/>
                </w:rPr>
                <w:t xml:space="preserve">21-000037-0479-PA </w:t>
              </w:r>
            </w:hyperlink>
            <w:r w:rsidRPr="00CF7396">
              <w:rPr>
                <w:i/>
                <w:iCs/>
                <w:color w:val="000000" w:themeColor="text1"/>
                <w:lang w:val="es-CR"/>
              </w:rPr>
              <w:t xml:space="preserve"> (Sentencia PA) desde el 23-06, </w:t>
            </w:r>
            <w:hyperlink r:id="rId26" w:history="1">
              <w:r w:rsidRPr="00CF7396">
                <w:rPr>
                  <w:i/>
                  <w:iCs/>
                  <w:color w:val="000000" w:themeColor="text1"/>
                  <w:u w:val="single"/>
                  <w:lang w:val="es-CR"/>
                </w:rPr>
                <w:t>19-000393-0479-PA</w:t>
              </w:r>
            </w:hyperlink>
            <w:r w:rsidRPr="00CF7396">
              <w:rPr>
                <w:i/>
                <w:iCs/>
                <w:color w:val="000000" w:themeColor="text1"/>
                <w:lang w:val="es-CR"/>
              </w:rPr>
              <w:t xml:space="preserve"> desde el 9-04, </w:t>
            </w:r>
            <w:hyperlink r:id="rId27" w:history="1">
              <w:r w:rsidRPr="00CF7396">
                <w:rPr>
                  <w:i/>
                  <w:iCs/>
                  <w:color w:val="000000" w:themeColor="text1"/>
                  <w:u w:val="single"/>
                  <w:lang w:val="es-CR"/>
                </w:rPr>
                <w:t>20-000320-0479-PA</w:t>
              </w:r>
            </w:hyperlink>
            <w:r w:rsidRPr="00CF7396">
              <w:rPr>
                <w:i/>
                <w:iCs/>
                <w:color w:val="000000" w:themeColor="text1"/>
                <w:lang w:val="es-CR"/>
              </w:rPr>
              <w:t xml:space="preserve"> desde el 14-07, </w:t>
            </w:r>
            <w:hyperlink r:id="rId28" w:history="1">
              <w:r w:rsidRPr="00CF7396">
                <w:rPr>
                  <w:i/>
                  <w:iCs/>
                  <w:color w:val="000000" w:themeColor="text1"/>
                  <w:u w:val="single"/>
                  <w:lang w:val="es-CR"/>
                </w:rPr>
                <w:t>20-000285-0479-PA</w:t>
              </w:r>
            </w:hyperlink>
            <w:r w:rsidRPr="00CF7396">
              <w:rPr>
                <w:i/>
                <w:iCs/>
                <w:color w:val="000000" w:themeColor="text1"/>
                <w:u w:val="single"/>
                <w:lang w:val="es-CR"/>
              </w:rPr>
              <w:t xml:space="preserve"> </w:t>
            </w:r>
            <w:r w:rsidRPr="00CF7396">
              <w:rPr>
                <w:i/>
                <w:iCs/>
                <w:color w:val="000000" w:themeColor="text1"/>
                <w:lang w:val="es-CR"/>
              </w:rPr>
              <w:t xml:space="preserve">desde el 14-07, </w:t>
            </w:r>
            <w:hyperlink r:id="rId29" w:history="1">
              <w:r w:rsidRPr="00CF7396">
                <w:rPr>
                  <w:i/>
                  <w:iCs/>
                  <w:color w:val="000000" w:themeColor="text1"/>
                  <w:u w:val="single"/>
                  <w:lang w:val="es-CR"/>
                </w:rPr>
                <w:t>21-000099-0479-PA</w:t>
              </w:r>
            </w:hyperlink>
            <w:r w:rsidRPr="00CF7396">
              <w:rPr>
                <w:i/>
                <w:iCs/>
                <w:color w:val="000000" w:themeColor="text1"/>
                <w:lang w:val="es-CR"/>
              </w:rPr>
              <w:t xml:space="preserve"> desde el 3-08, </w:t>
            </w:r>
            <w:hyperlink r:id="rId30" w:history="1">
              <w:r w:rsidRPr="00CF7396">
                <w:rPr>
                  <w:i/>
                  <w:iCs/>
                  <w:color w:val="000000" w:themeColor="text1"/>
                  <w:u w:val="single"/>
                  <w:lang w:val="es-CR"/>
                </w:rPr>
                <w:t xml:space="preserve">20-000559-1543-VD </w:t>
              </w:r>
            </w:hyperlink>
            <w:r w:rsidRPr="00CF7396">
              <w:rPr>
                <w:i/>
                <w:iCs/>
                <w:color w:val="000000" w:themeColor="text1"/>
                <w:lang w:val="es-CR"/>
              </w:rPr>
              <w:t>desde el 29-6.</w:t>
            </w:r>
          </w:p>
        </w:tc>
        <w:tc>
          <w:tcPr>
            <w:tcW w:w="427" w:type="pct"/>
            <w:vMerge/>
            <w:shd w:val="clear" w:color="auto" w:fill="auto"/>
            <w:vAlign w:val="center"/>
          </w:tcPr>
          <w:p w14:paraId="56E222D7"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3C5F79E2" w14:textId="77777777" w:rsidR="00CF7396" w:rsidRPr="00CF7396" w:rsidRDefault="00CF7396" w:rsidP="00CF7396">
            <w:pPr>
              <w:jc w:val="both"/>
              <w:rPr>
                <w:i/>
                <w:iCs/>
                <w:color w:val="000000" w:themeColor="text1"/>
                <w:lang w:val="es-CR"/>
              </w:rPr>
            </w:pPr>
            <w:r w:rsidRPr="00CF7396">
              <w:rPr>
                <w:b/>
                <w:bCs/>
                <w:i/>
                <w:iCs/>
                <w:color w:val="000000" w:themeColor="text1"/>
                <w:lang w:val="es-CR"/>
              </w:rPr>
              <w:t>Se aprueba la recomendación:</w:t>
            </w:r>
            <w:r w:rsidRPr="00CF7396">
              <w:rPr>
                <w:i/>
                <w:iCs/>
                <w:color w:val="000000" w:themeColor="text1"/>
                <w:lang w:val="es-CR"/>
              </w:rPr>
              <w:t xml:space="preserve"> Deberá el Despacho rendir información a este Consejo sobre su cumplimiento al 30 de octubre del 2021, para lo cual deberán informar al Consejo de Administración.</w:t>
            </w:r>
          </w:p>
        </w:tc>
        <w:tc>
          <w:tcPr>
            <w:tcW w:w="687" w:type="pct"/>
            <w:shd w:val="clear" w:color="auto" w:fill="auto"/>
          </w:tcPr>
          <w:p w14:paraId="35D39C8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7FEED737" w14:textId="77777777" w:rsidTr="00AF369B">
        <w:trPr>
          <w:trHeight w:val="2520"/>
          <w:jc w:val="center"/>
        </w:trPr>
        <w:tc>
          <w:tcPr>
            <w:tcW w:w="431" w:type="pct"/>
            <w:vMerge/>
            <w:shd w:val="clear" w:color="auto" w:fill="auto"/>
            <w:vAlign w:val="center"/>
          </w:tcPr>
          <w:p w14:paraId="4647AD0B" w14:textId="77777777" w:rsidR="00CF7396" w:rsidRPr="00CF7396" w:rsidRDefault="00CF7396" w:rsidP="00CF7396">
            <w:pPr>
              <w:jc w:val="center"/>
              <w:rPr>
                <w:color w:val="000000" w:themeColor="text1"/>
                <w:lang w:val="es-CR" w:eastAsia="es-CR"/>
              </w:rPr>
            </w:pPr>
          </w:p>
        </w:tc>
        <w:tc>
          <w:tcPr>
            <w:tcW w:w="2411" w:type="pct"/>
            <w:shd w:val="clear" w:color="auto" w:fill="auto"/>
          </w:tcPr>
          <w:p w14:paraId="46C647E7" w14:textId="77777777" w:rsidR="00CF7396" w:rsidRPr="00CF7396" w:rsidRDefault="00CF7396" w:rsidP="00CF7396">
            <w:pPr>
              <w:jc w:val="both"/>
              <w:rPr>
                <w:i/>
                <w:iCs/>
                <w:color w:val="000000" w:themeColor="text1"/>
                <w:lang w:val="es-CR"/>
              </w:rPr>
            </w:pPr>
            <w:r w:rsidRPr="00CF7396">
              <w:rPr>
                <w:b/>
                <w:bCs/>
                <w:i/>
                <w:iCs/>
                <w:color w:val="000000" w:themeColor="text1"/>
                <w:lang w:val="es-CR"/>
              </w:rPr>
              <w:t xml:space="preserve">4- </w:t>
            </w:r>
            <w:r w:rsidRPr="00CF7396">
              <w:rPr>
                <w:i/>
                <w:iCs/>
                <w:color w:val="000000" w:themeColor="text1"/>
                <w:lang w:val="es-CR"/>
              </w:rPr>
              <w:t xml:space="preserve">La Jueza 2 del Juzgado de Familia deberá de fallar el </w:t>
            </w:r>
            <w:proofErr w:type="spellStart"/>
            <w:r w:rsidRPr="00CF7396">
              <w:rPr>
                <w:i/>
                <w:iCs/>
                <w:color w:val="000000" w:themeColor="text1"/>
                <w:lang w:val="es-CR"/>
              </w:rPr>
              <w:t>exp</w:t>
            </w:r>
            <w:proofErr w:type="spellEnd"/>
            <w:r w:rsidRPr="00CF7396">
              <w:rPr>
                <w:i/>
                <w:iCs/>
                <w:color w:val="000000" w:themeColor="text1"/>
                <w:lang w:val="es-CR"/>
              </w:rPr>
              <w:t xml:space="preserve">. </w:t>
            </w:r>
            <w:hyperlink r:id="rId31" w:history="1">
              <w:r w:rsidRPr="00CF7396">
                <w:rPr>
                  <w:i/>
                  <w:iCs/>
                  <w:color w:val="000000" w:themeColor="text1"/>
                  <w:u w:val="single"/>
                  <w:lang w:val="es-CR"/>
                </w:rPr>
                <w:t>05-700404-0859-PA</w:t>
              </w:r>
            </w:hyperlink>
            <w:r w:rsidRPr="00CF7396">
              <w:rPr>
                <w:i/>
                <w:iCs/>
                <w:color w:val="000000" w:themeColor="text1"/>
                <w:lang w:val="es-CR"/>
              </w:rPr>
              <w:t xml:space="preserve">  del 28-07, o bien referirse al respecto. Si una vez comunicado el acuerdo del Consejo de Administración fue fallado, se le solicita informar si ya fue fallado. </w:t>
            </w:r>
          </w:p>
          <w:p w14:paraId="3FC138A4" w14:textId="77777777" w:rsidR="00CF7396" w:rsidRPr="00CF7396" w:rsidRDefault="00CF7396" w:rsidP="00CF7396">
            <w:pPr>
              <w:jc w:val="both"/>
              <w:rPr>
                <w:i/>
                <w:iCs/>
                <w:color w:val="000000" w:themeColor="text1"/>
                <w:lang w:val="es-CR"/>
              </w:rPr>
            </w:pPr>
          </w:p>
          <w:p w14:paraId="72A6CF9B" w14:textId="77777777" w:rsidR="00CF7396" w:rsidRPr="00CF7396" w:rsidRDefault="00CF7396" w:rsidP="00CF7396">
            <w:pPr>
              <w:jc w:val="both"/>
              <w:rPr>
                <w:i/>
                <w:iCs/>
                <w:color w:val="000000" w:themeColor="text1"/>
                <w:lang w:val="es-CR"/>
              </w:rPr>
            </w:pPr>
          </w:p>
          <w:p w14:paraId="047759F5" w14:textId="77777777" w:rsidR="00CF7396" w:rsidRPr="00CF7396" w:rsidRDefault="00CF7396" w:rsidP="00CF7396">
            <w:pPr>
              <w:jc w:val="both"/>
              <w:rPr>
                <w:bCs/>
                <w:i/>
                <w:iCs/>
                <w:color w:val="000000" w:themeColor="text1"/>
                <w:lang w:val="es-CR"/>
              </w:rPr>
            </w:pPr>
          </w:p>
        </w:tc>
        <w:tc>
          <w:tcPr>
            <w:tcW w:w="427" w:type="pct"/>
            <w:vMerge/>
            <w:shd w:val="clear" w:color="auto" w:fill="auto"/>
            <w:vAlign w:val="center"/>
          </w:tcPr>
          <w:p w14:paraId="71C2CE2A"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596C0A02" w14:textId="77777777" w:rsidR="00CF7396" w:rsidRPr="00CF7396" w:rsidRDefault="00CF7396" w:rsidP="00CF7396">
            <w:pPr>
              <w:jc w:val="both"/>
              <w:rPr>
                <w:i/>
                <w:iCs/>
                <w:color w:val="000000" w:themeColor="text1"/>
                <w:lang w:val="es-CR"/>
              </w:rPr>
            </w:pPr>
            <w:r w:rsidRPr="00CF7396">
              <w:rPr>
                <w:b/>
                <w:bCs/>
                <w:i/>
                <w:iCs/>
                <w:color w:val="000000" w:themeColor="text1"/>
                <w:lang w:val="es-CR"/>
              </w:rPr>
              <w:t>Se aprueba la recomendación</w:t>
            </w:r>
            <w:r w:rsidRPr="00CF7396">
              <w:rPr>
                <w:i/>
                <w:iCs/>
                <w:color w:val="000000" w:themeColor="text1"/>
                <w:lang w:val="es-CR"/>
              </w:rPr>
              <w:t>: Comunicar al Despacho y se establece un plazo de 15 días naturales para fallar el expediente una vez recibido este acuerdo, para lo cual deberán informar al Consejo de Administración lo pertinente.</w:t>
            </w:r>
          </w:p>
          <w:p w14:paraId="20C8C62C" w14:textId="77777777" w:rsidR="00CF7396" w:rsidRPr="00CF7396" w:rsidRDefault="00CF7396" w:rsidP="00CF7396">
            <w:pPr>
              <w:jc w:val="center"/>
              <w:rPr>
                <w:i/>
                <w:iCs/>
                <w:color w:val="000000" w:themeColor="text1"/>
                <w:lang w:val="es-CR" w:eastAsia="es-CR"/>
              </w:rPr>
            </w:pPr>
          </w:p>
        </w:tc>
        <w:tc>
          <w:tcPr>
            <w:tcW w:w="687" w:type="pct"/>
            <w:shd w:val="clear" w:color="auto" w:fill="auto"/>
          </w:tcPr>
          <w:p w14:paraId="5167387C"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35F95928" w14:textId="77777777" w:rsidTr="00AF369B">
        <w:trPr>
          <w:trHeight w:val="2520"/>
          <w:jc w:val="center"/>
        </w:trPr>
        <w:tc>
          <w:tcPr>
            <w:tcW w:w="431" w:type="pct"/>
            <w:vMerge/>
            <w:shd w:val="clear" w:color="auto" w:fill="auto"/>
            <w:vAlign w:val="center"/>
          </w:tcPr>
          <w:p w14:paraId="08C367F3" w14:textId="77777777" w:rsidR="00CF7396" w:rsidRPr="00CF7396" w:rsidRDefault="00CF7396" w:rsidP="00CF7396">
            <w:pPr>
              <w:jc w:val="center"/>
              <w:rPr>
                <w:color w:val="000000" w:themeColor="text1"/>
                <w:lang w:val="es-CR" w:eastAsia="es-CR"/>
              </w:rPr>
            </w:pPr>
          </w:p>
        </w:tc>
        <w:tc>
          <w:tcPr>
            <w:tcW w:w="2411" w:type="pct"/>
            <w:shd w:val="clear" w:color="auto" w:fill="auto"/>
          </w:tcPr>
          <w:p w14:paraId="4B777845" w14:textId="77777777" w:rsidR="00CF7396" w:rsidRPr="00CF7396" w:rsidRDefault="00CF7396" w:rsidP="00CF7396">
            <w:pPr>
              <w:jc w:val="both"/>
              <w:rPr>
                <w:i/>
                <w:iCs/>
                <w:color w:val="000000" w:themeColor="text1"/>
                <w:lang w:val="es-CR"/>
              </w:rPr>
            </w:pPr>
            <w:r w:rsidRPr="00CF7396">
              <w:rPr>
                <w:b/>
                <w:bCs/>
                <w:i/>
                <w:iCs/>
                <w:color w:val="000000" w:themeColor="text1"/>
                <w:lang w:val="es-CR"/>
              </w:rPr>
              <w:t xml:space="preserve">5- </w:t>
            </w:r>
            <w:r w:rsidRPr="00CF7396">
              <w:rPr>
                <w:i/>
                <w:iCs/>
                <w:color w:val="000000" w:themeColor="text1"/>
                <w:lang w:val="es-CR"/>
              </w:rPr>
              <w:t xml:space="preserve">El Juzgado Agrario deberá de dar prioridad a los fallos que tienen pendientes: el Juez 1 tiene pendiente de fallo </w:t>
            </w:r>
            <w:hyperlink r:id="rId32" w:history="1">
              <w:r w:rsidRPr="00CF7396">
                <w:rPr>
                  <w:i/>
                  <w:iCs/>
                  <w:color w:val="000000" w:themeColor="text1"/>
                  <w:u w:val="single"/>
                  <w:lang w:val="es-CR"/>
                </w:rPr>
                <w:t>11-160144-0465-AG</w:t>
              </w:r>
            </w:hyperlink>
            <w:r w:rsidRPr="00CF7396">
              <w:rPr>
                <w:i/>
                <w:iCs/>
                <w:color w:val="000000" w:themeColor="text1"/>
                <w:lang w:val="es-CR"/>
              </w:rPr>
              <w:t xml:space="preserve"> del 21-07 , </w:t>
            </w:r>
            <w:hyperlink r:id="rId33" w:history="1">
              <w:r w:rsidRPr="00CF7396">
                <w:rPr>
                  <w:i/>
                  <w:iCs/>
                  <w:color w:val="000000" w:themeColor="text1"/>
                  <w:u w:val="single"/>
                  <w:lang w:val="es-CR"/>
                </w:rPr>
                <w:t>16-000227-0465-AG</w:t>
              </w:r>
            </w:hyperlink>
            <w:r w:rsidRPr="00CF7396">
              <w:rPr>
                <w:i/>
                <w:iCs/>
                <w:color w:val="000000" w:themeColor="text1"/>
                <w:lang w:val="es-CR"/>
              </w:rPr>
              <w:t xml:space="preserve"> del 23-07,     </w:t>
            </w:r>
            <w:hyperlink r:id="rId34" w:history="1">
              <w:r w:rsidRPr="00CF7396">
                <w:rPr>
                  <w:i/>
                  <w:iCs/>
                  <w:color w:val="000000" w:themeColor="text1"/>
                  <w:u w:val="single"/>
                  <w:lang w:val="es-CR"/>
                </w:rPr>
                <w:t>07-000740-0678-CI</w:t>
              </w:r>
            </w:hyperlink>
            <w:r w:rsidRPr="00CF7396">
              <w:rPr>
                <w:i/>
                <w:iCs/>
                <w:color w:val="000000" w:themeColor="text1"/>
                <w:lang w:val="es-CR"/>
              </w:rPr>
              <w:t xml:space="preserve"> del 21-07, Juez 2 tiene </w:t>
            </w:r>
            <w:hyperlink r:id="rId35" w:history="1">
              <w:r w:rsidRPr="00CF7396">
                <w:rPr>
                  <w:i/>
                  <w:iCs/>
                  <w:color w:val="000000" w:themeColor="text1"/>
                  <w:u w:val="single"/>
                  <w:lang w:val="es-CR"/>
                </w:rPr>
                <w:t>20-000017-0465-AG</w:t>
              </w:r>
            </w:hyperlink>
            <w:r w:rsidRPr="00CF7396">
              <w:rPr>
                <w:i/>
                <w:iCs/>
                <w:color w:val="000000" w:themeColor="text1"/>
                <w:lang w:val="es-CR"/>
              </w:rPr>
              <w:t xml:space="preserve"> del 12-07, </w:t>
            </w:r>
            <w:hyperlink r:id="rId36" w:history="1">
              <w:r w:rsidRPr="00CF7396">
                <w:rPr>
                  <w:i/>
                  <w:iCs/>
                  <w:color w:val="000000" w:themeColor="text1"/>
                  <w:u w:val="single"/>
                  <w:lang w:val="es-CR"/>
                </w:rPr>
                <w:t>17-000234-0507-AG</w:t>
              </w:r>
            </w:hyperlink>
            <w:r w:rsidRPr="00CF7396">
              <w:rPr>
                <w:i/>
                <w:iCs/>
                <w:color w:val="000000" w:themeColor="text1"/>
                <w:lang w:val="es-CR"/>
              </w:rPr>
              <w:t xml:space="preserve"> del 31-08.</w:t>
            </w:r>
          </w:p>
          <w:p w14:paraId="414DC23D" w14:textId="77777777" w:rsidR="00CF7396" w:rsidRPr="00CF7396" w:rsidRDefault="00CF7396" w:rsidP="00CF7396">
            <w:pPr>
              <w:jc w:val="both"/>
              <w:rPr>
                <w:i/>
                <w:iCs/>
                <w:color w:val="000000" w:themeColor="text1"/>
                <w:lang w:val="es-CR"/>
              </w:rPr>
            </w:pPr>
          </w:p>
          <w:p w14:paraId="5F216976" w14:textId="77777777" w:rsidR="00CF7396" w:rsidRPr="00CF7396" w:rsidRDefault="00CF7396" w:rsidP="00CF7396">
            <w:pPr>
              <w:jc w:val="center"/>
              <w:rPr>
                <w:bCs/>
                <w:i/>
                <w:iCs/>
                <w:color w:val="000000" w:themeColor="text1"/>
                <w:lang w:val="es-CR"/>
              </w:rPr>
            </w:pPr>
            <w:r w:rsidRPr="00CF7396">
              <w:rPr>
                <w:bCs/>
                <w:i/>
                <w:iCs/>
                <w:noProof/>
                <w:color w:val="000000" w:themeColor="text1"/>
                <w:lang w:val="es-CR"/>
              </w:rPr>
              <w:drawing>
                <wp:inline distT="0" distB="0" distL="0" distR="0" wp14:anchorId="387AA756" wp14:editId="54725C51">
                  <wp:extent cx="981075" cy="647700"/>
                  <wp:effectExtent l="0" t="0" r="9525" b="0"/>
                  <wp:docPr id="19" name="Imagen 1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10;&#10;Descripción generada automáticamen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81075" cy="647700"/>
                          </a:xfrm>
                          <a:prstGeom prst="rect">
                            <a:avLst/>
                          </a:prstGeom>
                          <a:noFill/>
                        </pic:spPr>
                      </pic:pic>
                    </a:graphicData>
                  </a:graphic>
                </wp:inline>
              </w:drawing>
            </w:r>
          </w:p>
        </w:tc>
        <w:tc>
          <w:tcPr>
            <w:tcW w:w="427" w:type="pct"/>
            <w:vMerge/>
            <w:shd w:val="clear" w:color="auto" w:fill="auto"/>
            <w:vAlign w:val="center"/>
          </w:tcPr>
          <w:p w14:paraId="1FD7C2C3"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33578616" w14:textId="77777777" w:rsidR="00CF7396" w:rsidRPr="00CF7396" w:rsidRDefault="00CF7396" w:rsidP="00CF7396">
            <w:pPr>
              <w:jc w:val="both"/>
              <w:rPr>
                <w:i/>
                <w:iCs/>
                <w:color w:val="000000" w:themeColor="text1"/>
                <w:lang w:val="es-CR"/>
              </w:rPr>
            </w:pPr>
            <w:r w:rsidRPr="00CF7396">
              <w:rPr>
                <w:b/>
                <w:bCs/>
                <w:i/>
                <w:iCs/>
                <w:color w:val="000000" w:themeColor="text1"/>
                <w:lang w:val="es-CR"/>
              </w:rPr>
              <w:t>Se aprueba la recomendación:</w:t>
            </w:r>
            <w:r w:rsidRPr="00CF7396">
              <w:rPr>
                <w:b/>
                <w:i/>
                <w:iCs/>
                <w:color w:val="000000" w:themeColor="text1"/>
                <w:lang w:val="es-CR"/>
              </w:rPr>
              <w:t xml:space="preserve"> </w:t>
            </w:r>
            <w:r w:rsidRPr="00CF7396">
              <w:rPr>
                <w:i/>
                <w:iCs/>
                <w:color w:val="000000" w:themeColor="text1"/>
                <w:lang w:val="es-CR"/>
              </w:rPr>
              <w:t>para lo cual se le concede un mes natural a ambos jueces para que dicten las sentencias en esos expedientes para lo cual deberán informar al Consejo de Administración.</w:t>
            </w:r>
          </w:p>
          <w:p w14:paraId="3FBFCC44" w14:textId="77777777" w:rsidR="00CF7396" w:rsidRPr="00CF7396" w:rsidRDefault="00CF7396" w:rsidP="00CF7396">
            <w:pPr>
              <w:jc w:val="center"/>
              <w:rPr>
                <w:i/>
                <w:iCs/>
                <w:color w:val="000000" w:themeColor="text1"/>
                <w:lang w:val="es-CR" w:eastAsia="es-CR"/>
              </w:rPr>
            </w:pPr>
          </w:p>
        </w:tc>
        <w:tc>
          <w:tcPr>
            <w:tcW w:w="687" w:type="pct"/>
            <w:shd w:val="clear" w:color="auto" w:fill="auto"/>
          </w:tcPr>
          <w:p w14:paraId="3C0C111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40F117A5" w14:textId="77777777" w:rsidTr="00AF369B">
        <w:trPr>
          <w:trHeight w:val="613"/>
          <w:jc w:val="center"/>
        </w:trPr>
        <w:tc>
          <w:tcPr>
            <w:tcW w:w="431" w:type="pct"/>
            <w:vMerge w:val="restart"/>
            <w:shd w:val="clear" w:color="auto" w:fill="auto"/>
            <w:vAlign w:val="center"/>
          </w:tcPr>
          <w:p w14:paraId="39DE224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Octubre</w:t>
            </w:r>
          </w:p>
        </w:tc>
        <w:tc>
          <w:tcPr>
            <w:tcW w:w="4569" w:type="pct"/>
            <w:gridSpan w:val="4"/>
            <w:shd w:val="clear" w:color="auto" w:fill="C0504D" w:themeFill="accent2"/>
          </w:tcPr>
          <w:p w14:paraId="19D5FA54" w14:textId="77777777" w:rsidR="00CF7396" w:rsidRPr="00CF7396" w:rsidRDefault="00CF7396" w:rsidP="00CF7396">
            <w:pPr>
              <w:jc w:val="center"/>
              <w:rPr>
                <w:b/>
                <w:color w:val="000000" w:themeColor="text1"/>
                <w:lang w:val="es-CR" w:eastAsia="es-CR"/>
              </w:rPr>
            </w:pPr>
            <w:r w:rsidRPr="00CF7396">
              <w:rPr>
                <w:b/>
                <w:color w:val="000000" w:themeColor="text1"/>
                <w:lang w:val="es-CR"/>
              </w:rPr>
              <w:t>Presentación 2421-PLA-EV-TR-2021, Indicadores de setiembre 2021</w:t>
            </w:r>
          </w:p>
        </w:tc>
      </w:tr>
      <w:tr w:rsidR="00CF7396" w:rsidRPr="00CF7396" w14:paraId="57E8E187" w14:textId="77777777" w:rsidTr="00AF369B">
        <w:trPr>
          <w:trHeight w:val="1045"/>
          <w:jc w:val="center"/>
        </w:trPr>
        <w:tc>
          <w:tcPr>
            <w:tcW w:w="431" w:type="pct"/>
            <w:vMerge/>
            <w:shd w:val="clear" w:color="auto" w:fill="auto"/>
            <w:vAlign w:val="center"/>
          </w:tcPr>
          <w:p w14:paraId="7C24F871" w14:textId="77777777" w:rsidR="00CF7396" w:rsidRPr="00CF7396" w:rsidRDefault="00CF7396" w:rsidP="00CF7396">
            <w:pPr>
              <w:jc w:val="center"/>
              <w:rPr>
                <w:color w:val="000000" w:themeColor="text1"/>
                <w:lang w:val="es-CR" w:eastAsia="es-CR"/>
              </w:rPr>
            </w:pPr>
          </w:p>
        </w:tc>
        <w:tc>
          <w:tcPr>
            <w:tcW w:w="2411" w:type="pct"/>
            <w:shd w:val="clear" w:color="auto" w:fill="auto"/>
          </w:tcPr>
          <w:p w14:paraId="315C0FA5" w14:textId="77777777" w:rsidR="00CF7396" w:rsidRPr="00CF7396" w:rsidRDefault="00CF7396" w:rsidP="00CF7396">
            <w:pPr>
              <w:shd w:val="clear" w:color="auto" w:fill="FFFFFF"/>
              <w:autoSpaceDN w:val="0"/>
              <w:jc w:val="both"/>
              <w:rPr>
                <w:i/>
                <w:iCs/>
                <w:color w:val="000000" w:themeColor="text1"/>
                <w:lang w:val="es-CR" w:eastAsia="zh-CN"/>
              </w:rPr>
            </w:pPr>
            <w:r w:rsidRPr="00CF7396">
              <w:rPr>
                <w:b/>
                <w:bCs/>
                <w:i/>
                <w:iCs/>
                <w:color w:val="000000" w:themeColor="text1"/>
                <w:lang w:val="es-CR" w:eastAsia="zh-CN"/>
              </w:rPr>
              <w:t>1.</w:t>
            </w:r>
            <w:r w:rsidRPr="00CF7396">
              <w:rPr>
                <w:i/>
                <w:iCs/>
                <w:color w:val="000000" w:themeColor="text1"/>
                <w:lang w:val="es-CR" w:eastAsia="zh-CN"/>
              </w:rPr>
              <w:t xml:space="preserve"> “Deberán el Juzgado Civil de Limón, Juzgado Contravencional de </w:t>
            </w:r>
            <w:proofErr w:type="spellStart"/>
            <w:r w:rsidRPr="00CF7396">
              <w:rPr>
                <w:i/>
                <w:iCs/>
                <w:color w:val="000000" w:themeColor="text1"/>
                <w:lang w:val="es-CR" w:eastAsia="zh-CN"/>
              </w:rPr>
              <w:t>Bribrí</w:t>
            </w:r>
            <w:proofErr w:type="spellEnd"/>
            <w:r w:rsidRPr="00CF7396">
              <w:rPr>
                <w:i/>
                <w:iCs/>
                <w:color w:val="000000" w:themeColor="text1"/>
                <w:lang w:val="es-CR" w:eastAsia="zh-CN"/>
              </w:rPr>
              <w:t>, Juzgado Contravencional de Matina, Juzgado Agrario de Limón, Juzgado de Familia de Limón, fallar los expedientes por orden de antigüedad de pase a fallo, lo anterior de conformidad con el acuerdo tomado por el Consejo Superior en sesión 11-2020 del 11 de febrero del 2020, artículo LV. Por lo anterior, hacer del conocimiento el acuerdo de las Comisiones Jurisdiccionales de las materias indicadas, para lo que corresponda.</w:t>
            </w:r>
          </w:p>
          <w:p w14:paraId="33D10BE0" w14:textId="77777777" w:rsidR="00CF7396" w:rsidRPr="00CF7396" w:rsidRDefault="00CF7396" w:rsidP="00CF7396">
            <w:pPr>
              <w:shd w:val="clear" w:color="auto" w:fill="FFFFFF"/>
              <w:autoSpaceDN w:val="0"/>
              <w:jc w:val="both"/>
              <w:rPr>
                <w:i/>
                <w:iCs/>
                <w:color w:val="000000" w:themeColor="text1"/>
                <w:lang w:val="es-CR" w:eastAsia="es-CR"/>
              </w:rPr>
            </w:pPr>
          </w:p>
          <w:p w14:paraId="75C16F88" w14:textId="77777777" w:rsidR="00CF7396" w:rsidRPr="00CF7396" w:rsidRDefault="00CF7396" w:rsidP="00CF7396">
            <w:pPr>
              <w:shd w:val="clear" w:color="auto" w:fill="FFFFFF"/>
              <w:autoSpaceDN w:val="0"/>
              <w:jc w:val="both"/>
              <w:rPr>
                <w:i/>
                <w:iCs/>
                <w:color w:val="000000" w:themeColor="text1"/>
                <w:lang w:val="es-CR" w:eastAsia="es-CR"/>
              </w:rPr>
            </w:pPr>
            <w:r w:rsidRPr="00CF7396">
              <w:rPr>
                <w:b/>
                <w:bCs/>
                <w:i/>
                <w:iCs/>
                <w:color w:val="000000" w:themeColor="text1"/>
                <w:lang w:val="es-CR" w:eastAsia="zh-CN"/>
              </w:rPr>
              <w:t xml:space="preserve">2. </w:t>
            </w:r>
            <w:r w:rsidRPr="00CF7396">
              <w:rPr>
                <w:i/>
                <w:iCs/>
                <w:color w:val="000000" w:themeColor="text1"/>
                <w:lang w:val="es-CR" w:eastAsia="zh-CN"/>
              </w:rPr>
              <w:t>El Tribunal Colegiado de Primer Instancia Civil de Limón tomará las previsiones del caso para fallar el expediente </w:t>
            </w:r>
            <w:hyperlink r:id="rId38" w:history="1">
              <w:r w:rsidRPr="00CF7396">
                <w:rPr>
                  <w:i/>
                  <w:iCs/>
                  <w:color w:val="000000" w:themeColor="text1"/>
                  <w:lang w:val="es-CR" w:eastAsia="zh-CN"/>
                </w:rPr>
                <w:t>17-000212-0930-CI</w:t>
              </w:r>
            </w:hyperlink>
            <w:r w:rsidRPr="00CF7396">
              <w:rPr>
                <w:i/>
                <w:iCs/>
                <w:color w:val="000000" w:themeColor="text1"/>
                <w:lang w:val="es-CR" w:eastAsia="zh-CN"/>
              </w:rPr>
              <w:t> en noviembre, en vista del apoyo brindado por el Centro de Apoyo mediante oficio 368-CACMFJ-REF-CIVIL-2021 en dónde brindará colaboración en la firma del Juez 3 por noviembre.</w:t>
            </w:r>
          </w:p>
          <w:p w14:paraId="18E0A879" w14:textId="77777777" w:rsidR="00CF7396" w:rsidRPr="00CF7396" w:rsidRDefault="00CF7396" w:rsidP="00CF7396">
            <w:pPr>
              <w:shd w:val="clear" w:color="auto" w:fill="FFFFFF"/>
              <w:autoSpaceDN w:val="0"/>
              <w:jc w:val="both"/>
              <w:rPr>
                <w:b/>
                <w:bCs/>
                <w:i/>
                <w:iCs/>
                <w:color w:val="000000" w:themeColor="text1"/>
                <w:lang w:val="es-CR" w:eastAsia="zh-CN"/>
              </w:rPr>
            </w:pPr>
          </w:p>
          <w:p w14:paraId="7DABEB5E" w14:textId="77777777" w:rsidR="00CF7396" w:rsidRPr="00CF7396" w:rsidRDefault="00CF7396" w:rsidP="00CF7396">
            <w:pPr>
              <w:shd w:val="clear" w:color="auto" w:fill="FFFFFF"/>
              <w:autoSpaceDN w:val="0"/>
              <w:jc w:val="both"/>
              <w:rPr>
                <w:i/>
                <w:iCs/>
                <w:color w:val="000000" w:themeColor="text1"/>
                <w:lang w:val="es-CR" w:eastAsia="es-CR"/>
              </w:rPr>
            </w:pPr>
            <w:r w:rsidRPr="00CF7396">
              <w:rPr>
                <w:b/>
                <w:bCs/>
                <w:i/>
                <w:iCs/>
                <w:color w:val="000000" w:themeColor="text1"/>
                <w:lang w:val="es-CR" w:eastAsia="zh-CN"/>
              </w:rPr>
              <w:t>3.</w:t>
            </w:r>
            <w:r w:rsidRPr="00CF7396">
              <w:rPr>
                <w:i/>
                <w:iCs/>
                <w:color w:val="000000" w:themeColor="text1"/>
                <w:lang w:val="es-CR" w:eastAsia="zh-CN"/>
              </w:rPr>
              <w:t xml:space="preserve"> Dar seguimiento a lo enviado al CACMFJ sobre el incumplimiento del Juzgado Contravencional de Matina con el Modelo de Sostenibilidad en cuanto al completado de minutas y planes remediales, ya que se evidencia que en setiembre aún no cumplen con el procedimiento.</w:t>
            </w:r>
          </w:p>
          <w:p w14:paraId="477164F1" w14:textId="77777777" w:rsidR="00CF7396" w:rsidRPr="00CF7396" w:rsidRDefault="00CF7396" w:rsidP="00CF7396">
            <w:pPr>
              <w:shd w:val="clear" w:color="auto" w:fill="FFFFFF"/>
              <w:autoSpaceDN w:val="0"/>
              <w:jc w:val="both"/>
              <w:rPr>
                <w:b/>
                <w:bCs/>
                <w:i/>
                <w:iCs/>
                <w:color w:val="000000" w:themeColor="text1"/>
                <w:lang w:val="es-CR" w:eastAsia="zh-CN"/>
              </w:rPr>
            </w:pPr>
          </w:p>
          <w:p w14:paraId="643A4BB0" w14:textId="77777777" w:rsidR="00CF7396" w:rsidRPr="00CF7396" w:rsidRDefault="00CF7396" w:rsidP="00CF7396">
            <w:pPr>
              <w:shd w:val="clear" w:color="auto" w:fill="FFFFFF"/>
              <w:autoSpaceDN w:val="0"/>
              <w:jc w:val="both"/>
              <w:rPr>
                <w:i/>
                <w:iCs/>
                <w:color w:val="000000" w:themeColor="text1"/>
                <w:lang w:val="es-CR" w:eastAsia="es-CR"/>
              </w:rPr>
            </w:pPr>
            <w:r w:rsidRPr="00CF7396">
              <w:rPr>
                <w:b/>
                <w:bCs/>
                <w:i/>
                <w:iCs/>
                <w:color w:val="000000" w:themeColor="text1"/>
                <w:lang w:val="es-CR" w:eastAsia="zh-CN"/>
              </w:rPr>
              <w:t>4.</w:t>
            </w:r>
            <w:r w:rsidRPr="00CF7396">
              <w:rPr>
                <w:i/>
                <w:iCs/>
                <w:color w:val="000000" w:themeColor="text1"/>
                <w:lang w:val="es-CR" w:eastAsia="zh-CN"/>
              </w:rPr>
              <w:t xml:space="preserve"> El Juzgado de Familia de Limón, deberá de justificar en las minutas de reunión las razones del incumplimiento en el porcentaje del rendimiento del personal juzgador. Adicionalmente deberá de rendir un informe al Consejo de Administración por sus bajos rendimientos de personal juzgador durante enero a setiembre, el cual ha tenido un promedio de 75% de rendimiento para el personal juzgador. Una vez recibido el informe, se elevará ante el CACFMJ y la Comisión de la Jurisdicción de Familia para su conocimiento.</w:t>
            </w:r>
          </w:p>
          <w:p w14:paraId="2B768C7C" w14:textId="77777777" w:rsidR="00CF7396" w:rsidRPr="00CF7396" w:rsidRDefault="00CF7396" w:rsidP="00CF7396">
            <w:pPr>
              <w:shd w:val="clear" w:color="auto" w:fill="FFFFFF"/>
              <w:autoSpaceDN w:val="0"/>
              <w:jc w:val="both"/>
              <w:rPr>
                <w:b/>
                <w:bCs/>
                <w:i/>
                <w:iCs/>
                <w:color w:val="000000" w:themeColor="text1"/>
                <w:lang w:val="es-CR" w:eastAsia="zh-CN"/>
              </w:rPr>
            </w:pPr>
          </w:p>
          <w:p w14:paraId="7DF839F3" w14:textId="77777777" w:rsidR="00CF7396" w:rsidRPr="00CF7396" w:rsidRDefault="00CF7396" w:rsidP="00CF7396">
            <w:pPr>
              <w:shd w:val="clear" w:color="auto" w:fill="FFFFFF"/>
              <w:autoSpaceDN w:val="0"/>
              <w:jc w:val="both"/>
              <w:rPr>
                <w:i/>
                <w:iCs/>
                <w:color w:val="000000" w:themeColor="text1"/>
                <w:lang w:val="es-CR" w:eastAsia="es-CR"/>
              </w:rPr>
            </w:pPr>
            <w:r w:rsidRPr="00CF7396">
              <w:rPr>
                <w:b/>
                <w:bCs/>
                <w:i/>
                <w:iCs/>
                <w:color w:val="000000" w:themeColor="text1"/>
                <w:lang w:val="es-CR" w:eastAsia="zh-CN"/>
              </w:rPr>
              <w:t>5.</w:t>
            </w:r>
            <w:r w:rsidRPr="00CF7396">
              <w:rPr>
                <w:i/>
                <w:iCs/>
                <w:color w:val="000000" w:themeColor="text1"/>
                <w:lang w:val="es-CR" w:eastAsia="zh-CN"/>
              </w:rPr>
              <w:t xml:space="preserve"> El Juzgado Agrario, deberá de rendir un informe al Consejo de Administración por sus bajos rendimientos de personal juzgador durante enero a setiembre, el cual ha tenido un promedio de 73%. Y una vez recibido el informe, se elevará ante el CAFMJ y la Comisión de la Jurisdicción de Agrario para su conocimiento.</w:t>
            </w:r>
          </w:p>
          <w:p w14:paraId="36D4155D" w14:textId="77777777" w:rsidR="00CF7396" w:rsidRPr="00CF7396" w:rsidRDefault="00CF7396" w:rsidP="00CF7396">
            <w:pPr>
              <w:shd w:val="clear" w:color="auto" w:fill="FFFFFF"/>
              <w:autoSpaceDN w:val="0"/>
              <w:jc w:val="both"/>
              <w:rPr>
                <w:b/>
                <w:bCs/>
                <w:i/>
                <w:iCs/>
                <w:color w:val="000000" w:themeColor="text1"/>
                <w:lang w:val="es-CR" w:eastAsia="zh-CN"/>
              </w:rPr>
            </w:pPr>
          </w:p>
          <w:p w14:paraId="014474D2" w14:textId="77777777" w:rsidR="00CF7396" w:rsidRPr="00CF7396" w:rsidRDefault="00CF7396" w:rsidP="00CF7396">
            <w:pPr>
              <w:shd w:val="clear" w:color="auto" w:fill="FFFFFF"/>
              <w:autoSpaceDN w:val="0"/>
              <w:jc w:val="both"/>
              <w:rPr>
                <w:i/>
                <w:iCs/>
                <w:color w:val="000000" w:themeColor="text1"/>
                <w:lang w:val="es-CR" w:eastAsia="zh-CN"/>
              </w:rPr>
            </w:pPr>
            <w:r w:rsidRPr="00CF7396">
              <w:rPr>
                <w:b/>
                <w:bCs/>
                <w:i/>
                <w:iCs/>
                <w:color w:val="000000" w:themeColor="text1"/>
                <w:lang w:val="es-CR" w:eastAsia="zh-CN"/>
              </w:rPr>
              <w:t>6.</w:t>
            </w:r>
            <w:r w:rsidRPr="00CF7396">
              <w:rPr>
                <w:i/>
                <w:iCs/>
                <w:color w:val="000000" w:themeColor="text1"/>
                <w:lang w:val="es-CR" w:eastAsia="zh-CN"/>
              </w:rPr>
              <w:t xml:space="preserve"> Remitir al CACMFJ y a la Comisión de la Jurisdicción Civil la respuesta recibida por el Juez 3 del Juzgado de Cobro de Limón, referente al tema de la cantidad de firmas que tenía pendiente. Para setiembre se identifica que tiene 1536 firmas pendientes desde el 24 de setiembre a la fecha.</w:t>
            </w:r>
          </w:p>
          <w:p w14:paraId="3A423C36" w14:textId="77777777" w:rsidR="00CF7396" w:rsidRPr="00CF7396" w:rsidRDefault="00CF7396" w:rsidP="00CF7396">
            <w:pPr>
              <w:shd w:val="clear" w:color="auto" w:fill="FFFFFF"/>
              <w:autoSpaceDN w:val="0"/>
              <w:jc w:val="both"/>
              <w:rPr>
                <w:i/>
                <w:iCs/>
                <w:color w:val="000000" w:themeColor="text1"/>
                <w:lang w:val="es-CR" w:eastAsia="es-CR"/>
              </w:rPr>
            </w:pPr>
          </w:p>
          <w:p w14:paraId="1A0CA5A2" w14:textId="77777777" w:rsidR="00CF7396" w:rsidRPr="00CF7396" w:rsidRDefault="00CF7396" w:rsidP="00CF7396">
            <w:pPr>
              <w:shd w:val="clear" w:color="auto" w:fill="FFFFFF"/>
              <w:autoSpaceDN w:val="0"/>
              <w:jc w:val="center"/>
              <w:rPr>
                <w:i/>
                <w:iCs/>
                <w:color w:val="000000" w:themeColor="text1"/>
                <w:lang w:val="es-CR" w:eastAsia="es-CR"/>
              </w:rPr>
            </w:pPr>
            <w:r w:rsidRPr="00CF7396">
              <w:rPr>
                <w:i/>
                <w:iCs/>
                <w:noProof/>
                <w:color w:val="000000" w:themeColor="text1"/>
                <w:lang w:val="es-CR" w:eastAsia="es-CR"/>
              </w:rPr>
              <w:drawing>
                <wp:inline distT="0" distB="0" distL="0" distR="0" wp14:anchorId="424C739B" wp14:editId="09FBD588">
                  <wp:extent cx="981075" cy="647700"/>
                  <wp:effectExtent l="0" t="0" r="9525" b="0"/>
                  <wp:docPr id="20" name="Imagen 2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10;&#10;Descripción generada automáticament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81075" cy="647700"/>
                          </a:xfrm>
                          <a:prstGeom prst="rect">
                            <a:avLst/>
                          </a:prstGeom>
                          <a:noFill/>
                        </pic:spPr>
                      </pic:pic>
                    </a:graphicData>
                  </a:graphic>
                </wp:inline>
              </w:drawing>
            </w:r>
          </w:p>
          <w:p w14:paraId="723AF7C3" w14:textId="77777777" w:rsidR="00CF7396" w:rsidRPr="00CF7396" w:rsidRDefault="00CF7396" w:rsidP="00CF7396">
            <w:pPr>
              <w:jc w:val="both"/>
              <w:rPr>
                <w:bCs/>
                <w:i/>
                <w:iCs/>
                <w:color w:val="000000" w:themeColor="text1"/>
                <w:lang w:val="es-CR"/>
              </w:rPr>
            </w:pPr>
          </w:p>
        </w:tc>
        <w:tc>
          <w:tcPr>
            <w:tcW w:w="427" w:type="pct"/>
            <w:shd w:val="clear" w:color="auto" w:fill="auto"/>
            <w:vAlign w:val="center"/>
          </w:tcPr>
          <w:p w14:paraId="5B3FF1B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Acta 19-2021 del 28 de octubre del 2021, artículo I.</w:t>
            </w:r>
          </w:p>
        </w:tc>
        <w:tc>
          <w:tcPr>
            <w:tcW w:w="1044" w:type="pct"/>
            <w:shd w:val="clear" w:color="auto" w:fill="auto"/>
            <w:vAlign w:val="center"/>
          </w:tcPr>
          <w:p w14:paraId="3F28FFAD"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Aprobadas</w:t>
            </w:r>
          </w:p>
        </w:tc>
        <w:tc>
          <w:tcPr>
            <w:tcW w:w="687" w:type="pct"/>
            <w:shd w:val="clear" w:color="auto" w:fill="auto"/>
            <w:vAlign w:val="center"/>
          </w:tcPr>
          <w:p w14:paraId="22E575E7"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318E8888" w14:textId="77777777" w:rsidTr="00AF369B">
        <w:trPr>
          <w:trHeight w:val="418"/>
          <w:jc w:val="center"/>
        </w:trPr>
        <w:tc>
          <w:tcPr>
            <w:tcW w:w="431" w:type="pct"/>
            <w:vMerge w:val="restart"/>
            <w:shd w:val="clear" w:color="auto" w:fill="auto"/>
            <w:vAlign w:val="center"/>
          </w:tcPr>
          <w:p w14:paraId="1C20E43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Noviembre</w:t>
            </w:r>
          </w:p>
        </w:tc>
        <w:tc>
          <w:tcPr>
            <w:tcW w:w="4569" w:type="pct"/>
            <w:gridSpan w:val="4"/>
            <w:shd w:val="clear" w:color="auto" w:fill="C0504D" w:themeFill="accent2"/>
          </w:tcPr>
          <w:p w14:paraId="34E0DD17" w14:textId="77777777" w:rsidR="00CF7396" w:rsidRPr="00CF7396" w:rsidRDefault="00CF7396" w:rsidP="00CF7396">
            <w:pPr>
              <w:jc w:val="center"/>
              <w:rPr>
                <w:color w:val="000000" w:themeColor="text1"/>
                <w:lang w:val="es-CR" w:eastAsia="es-CR"/>
              </w:rPr>
            </w:pPr>
            <w:r w:rsidRPr="00CF7396">
              <w:rPr>
                <w:b/>
                <w:bCs/>
                <w:color w:val="000000" w:themeColor="text1"/>
                <w:lang w:val="es-CR" w:eastAsia="zh-CN"/>
              </w:rPr>
              <w:t>Presentación 2637-PLA-EV-TR-2021, Indicadores de octubre 2021</w:t>
            </w:r>
          </w:p>
        </w:tc>
      </w:tr>
      <w:tr w:rsidR="00CF7396" w:rsidRPr="00CF7396" w14:paraId="03D5C49F" w14:textId="77777777" w:rsidTr="00AF369B">
        <w:trPr>
          <w:trHeight w:val="2520"/>
          <w:jc w:val="center"/>
        </w:trPr>
        <w:tc>
          <w:tcPr>
            <w:tcW w:w="431" w:type="pct"/>
            <w:vMerge/>
            <w:shd w:val="clear" w:color="auto" w:fill="auto"/>
            <w:vAlign w:val="center"/>
          </w:tcPr>
          <w:p w14:paraId="4418A6B1" w14:textId="77777777" w:rsidR="00CF7396" w:rsidRPr="00CF7396" w:rsidRDefault="00CF7396" w:rsidP="00CF7396">
            <w:pPr>
              <w:jc w:val="center"/>
              <w:rPr>
                <w:color w:val="000000" w:themeColor="text1"/>
                <w:lang w:val="es-CR" w:eastAsia="es-CR"/>
              </w:rPr>
            </w:pPr>
          </w:p>
        </w:tc>
        <w:tc>
          <w:tcPr>
            <w:tcW w:w="2411" w:type="pct"/>
            <w:shd w:val="clear" w:color="auto" w:fill="auto"/>
          </w:tcPr>
          <w:p w14:paraId="00BFB39D" w14:textId="77777777" w:rsidR="00CF7396" w:rsidRPr="00CF7396" w:rsidRDefault="00CF7396" w:rsidP="00CF7396">
            <w:pPr>
              <w:numPr>
                <w:ilvl w:val="0"/>
                <w:numId w:val="53"/>
              </w:numPr>
              <w:jc w:val="both"/>
              <w:rPr>
                <w:bCs/>
                <w:i/>
                <w:iCs/>
                <w:color w:val="000000" w:themeColor="text1"/>
                <w:kern w:val="1"/>
                <w:lang w:val="es-CR" w:eastAsia="zh-CN" w:bidi="hi-IN"/>
              </w:rPr>
            </w:pPr>
            <w:r w:rsidRPr="00CF7396">
              <w:rPr>
                <w:bCs/>
                <w:i/>
                <w:iCs/>
                <w:color w:val="000000" w:themeColor="text1"/>
                <w:kern w:val="1"/>
                <w:lang w:val="es-CR" w:eastAsia="zh-CN" w:bidi="hi-IN"/>
              </w:rPr>
              <w:t>Solicitar al licenciado Diego Alejandro Meoño del Juzgado de Cobro, cumplir con sus cuotas de trabajo, por cuanto se detectó que desde que se reincorporó al despacho en julio del presente año, su rendimiento en promedio ha sido de 78,46%. Aunado a que al despacho se le ha brindado apoyo con personal supernumerario y actualmente el despacho cuenta con un plan de trabajo entre el Juzgado Civil y Cobro aprobado por el Consejo Superior en sesión 95-2021 del 4 de noviembre del 2021, artículo XXXIII, y dentro de las recomendaciones vertidas en el informe 720-PLA-EV-2021 se indica que de detectar algún incumplimiento se deberá de informar ante el Consejo de Administración en primera instancia, posteriormente ante el Consejo Superior. Por lo que la Profesional de la Dirección de Planificación destacada en el Circuito informará al Consejo de Administración al respecto.</w:t>
            </w:r>
          </w:p>
          <w:p w14:paraId="555A434F" w14:textId="77777777" w:rsidR="00CF7396" w:rsidRPr="00CF7396" w:rsidRDefault="00CF7396" w:rsidP="00CF7396">
            <w:pPr>
              <w:shd w:val="clear" w:color="auto" w:fill="FFFFFF"/>
              <w:autoSpaceDN w:val="0"/>
              <w:jc w:val="both"/>
              <w:rPr>
                <w:bCs/>
                <w:i/>
                <w:iCs/>
                <w:color w:val="000000" w:themeColor="text1"/>
                <w:lang w:val="es-CR" w:eastAsia="zh-CN"/>
              </w:rPr>
            </w:pPr>
          </w:p>
          <w:p w14:paraId="02D50D2A" w14:textId="77777777" w:rsidR="00CF7396" w:rsidRPr="00CF7396" w:rsidRDefault="00CF7396" w:rsidP="00CF7396">
            <w:pPr>
              <w:shd w:val="clear" w:color="auto" w:fill="FFFFFF"/>
              <w:autoSpaceDN w:val="0"/>
              <w:jc w:val="both"/>
              <w:rPr>
                <w:bCs/>
                <w:i/>
                <w:iCs/>
                <w:color w:val="000000" w:themeColor="text1"/>
                <w:lang w:val="es-CR" w:eastAsia="zh-CN"/>
              </w:rPr>
            </w:pPr>
          </w:p>
          <w:p w14:paraId="4266AC92" w14:textId="77777777" w:rsidR="00CF7396" w:rsidRPr="00CF7396" w:rsidRDefault="00CF7396" w:rsidP="00CF7396">
            <w:pPr>
              <w:shd w:val="clear" w:color="auto" w:fill="FFFFFF"/>
              <w:autoSpaceDN w:val="0"/>
              <w:jc w:val="both"/>
              <w:rPr>
                <w:bCs/>
                <w:i/>
                <w:iCs/>
                <w:color w:val="000000" w:themeColor="text1"/>
                <w:lang w:val="es-CR" w:eastAsia="zh-CN"/>
              </w:rPr>
            </w:pPr>
          </w:p>
          <w:p w14:paraId="77F72C3D" w14:textId="77777777" w:rsidR="00CF7396" w:rsidRPr="00CF7396" w:rsidRDefault="00CF7396" w:rsidP="00CF7396">
            <w:pPr>
              <w:shd w:val="clear" w:color="auto" w:fill="FFFFFF"/>
              <w:autoSpaceDN w:val="0"/>
              <w:jc w:val="both"/>
              <w:rPr>
                <w:bCs/>
                <w:i/>
                <w:iCs/>
                <w:color w:val="000000" w:themeColor="text1"/>
                <w:lang w:val="es-CR" w:eastAsia="zh-CN"/>
              </w:rPr>
            </w:pPr>
          </w:p>
          <w:p w14:paraId="606910C7" w14:textId="77777777" w:rsidR="00CF7396" w:rsidRPr="00CF7396" w:rsidRDefault="00CF7396" w:rsidP="00CF7396">
            <w:pPr>
              <w:shd w:val="clear" w:color="auto" w:fill="FFFFFF"/>
              <w:autoSpaceDN w:val="0"/>
              <w:jc w:val="both"/>
              <w:rPr>
                <w:bCs/>
                <w:i/>
                <w:iCs/>
                <w:color w:val="000000" w:themeColor="text1"/>
                <w:lang w:val="es-CR" w:eastAsia="zh-CN"/>
              </w:rPr>
            </w:pPr>
          </w:p>
          <w:p w14:paraId="39B57C6F" w14:textId="77777777" w:rsidR="00CF7396" w:rsidRPr="00CF7396" w:rsidRDefault="00CF7396" w:rsidP="00CF7396">
            <w:pPr>
              <w:shd w:val="clear" w:color="auto" w:fill="FFFFFF"/>
              <w:autoSpaceDN w:val="0"/>
              <w:jc w:val="both"/>
              <w:rPr>
                <w:bCs/>
                <w:i/>
                <w:iCs/>
                <w:color w:val="000000" w:themeColor="text1"/>
                <w:lang w:val="es-CR" w:eastAsia="zh-CN"/>
              </w:rPr>
            </w:pPr>
          </w:p>
          <w:p w14:paraId="02737583" w14:textId="77777777" w:rsidR="00CF7396" w:rsidRPr="00CF7396" w:rsidRDefault="00CF7396" w:rsidP="00CF7396">
            <w:pPr>
              <w:shd w:val="clear" w:color="auto" w:fill="FFFFFF"/>
              <w:autoSpaceDN w:val="0"/>
              <w:jc w:val="both"/>
              <w:rPr>
                <w:bCs/>
                <w:i/>
                <w:iCs/>
                <w:color w:val="000000" w:themeColor="text1"/>
                <w:lang w:val="es-CR" w:eastAsia="zh-CN"/>
              </w:rPr>
            </w:pPr>
          </w:p>
        </w:tc>
        <w:tc>
          <w:tcPr>
            <w:tcW w:w="427" w:type="pct"/>
            <w:shd w:val="clear" w:color="auto" w:fill="auto"/>
            <w:vAlign w:val="center"/>
          </w:tcPr>
          <w:p w14:paraId="226FC522" w14:textId="77777777" w:rsidR="00CF7396" w:rsidRPr="00CF7396" w:rsidRDefault="00CF7396" w:rsidP="00CF7396">
            <w:pPr>
              <w:jc w:val="center"/>
              <w:rPr>
                <w:bCs/>
                <w:i/>
                <w:iCs/>
                <w:color w:val="000000" w:themeColor="text1"/>
                <w:lang w:val="es-CR" w:eastAsia="es-CR"/>
              </w:rPr>
            </w:pPr>
            <w:r w:rsidRPr="00CF7396">
              <w:rPr>
                <w:bCs/>
                <w:i/>
                <w:iCs/>
                <w:color w:val="000000" w:themeColor="text1"/>
                <w:lang w:val="es-CR" w:eastAsia="es-CR"/>
              </w:rPr>
              <w:t>Acta 20-2021 del 25 de noviembre del 2021, artículo I</w:t>
            </w:r>
          </w:p>
        </w:tc>
        <w:tc>
          <w:tcPr>
            <w:tcW w:w="1044" w:type="pct"/>
            <w:shd w:val="clear" w:color="auto" w:fill="auto"/>
            <w:vAlign w:val="center"/>
          </w:tcPr>
          <w:p w14:paraId="34EA7914" w14:textId="77777777" w:rsidR="00CF7396" w:rsidRPr="00CF7396" w:rsidRDefault="00CF7396" w:rsidP="00CF7396">
            <w:pPr>
              <w:autoSpaceDE w:val="0"/>
              <w:autoSpaceDN w:val="0"/>
              <w:adjustRightInd w:val="0"/>
              <w:jc w:val="both"/>
              <w:rPr>
                <w:bCs/>
                <w:i/>
                <w:iCs/>
                <w:color w:val="000000" w:themeColor="text1"/>
                <w:kern w:val="1"/>
                <w:lang w:val="es-CR" w:eastAsia="zh-CN" w:bidi="hi-IN"/>
              </w:rPr>
            </w:pPr>
            <w:r w:rsidRPr="00CF7396">
              <w:rPr>
                <w:bCs/>
                <w:i/>
                <w:iCs/>
                <w:color w:val="000000" w:themeColor="text1"/>
                <w:kern w:val="1"/>
                <w:lang w:val="es-CR" w:eastAsia="zh-CN" w:bidi="hi-IN"/>
              </w:rPr>
              <w:t>Se acuerda: 1. Respecto a la recomendación realizada por la Profesional de la Dirección de Planificación comunicar a la Licda. Arelys que este Consejo en cuanto a las cuotas de trabajo establecidas para el Juzgado de Cobro en relación con el Lic. Diego Meoño Piedra y siendo que este no las ha cumplido, ya el Consejo de Administración atendió y mandó los oficios pertinentes a dicho juez, por lo cual de acuerdo con la valoración que haga que su persona, comunique esta situación ante el Consejo Superior, como lo refiere en su recomendación.  Se abstiene de votar la Licda. Marybeth Chinchilla Cespedes, debido a asunto personal. Acuerdo firme por mayoría.</w:t>
            </w:r>
          </w:p>
          <w:p w14:paraId="2233C8F0" w14:textId="77777777" w:rsidR="00CF7396" w:rsidRPr="00CF7396" w:rsidRDefault="00CF7396" w:rsidP="00CF7396">
            <w:pPr>
              <w:jc w:val="center"/>
              <w:rPr>
                <w:bCs/>
                <w:i/>
                <w:iCs/>
                <w:color w:val="000000" w:themeColor="text1"/>
                <w:lang w:val="es-CR" w:eastAsia="es-CR"/>
              </w:rPr>
            </w:pPr>
          </w:p>
        </w:tc>
        <w:tc>
          <w:tcPr>
            <w:tcW w:w="687" w:type="pct"/>
            <w:shd w:val="clear" w:color="auto" w:fill="auto"/>
            <w:vAlign w:val="center"/>
          </w:tcPr>
          <w:p w14:paraId="37B05C68"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00778F76" w14:textId="77777777" w:rsidTr="00AF369B">
        <w:trPr>
          <w:trHeight w:val="587"/>
          <w:jc w:val="center"/>
        </w:trPr>
        <w:tc>
          <w:tcPr>
            <w:tcW w:w="431" w:type="pct"/>
            <w:shd w:val="clear" w:color="auto" w:fill="auto"/>
            <w:vAlign w:val="center"/>
          </w:tcPr>
          <w:p w14:paraId="3AE4BC23" w14:textId="77777777" w:rsidR="00CF7396" w:rsidRPr="00CF7396" w:rsidRDefault="00CF7396" w:rsidP="00CF7396">
            <w:pPr>
              <w:jc w:val="center"/>
              <w:rPr>
                <w:color w:val="000000" w:themeColor="text1"/>
                <w:lang w:val="es-CR" w:eastAsia="es-CR"/>
              </w:rPr>
            </w:pPr>
          </w:p>
        </w:tc>
        <w:tc>
          <w:tcPr>
            <w:tcW w:w="4569" w:type="pct"/>
            <w:gridSpan w:val="4"/>
            <w:shd w:val="clear" w:color="auto" w:fill="C0504D" w:themeFill="accent2"/>
          </w:tcPr>
          <w:p w14:paraId="74126347" w14:textId="77777777" w:rsidR="00CF7396" w:rsidRPr="00CF7396" w:rsidRDefault="00CF7396" w:rsidP="00CF7396">
            <w:pPr>
              <w:jc w:val="center"/>
              <w:rPr>
                <w:color w:val="000000" w:themeColor="text1"/>
                <w:lang w:val="es-CR" w:eastAsia="es-CR"/>
              </w:rPr>
            </w:pPr>
            <w:r w:rsidRPr="00CF7396">
              <w:rPr>
                <w:b/>
                <w:bCs/>
                <w:color w:val="000000" w:themeColor="text1"/>
                <w:lang w:val="es-CR" w:eastAsia="zh-CN"/>
              </w:rPr>
              <w:t>Presentación 2785-PLA-EV-2021, resumen de principales labores del 2021</w:t>
            </w:r>
          </w:p>
        </w:tc>
      </w:tr>
      <w:tr w:rsidR="00CF7396" w:rsidRPr="00CF7396" w14:paraId="53F1C37B" w14:textId="77777777" w:rsidTr="00AF369B">
        <w:trPr>
          <w:trHeight w:val="620"/>
          <w:jc w:val="center"/>
        </w:trPr>
        <w:tc>
          <w:tcPr>
            <w:tcW w:w="431" w:type="pct"/>
            <w:vMerge w:val="restart"/>
            <w:shd w:val="clear" w:color="auto" w:fill="auto"/>
            <w:vAlign w:val="center"/>
          </w:tcPr>
          <w:p w14:paraId="05C74E4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Diciembre</w:t>
            </w:r>
          </w:p>
        </w:tc>
        <w:tc>
          <w:tcPr>
            <w:tcW w:w="2411" w:type="pct"/>
            <w:shd w:val="clear" w:color="auto" w:fill="auto"/>
          </w:tcPr>
          <w:p w14:paraId="4A13AECC" w14:textId="77777777" w:rsidR="00CF7396" w:rsidRPr="00CF7396" w:rsidRDefault="00CF7396" w:rsidP="00CF7396">
            <w:pPr>
              <w:rPr>
                <w:i/>
                <w:iCs/>
                <w:color w:val="000000" w:themeColor="text1"/>
                <w:lang w:val="es-CR"/>
              </w:rPr>
            </w:pPr>
            <w:r w:rsidRPr="00CF7396">
              <w:rPr>
                <w:rFonts w:eastAsia="Tahoma"/>
                <w:b/>
                <w:bCs/>
                <w:i/>
                <w:iCs/>
                <w:color w:val="000000" w:themeColor="text1"/>
                <w:lang w:val="es-CR"/>
              </w:rPr>
              <w:t>Recomendación dirigida al Juzgado Civil del Primer Circuito Judicial de la Zona Atlántica:</w:t>
            </w:r>
          </w:p>
          <w:p w14:paraId="7025B0BD" w14:textId="77777777" w:rsidR="00CF7396" w:rsidRPr="00CF7396" w:rsidRDefault="00CF7396" w:rsidP="00CF7396">
            <w:pPr>
              <w:rPr>
                <w:rFonts w:eastAsia="Tahoma"/>
                <w:b/>
                <w:bCs/>
                <w:i/>
                <w:iCs/>
                <w:color w:val="000000" w:themeColor="text1"/>
                <w:lang w:val="es-CR"/>
              </w:rPr>
            </w:pPr>
          </w:p>
          <w:p w14:paraId="70FA4170" w14:textId="77777777" w:rsidR="00CF7396" w:rsidRPr="00CF7396" w:rsidRDefault="00CF7396" w:rsidP="00CF7396">
            <w:pPr>
              <w:jc w:val="both"/>
              <w:rPr>
                <w:rFonts w:eastAsia="Tahoma"/>
                <w:i/>
                <w:iCs/>
                <w:color w:val="000000" w:themeColor="text1"/>
                <w:lang w:val="es-CR"/>
              </w:rPr>
            </w:pPr>
            <w:r w:rsidRPr="00CF7396">
              <w:rPr>
                <w:rFonts w:eastAsia="Tahoma"/>
                <w:b/>
                <w:bCs/>
                <w:i/>
                <w:iCs/>
                <w:color w:val="000000" w:themeColor="text1"/>
                <w:lang w:val="es-CR"/>
              </w:rPr>
              <w:t xml:space="preserve">1. </w:t>
            </w:r>
            <w:r w:rsidRPr="00CF7396">
              <w:rPr>
                <w:rFonts w:eastAsia="Tahoma"/>
                <w:i/>
                <w:iCs/>
                <w:color w:val="000000" w:themeColor="text1"/>
                <w:lang w:val="es-CR"/>
              </w:rPr>
              <w:t>Reiterar por segunda ocasión a la persona juzgadora del Juzgado Civil, fallar por orden de antigüedad, por cuanto se logró evidenciar que falló expedientes con fecha de pase a fallo más reciente, por lo que dará prioridad en el fallo de los siguientes expedientes: 77-100717-0461-CI, 03-000438-0678-CI, 05-000227-0678-CI o en caso de existir alguna justificación para no proceder con el fallo deberá de informar ante el Consejo de Administración.</w:t>
            </w:r>
          </w:p>
          <w:p w14:paraId="4BAD4C6A" w14:textId="77777777" w:rsidR="00CF7396" w:rsidRPr="00CF7396" w:rsidRDefault="00CF7396" w:rsidP="00CF7396">
            <w:pPr>
              <w:jc w:val="both"/>
              <w:rPr>
                <w:i/>
                <w:iCs/>
                <w:color w:val="000000" w:themeColor="text1"/>
                <w:lang w:val="es-CR"/>
              </w:rPr>
            </w:pPr>
            <w:r w:rsidRPr="00CF7396">
              <w:rPr>
                <w:rFonts w:eastAsia="Tahoma"/>
                <w:i/>
                <w:iCs/>
                <w:color w:val="000000" w:themeColor="text1"/>
                <w:lang w:val="es-CR"/>
              </w:rPr>
              <w:t xml:space="preserve"> </w:t>
            </w:r>
            <w:r w:rsidRPr="00CF7396">
              <w:rPr>
                <w:rFonts w:eastAsia="Tahoma"/>
                <w:b/>
                <w:bCs/>
                <w:i/>
                <w:iCs/>
                <w:color w:val="000000" w:themeColor="text1"/>
                <w:lang w:val="es-CR"/>
              </w:rPr>
              <w:br/>
            </w:r>
            <w:r w:rsidRPr="00CF7396">
              <w:rPr>
                <w:rFonts w:eastAsia="Tahoma"/>
                <w:b/>
                <w:bCs/>
                <w:i/>
                <w:iCs/>
                <w:color w:val="000000" w:themeColor="text1"/>
                <w:lang w:val="es-CR"/>
              </w:rPr>
              <w:br/>
            </w:r>
          </w:p>
          <w:p w14:paraId="5259598B" w14:textId="77777777" w:rsidR="00CF7396" w:rsidRPr="00CF7396" w:rsidRDefault="00CF7396" w:rsidP="00CF7396">
            <w:pPr>
              <w:jc w:val="both"/>
              <w:rPr>
                <w:bCs/>
                <w:i/>
                <w:iCs/>
                <w:color w:val="000000" w:themeColor="text1"/>
                <w:lang w:val="es-CR"/>
              </w:rPr>
            </w:pPr>
          </w:p>
          <w:p w14:paraId="48CD1DEF" w14:textId="77777777" w:rsidR="00CF7396" w:rsidRPr="00CF7396" w:rsidRDefault="00CF7396" w:rsidP="00CF7396">
            <w:pPr>
              <w:jc w:val="both"/>
              <w:rPr>
                <w:bCs/>
                <w:i/>
                <w:iCs/>
                <w:color w:val="000000" w:themeColor="text1"/>
                <w:lang w:val="es-CR"/>
              </w:rPr>
            </w:pPr>
          </w:p>
          <w:p w14:paraId="00023E02" w14:textId="77777777" w:rsidR="00CF7396" w:rsidRPr="00CF7396" w:rsidRDefault="00CF7396" w:rsidP="00CF7396">
            <w:pPr>
              <w:jc w:val="both"/>
              <w:rPr>
                <w:b/>
                <w:bCs/>
                <w:i/>
                <w:iCs/>
                <w:color w:val="000000" w:themeColor="text1"/>
                <w:lang w:val="es-CR" w:eastAsia="zh-CN"/>
              </w:rPr>
            </w:pPr>
          </w:p>
        </w:tc>
        <w:tc>
          <w:tcPr>
            <w:tcW w:w="427" w:type="pct"/>
            <w:shd w:val="clear" w:color="auto" w:fill="auto"/>
            <w:vAlign w:val="center"/>
          </w:tcPr>
          <w:p w14:paraId="71118094"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Acta 21-2021 del 9 de diciembre del 2021, artículo I</w:t>
            </w:r>
          </w:p>
        </w:tc>
        <w:tc>
          <w:tcPr>
            <w:tcW w:w="1044" w:type="pct"/>
            <w:shd w:val="clear" w:color="auto" w:fill="auto"/>
            <w:vAlign w:val="center"/>
          </w:tcPr>
          <w:p w14:paraId="477EB443" w14:textId="77777777" w:rsidR="00CF7396" w:rsidRPr="00CF7396" w:rsidRDefault="00CF7396" w:rsidP="00CF7396">
            <w:pPr>
              <w:jc w:val="both"/>
              <w:rPr>
                <w:color w:val="000000" w:themeColor="text1"/>
                <w:lang w:val="es-CR" w:eastAsia="es-CR"/>
              </w:rPr>
            </w:pPr>
            <w:r w:rsidRPr="00CF7396">
              <w:rPr>
                <w:rFonts w:eastAsia="Tahoma"/>
                <w:b/>
                <w:bCs/>
                <w:i/>
                <w:iCs/>
                <w:color w:val="000000" w:themeColor="text1"/>
                <w:lang w:val="es-CR"/>
              </w:rPr>
              <w:t>Se acuerda:</w:t>
            </w:r>
            <w:r w:rsidRPr="00CF7396">
              <w:rPr>
                <w:rFonts w:eastAsia="Tahoma"/>
                <w:i/>
                <w:iCs/>
                <w:color w:val="000000" w:themeColor="text1"/>
                <w:lang w:val="es-CR"/>
              </w:rPr>
              <w:t xml:space="preserve"> Se admite la recomendación y se comunicará a dicho Despacho, bajo el apercibimiento de </w:t>
            </w:r>
            <w:proofErr w:type="gramStart"/>
            <w:r w:rsidRPr="00CF7396">
              <w:rPr>
                <w:rFonts w:eastAsia="Tahoma"/>
                <w:i/>
                <w:iCs/>
                <w:color w:val="000000" w:themeColor="text1"/>
                <w:lang w:val="es-CR"/>
              </w:rPr>
              <w:t>que</w:t>
            </w:r>
            <w:proofErr w:type="gramEnd"/>
            <w:r w:rsidRPr="00CF7396">
              <w:rPr>
                <w:rFonts w:eastAsia="Tahoma"/>
                <w:i/>
                <w:iCs/>
                <w:color w:val="000000" w:themeColor="text1"/>
                <w:lang w:val="es-CR"/>
              </w:rPr>
              <w:t xml:space="preserve"> en caso de no cumplir con lo solicitado, se informará al Consejo Superior para lo que corresponda. Tome nota el Despacho que todos los meses la Dirección de Planificación brinda un informe a este Consejo sobre los Indicadores y tema en general del despacho, para lo cual para la próxima reunión el despacho debe haber tomado las medidas pertinentes. Acuerdo firme.</w:t>
            </w:r>
          </w:p>
        </w:tc>
        <w:tc>
          <w:tcPr>
            <w:tcW w:w="687" w:type="pct"/>
            <w:shd w:val="clear" w:color="auto" w:fill="auto"/>
            <w:vAlign w:val="center"/>
          </w:tcPr>
          <w:p w14:paraId="62D657C3"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2CB0FE75" w14:textId="77777777" w:rsidTr="00AF369B">
        <w:trPr>
          <w:trHeight w:val="1125"/>
          <w:jc w:val="center"/>
        </w:trPr>
        <w:tc>
          <w:tcPr>
            <w:tcW w:w="431" w:type="pct"/>
            <w:vMerge/>
            <w:shd w:val="clear" w:color="auto" w:fill="auto"/>
            <w:vAlign w:val="center"/>
          </w:tcPr>
          <w:p w14:paraId="7CE5383F" w14:textId="77777777" w:rsidR="00CF7396" w:rsidRPr="00CF7396" w:rsidRDefault="00CF7396" w:rsidP="00CF7396">
            <w:pPr>
              <w:jc w:val="center"/>
              <w:rPr>
                <w:color w:val="000000" w:themeColor="text1"/>
                <w:lang w:val="es-CR" w:eastAsia="es-CR"/>
              </w:rPr>
            </w:pPr>
          </w:p>
        </w:tc>
        <w:tc>
          <w:tcPr>
            <w:tcW w:w="2411" w:type="pct"/>
            <w:shd w:val="clear" w:color="auto" w:fill="auto"/>
          </w:tcPr>
          <w:p w14:paraId="00ABBEAE" w14:textId="77777777" w:rsidR="00CF7396" w:rsidRPr="00CF7396" w:rsidRDefault="00CF7396" w:rsidP="00CF7396">
            <w:pPr>
              <w:jc w:val="both"/>
              <w:rPr>
                <w:i/>
                <w:iCs/>
                <w:color w:val="000000" w:themeColor="text1"/>
                <w:lang w:val="es-CR"/>
              </w:rPr>
            </w:pPr>
            <w:r w:rsidRPr="00CF7396">
              <w:rPr>
                <w:rFonts w:eastAsia="Tahoma"/>
                <w:b/>
                <w:bCs/>
                <w:i/>
                <w:iCs/>
                <w:color w:val="000000" w:themeColor="text1"/>
                <w:lang w:val="es-CR"/>
              </w:rPr>
              <w:t xml:space="preserve">2. </w:t>
            </w:r>
            <w:r w:rsidRPr="00CF7396">
              <w:rPr>
                <w:bCs/>
                <w:i/>
                <w:iCs/>
                <w:color w:val="000000" w:themeColor="text1"/>
                <w:lang w:val="es-CR"/>
              </w:rPr>
              <w:t>Reiterar la circular 23-2021 del 25 de noviembre del 2021 emitida por este Consejo sobre fallar por orden de antigüedad.</w:t>
            </w:r>
          </w:p>
          <w:p w14:paraId="57BEBB01" w14:textId="77777777" w:rsidR="00CF7396" w:rsidRPr="00CF7396" w:rsidRDefault="00CF7396" w:rsidP="00CF7396">
            <w:pPr>
              <w:ind w:left="360"/>
              <w:rPr>
                <w:rFonts w:eastAsia="Tahoma"/>
                <w:bCs/>
                <w:i/>
                <w:iCs/>
                <w:color w:val="000000" w:themeColor="text1"/>
                <w:lang w:val="es-CR"/>
              </w:rPr>
            </w:pPr>
            <w:r w:rsidRPr="00CF7396">
              <w:rPr>
                <w:rFonts w:eastAsia="Tahoma"/>
                <w:bCs/>
                <w:i/>
                <w:iCs/>
                <w:color w:val="000000" w:themeColor="text1"/>
                <w:lang w:val="es-CR"/>
              </w:rPr>
              <w:t xml:space="preserve"> </w:t>
            </w:r>
          </w:p>
          <w:p w14:paraId="4B18EC22" w14:textId="77777777" w:rsidR="00CF7396" w:rsidRPr="00CF7396" w:rsidRDefault="00CF7396" w:rsidP="00CF7396">
            <w:pPr>
              <w:ind w:left="360"/>
              <w:rPr>
                <w:bCs/>
                <w:i/>
                <w:iCs/>
                <w:color w:val="000000" w:themeColor="text1"/>
                <w:lang w:val="es-CR"/>
              </w:rPr>
            </w:pPr>
          </w:p>
          <w:p w14:paraId="1627A055" w14:textId="77777777" w:rsidR="00CF7396" w:rsidRPr="00CF7396" w:rsidRDefault="00CF7396" w:rsidP="00CF7396">
            <w:pPr>
              <w:rPr>
                <w:bCs/>
                <w:i/>
                <w:iCs/>
                <w:color w:val="000000" w:themeColor="text1"/>
                <w:lang w:val="es-CR"/>
              </w:rPr>
            </w:pPr>
          </w:p>
          <w:p w14:paraId="093E9767" w14:textId="77777777" w:rsidR="00CF7396" w:rsidRPr="00CF7396" w:rsidRDefault="00CF7396" w:rsidP="00CF7396">
            <w:pPr>
              <w:jc w:val="both"/>
              <w:rPr>
                <w:b/>
                <w:bCs/>
                <w:i/>
                <w:iCs/>
                <w:color w:val="000000" w:themeColor="text1"/>
                <w:lang w:val="es-CR" w:eastAsia="zh-CN"/>
              </w:rPr>
            </w:pPr>
          </w:p>
        </w:tc>
        <w:tc>
          <w:tcPr>
            <w:tcW w:w="427" w:type="pct"/>
            <w:shd w:val="clear" w:color="auto" w:fill="auto"/>
            <w:vAlign w:val="center"/>
          </w:tcPr>
          <w:p w14:paraId="4142F893"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4146F50C" w14:textId="77777777" w:rsidR="00CF7396" w:rsidRPr="00CF7396" w:rsidRDefault="00CF7396" w:rsidP="00CF7396">
            <w:pPr>
              <w:rPr>
                <w:bCs/>
                <w:i/>
                <w:iCs/>
                <w:color w:val="000000" w:themeColor="text1"/>
                <w:lang w:val="es-CR"/>
              </w:rPr>
            </w:pPr>
            <w:r w:rsidRPr="00CF7396">
              <w:rPr>
                <w:bCs/>
                <w:i/>
                <w:iCs/>
                <w:color w:val="000000" w:themeColor="text1"/>
                <w:lang w:val="es-CR"/>
              </w:rPr>
              <w:t>Se enviará el recordatorio de la circular citada a los despachos.</w:t>
            </w:r>
          </w:p>
          <w:p w14:paraId="5A339870" w14:textId="77777777" w:rsidR="00CF7396" w:rsidRPr="00CF7396" w:rsidRDefault="00CF7396" w:rsidP="00CF7396">
            <w:pPr>
              <w:jc w:val="center"/>
              <w:rPr>
                <w:color w:val="000000" w:themeColor="text1"/>
                <w:lang w:val="es-CR" w:eastAsia="es-CR"/>
              </w:rPr>
            </w:pPr>
          </w:p>
        </w:tc>
        <w:tc>
          <w:tcPr>
            <w:tcW w:w="687" w:type="pct"/>
            <w:shd w:val="clear" w:color="auto" w:fill="auto"/>
            <w:vAlign w:val="center"/>
          </w:tcPr>
          <w:p w14:paraId="086BDAA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06EEBC16" w14:textId="77777777" w:rsidTr="00AF369B">
        <w:trPr>
          <w:trHeight w:val="2520"/>
          <w:jc w:val="center"/>
        </w:trPr>
        <w:tc>
          <w:tcPr>
            <w:tcW w:w="431" w:type="pct"/>
            <w:vMerge/>
            <w:shd w:val="clear" w:color="auto" w:fill="auto"/>
            <w:vAlign w:val="center"/>
          </w:tcPr>
          <w:p w14:paraId="1D1E9FA7" w14:textId="77777777" w:rsidR="00CF7396" w:rsidRPr="00CF7396" w:rsidRDefault="00CF7396" w:rsidP="00CF7396">
            <w:pPr>
              <w:jc w:val="center"/>
              <w:rPr>
                <w:color w:val="000000" w:themeColor="text1"/>
                <w:lang w:val="es-CR" w:eastAsia="es-CR"/>
              </w:rPr>
            </w:pPr>
          </w:p>
        </w:tc>
        <w:tc>
          <w:tcPr>
            <w:tcW w:w="2411" w:type="pct"/>
            <w:shd w:val="clear" w:color="auto" w:fill="auto"/>
          </w:tcPr>
          <w:p w14:paraId="3ADF98A5" w14:textId="77777777" w:rsidR="00CF7396" w:rsidRPr="00CF7396" w:rsidRDefault="00CF7396" w:rsidP="00CF7396">
            <w:pPr>
              <w:rPr>
                <w:i/>
                <w:iCs/>
                <w:color w:val="000000" w:themeColor="text1"/>
                <w:lang w:val="es-CR"/>
              </w:rPr>
            </w:pPr>
            <w:r w:rsidRPr="00CF7396">
              <w:rPr>
                <w:b/>
                <w:bCs/>
                <w:i/>
                <w:iCs/>
                <w:color w:val="000000" w:themeColor="text1"/>
                <w:lang w:val="es-CR"/>
              </w:rPr>
              <w:t xml:space="preserve">Recomendación dirigida al Juzgado Agrario del Primer Circuito Judicial de la Zona Atlántica: </w:t>
            </w:r>
          </w:p>
          <w:p w14:paraId="2EEFB6A7" w14:textId="77777777" w:rsidR="00CF7396" w:rsidRPr="00CF7396" w:rsidRDefault="00CF7396" w:rsidP="00CF7396">
            <w:pPr>
              <w:rPr>
                <w:b/>
                <w:bCs/>
                <w:i/>
                <w:iCs/>
                <w:color w:val="000000" w:themeColor="text1"/>
                <w:lang w:val="es-CR"/>
              </w:rPr>
            </w:pPr>
          </w:p>
          <w:p w14:paraId="3D3EEDCC" w14:textId="77777777" w:rsidR="00CF7396" w:rsidRPr="00CF7396" w:rsidRDefault="00CF7396" w:rsidP="00CF7396">
            <w:pPr>
              <w:jc w:val="both"/>
              <w:rPr>
                <w:i/>
                <w:iCs/>
                <w:color w:val="000000" w:themeColor="text1"/>
                <w:lang w:val="es-CR"/>
              </w:rPr>
            </w:pPr>
            <w:r w:rsidRPr="00CF7396">
              <w:rPr>
                <w:b/>
                <w:bCs/>
                <w:i/>
                <w:iCs/>
                <w:color w:val="000000" w:themeColor="text1"/>
                <w:lang w:val="es-CR"/>
              </w:rPr>
              <w:t>3.</w:t>
            </w:r>
            <w:r w:rsidRPr="00CF7396">
              <w:rPr>
                <w:bCs/>
                <w:i/>
                <w:iCs/>
                <w:color w:val="000000" w:themeColor="text1"/>
                <w:lang w:val="es-CR"/>
              </w:rPr>
              <w:t xml:space="preserve"> Reiterar por segunda ocasión a la persona juzgadora 1 del Juzgado Agrario fallar por orden de antigüedad, por cuanto se logró evidenciar que falló expedientes con fecha de pase a fallo más reciente, lo anterior conforme fue comunicado por el Consejo de Administración en circular </w:t>
            </w:r>
            <w:proofErr w:type="spellStart"/>
            <w:r w:rsidRPr="00CF7396">
              <w:rPr>
                <w:bCs/>
                <w:i/>
                <w:iCs/>
                <w:color w:val="000000" w:themeColor="text1"/>
                <w:lang w:val="es-CR"/>
              </w:rPr>
              <w:t>N°</w:t>
            </w:r>
            <w:proofErr w:type="spellEnd"/>
            <w:r w:rsidRPr="00CF7396">
              <w:rPr>
                <w:bCs/>
                <w:i/>
                <w:iCs/>
                <w:color w:val="000000" w:themeColor="text1"/>
                <w:lang w:val="es-CR"/>
              </w:rPr>
              <w:t xml:space="preserve"> 23-2021 del 25 de noviembre del 2021.</w:t>
            </w:r>
          </w:p>
          <w:p w14:paraId="32358FBD" w14:textId="77777777" w:rsidR="00CF7396" w:rsidRPr="00CF7396" w:rsidRDefault="00CF7396" w:rsidP="00CF7396">
            <w:pPr>
              <w:jc w:val="both"/>
              <w:rPr>
                <w:i/>
                <w:iCs/>
                <w:color w:val="000000" w:themeColor="text1"/>
                <w:lang w:val="es-CR"/>
              </w:rPr>
            </w:pPr>
          </w:p>
          <w:p w14:paraId="4BD81D53" w14:textId="77777777" w:rsidR="00CF7396" w:rsidRPr="00CF7396" w:rsidRDefault="00CF7396" w:rsidP="00CF7396">
            <w:pPr>
              <w:rPr>
                <w:bCs/>
                <w:i/>
                <w:iCs/>
                <w:color w:val="000000" w:themeColor="text1"/>
                <w:lang w:val="es-CR"/>
              </w:rPr>
            </w:pPr>
          </w:p>
          <w:p w14:paraId="3CE9E6EC" w14:textId="77777777" w:rsidR="00CF7396" w:rsidRPr="00CF7396" w:rsidRDefault="00CF7396" w:rsidP="00CF7396">
            <w:pPr>
              <w:rPr>
                <w:b/>
                <w:bCs/>
                <w:i/>
                <w:iCs/>
                <w:color w:val="000000" w:themeColor="text1"/>
                <w:lang w:val="es-CR"/>
              </w:rPr>
            </w:pPr>
          </w:p>
          <w:p w14:paraId="744CC98B" w14:textId="77777777" w:rsidR="00CF7396" w:rsidRPr="00CF7396" w:rsidRDefault="00CF7396" w:rsidP="00CF7396">
            <w:pPr>
              <w:jc w:val="both"/>
              <w:rPr>
                <w:rFonts w:eastAsia="Tahoma"/>
                <w:b/>
                <w:bCs/>
                <w:i/>
                <w:iCs/>
                <w:color w:val="000000" w:themeColor="text1"/>
                <w:lang w:val="es-CR"/>
              </w:rPr>
            </w:pPr>
          </w:p>
        </w:tc>
        <w:tc>
          <w:tcPr>
            <w:tcW w:w="427" w:type="pct"/>
            <w:shd w:val="clear" w:color="auto" w:fill="auto"/>
            <w:vAlign w:val="center"/>
          </w:tcPr>
          <w:p w14:paraId="40DCC338"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703A2092" w14:textId="77777777" w:rsidR="00CF7396" w:rsidRPr="00CF7396" w:rsidRDefault="00CF7396" w:rsidP="00CF7396">
            <w:pPr>
              <w:jc w:val="both"/>
              <w:rPr>
                <w:i/>
                <w:iCs/>
                <w:color w:val="000000" w:themeColor="text1"/>
                <w:lang w:val="es-CR"/>
              </w:rPr>
            </w:pPr>
            <w:r w:rsidRPr="00CF7396">
              <w:rPr>
                <w:b/>
                <w:bCs/>
                <w:i/>
                <w:iCs/>
                <w:color w:val="000000" w:themeColor="text1"/>
                <w:lang w:val="es-CR"/>
              </w:rPr>
              <w:t>Se acuerda:</w:t>
            </w:r>
            <w:r w:rsidRPr="00CF7396">
              <w:rPr>
                <w:bCs/>
                <w:i/>
                <w:iCs/>
                <w:color w:val="000000" w:themeColor="text1"/>
                <w:lang w:val="es-CR"/>
              </w:rPr>
              <w:t xml:space="preserve"> Se admitirá la recomendación y se comunicará a dicho Despacho, bajo el apercibimiento de </w:t>
            </w:r>
            <w:proofErr w:type="gramStart"/>
            <w:r w:rsidRPr="00CF7396">
              <w:rPr>
                <w:bCs/>
                <w:i/>
                <w:iCs/>
                <w:color w:val="000000" w:themeColor="text1"/>
                <w:lang w:val="es-CR"/>
              </w:rPr>
              <w:t>que</w:t>
            </w:r>
            <w:proofErr w:type="gramEnd"/>
            <w:r w:rsidRPr="00CF7396">
              <w:rPr>
                <w:bCs/>
                <w:i/>
                <w:iCs/>
                <w:color w:val="000000" w:themeColor="text1"/>
                <w:lang w:val="es-CR"/>
              </w:rPr>
              <w:t xml:space="preserve"> en caso de no cumplir con lo solicitado, se informará al Consejo Superior para lo que corresponda. Tome nota el Despacho que todos los meses la Dirección de Planificación brinda un informe a este Consejo sobre los Indicadores y tema en general del Despacho, para lo cual para la próxima reunión el Despacho debe haber tomado las medidas pertinentes. Acuerdo firme.</w:t>
            </w:r>
          </w:p>
          <w:p w14:paraId="01006A18" w14:textId="77777777" w:rsidR="00CF7396" w:rsidRPr="00CF7396" w:rsidRDefault="00CF7396" w:rsidP="00CF7396">
            <w:pPr>
              <w:jc w:val="center"/>
              <w:rPr>
                <w:color w:val="000000" w:themeColor="text1"/>
                <w:lang w:val="es-CR" w:eastAsia="es-CR"/>
              </w:rPr>
            </w:pPr>
          </w:p>
        </w:tc>
        <w:tc>
          <w:tcPr>
            <w:tcW w:w="687" w:type="pct"/>
            <w:shd w:val="clear" w:color="auto" w:fill="auto"/>
            <w:vAlign w:val="center"/>
          </w:tcPr>
          <w:p w14:paraId="07F2C150"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4A2F8D7A" w14:textId="77777777" w:rsidTr="00AF369B">
        <w:trPr>
          <w:trHeight w:val="336"/>
          <w:jc w:val="center"/>
        </w:trPr>
        <w:tc>
          <w:tcPr>
            <w:tcW w:w="431" w:type="pct"/>
            <w:shd w:val="clear" w:color="auto" w:fill="auto"/>
            <w:vAlign w:val="center"/>
          </w:tcPr>
          <w:p w14:paraId="0FB24271" w14:textId="77777777" w:rsidR="00CF7396" w:rsidRPr="00CF7396" w:rsidRDefault="00CF7396" w:rsidP="00CF7396">
            <w:pPr>
              <w:jc w:val="center"/>
              <w:rPr>
                <w:color w:val="000000" w:themeColor="text1"/>
                <w:lang w:val="es-CR" w:eastAsia="es-CR"/>
              </w:rPr>
            </w:pPr>
          </w:p>
        </w:tc>
        <w:tc>
          <w:tcPr>
            <w:tcW w:w="2411" w:type="pct"/>
            <w:shd w:val="clear" w:color="auto" w:fill="auto"/>
          </w:tcPr>
          <w:p w14:paraId="44ABABD9" w14:textId="77777777" w:rsidR="00CF7396" w:rsidRPr="00CF7396" w:rsidRDefault="00CF7396" w:rsidP="00CF7396">
            <w:pPr>
              <w:rPr>
                <w:b/>
                <w:bCs/>
                <w:i/>
                <w:iCs/>
                <w:color w:val="000000" w:themeColor="text1"/>
                <w:lang w:val="es-CR"/>
              </w:rPr>
            </w:pPr>
            <w:r w:rsidRPr="00CF7396">
              <w:rPr>
                <w:b/>
                <w:bCs/>
                <w:i/>
                <w:iCs/>
                <w:color w:val="000000" w:themeColor="text1"/>
                <w:lang w:val="es-CR"/>
              </w:rPr>
              <w:t>Recomendación dirigida al Juzgado Contravencional de Matina:</w:t>
            </w:r>
          </w:p>
          <w:p w14:paraId="08EC8E45" w14:textId="77777777" w:rsidR="00CF7396" w:rsidRPr="00CF7396" w:rsidRDefault="00CF7396" w:rsidP="00CF7396">
            <w:pPr>
              <w:rPr>
                <w:b/>
                <w:bCs/>
                <w:i/>
                <w:iCs/>
                <w:color w:val="000000" w:themeColor="text1"/>
                <w:lang w:val="es-CR"/>
              </w:rPr>
            </w:pPr>
          </w:p>
          <w:p w14:paraId="761AB48C" w14:textId="77777777" w:rsidR="00CF7396" w:rsidRPr="00CF7396" w:rsidRDefault="00CF7396" w:rsidP="00CF7396">
            <w:pPr>
              <w:rPr>
                <w:b/>
                <w:bCs/>
                <w:i/>
                <w:iCs/>
                <w:color w:val="000000" w:themeColor="text1"/>
                <w:lang w:val="es-CR"/>
              </w:rPr>
            </w:pPr>
          </w:p>
          <w:p w14:paraId="798D43A2" w14:textId="77777777" w:rsidR="00CF7396" w:rsidRPr="00CF7396" w:rsidRDefault="00CF7396" w:rsidP="00CF7396">
            <w:pPr>
              <w:jc w:val="both"/>
              <w:rPr>
                <w:i/>
                <w:iCs/>
                <w:color w:val="000000" w:themeColor="text1"/>
                <w:lang w:val="es-CR"/>
              </w:rPr>
            </w:pPr>
            <w:r w:rsidRPr="00CF7396">
              <w:rPr>
                <w:b/>
                <w:bCs/>
                <w:i/>
                <w:iCs/>
                <w:color w:val="000000" w:themeColor="text1"/>
                <w:lang w:val="es-CR"/>
              </w:rPr>
              <w:t>4.</w:t>
            </w:r>
            <w:r w:rsidRPr="00CF7396">
              <w:rPr>
                <w:i/>
                <w:iCs/>
                <w:color w:val="000000" w:themeColor="text1"/>
                <w:lang w:val="es-CR"/>
              </w:rPr>
              <w:t xml:space="preserve"> Dará prioridad en el fallo de los expedientes: 20-000559-1543-VD, 21-000280-1543-VD y 21-000375-1534-VD, lo anterior por cuanto se identificó que se fallaron expedientes en Violencia Doméstica con fecha de pase a fallo posterior a los citados. En caso de presentarse alguna justificación para no realizar el fallo deberá de informar ante el Consejo de Administración con copia a la Profesional de la Dirección de Planificación del Modelo de Seguimiento y Sostenibilidad.</w:t>
            </w:r>
          </w:p>
          <w:p w14:paraId="3B68A9E5" w14:textId="77777777" w:rsidR="00CF7396" w:rsidRPr="00CF7396" w:rsidRDefault="00CF7396" w:rsidP="00CF7396">
            <w:pPr>
              <w:jc w:val="both"/>
              <w:rPr>
                <w:i/>
                <w:iCs/>
                <w:color w:val="000000" w:themeColor="text1"/>
                <w:lang w:val="es-CR"/>
              </w:rPr>
            </w:pPr>
          </w:p>
          <w:p w14:paraId="394A7C66" w14:textId="77777777" w:rsidR="00CF7396" w:rsidRPr="00CF7396" w:rsidRDefault="00CF7396" w:rsidP="00CF7396">
            <w:pPr>
              <w:ind w:left="720"/>
              <w:jc w:val="both"/>
              <w:rPr>
                <w:i/>
                <w:iCs/>
                <w:color w:val="000000" w:themeColor="text1"/>
                <w:lang w:val="es-CR"/>
              </w:rPr>
            </w:pPr>
          </w:p>
          <w:p w14:paraId="79933675" w14:textId="77777777" w:rsidR="00CF7396" w:rsidRPr="00CF7396" w:rsidRDefault="00CF7396" w:rsidP="00CF7396">
            <w:pPr>
              <w:jc w:val="both"/>
              <w:rPr>
                <w:i/>
                <w:iCs/>
                <w:color w:val="000000" w:themeColor="text1"/>
                <w:lang w:val="es-CR"/>
              </w:rPr>
            </w:pPr>
          </w:p>
          <w:p w14:paraId="1F9D2BCE" w14:textId="77777777" w:rsidR="00CF7396" w:rsidRPr="00CF7396" w:rsidRDefault="00CF7396" w:rsidP="00CF7396">
            <w:pPr>
              <w:jc w:val="both"/>
              <w:rPr>
                <w:rFonts w:eastAsia="Tahoma"/>
                <w:b/>
                <w:bCs/>
                <w:i/>
                <w:iCs/>
                <w:color w:val="000000" w:themeColor="text1"/>
                <w:lang w:val="es-CR"/>
              </w:rPr>
            </w:pPr>
          </w:p>
        </w:tc>
        <w:tc>
          <w:tcPr>
            <w:tcW w:w="427" w:type="pct"/>
            <w:shd w:val="clear" w:color="auto" w:fill="auto"/>
            <w:vAlign w:val="center"/>
          </w:tcPr>
          <w:p w14:paraId="6BA636B4"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628D926C" w14:textId="77777777" w:rsidR="00CF7396" w:rsidRPr="00CF7396" w:rsidRDefault="00CF7396" w:rsidP="00CF7396">
            <w:pPr>
              <w:jc w:val="both"/>
              <w:rPr>
                <w:i/>
                <w:iCs/>
                <w:color w:val="000000" w:themeColor="text1"/>
                <w:lang w:val="es-CR"/>
              </w:rPr>
            </w:pPr>
            <w:r w:rsidRPr="00CF7396">
              <w:rPr>
                <w:b/>
                <w:bCs/>
                <w:i/>
                <w:iCs/>
                <w:color w:val="000000" w:themeColor="text1"/>
                <w:lang w:val="es-CR"/>
              </w:rPr>
              <w:t xml:space="preserve">Se acuerda: </w:t>
            </w:r>
            <w:r w:rsidRPr="00CF7396">
              <w:rPr>
                <w:i/>
                <w:iCs/>
                <w:color w:val="000000" w:themeColor="text1"/>
                <w:lang w:val="es-CR"/>
              </w:rPr>
              <w:t xml:space="preserve">Se admite la recomendación y se comunicará a dicho Despacho, bajo el apercibimiento de </w:t>
            </w:r>
            <w:proofErr w:type="gramStart"/>
            <w:r w:rsidRPr="00CF7396">
              <w:rPr>
                <w:i/>
                <w:iCs/>
                <w:color w:val="000000" w:themeColor="text1"/>
                <w:lang w:val="es-CR"/>
              </w:rPr>
              <w:t>que</w:t>
            </w:r>
            <w:proofErr w:type="gramEnd"/>
            <w:r w:rsidRPr="00CF7396">
              <w:rPr>
                <w:i/>
                <w:iCs/>
                <w:color w:val="000000" w:themeColor="text1"/>
                <w:lang w:val="es-CR"/>
              </w:rPr>
              <w:t xml:space="preserve"> en caso de no cumplir con lo solicitado, se informará al Consejo Superior para lo que corresponda. Tome nota el Despacho que todos los meses la Dirección de Planificación brinda un informe a este Consejo sobre los Indicadores y tema en general del Despacho, para lo cual para la próxima reunión el Despacho debe haber tomado las medidas pertinentes. Acuerdo firme.</w:t>
            </w:r>
          </w:p>
          <w:p w14:paraId="6C371CF6" w14:textId="77777777" w:rsidR="00CF7396" w:rsidRPr="00CF7396" w:rsidRDefault="00CF7396" w:rsidP="00CF7396">
            <w:pPr>
              <w:ind w:left="360"/>
              <w:jc w:val="both"/>
              <w:rPr>
                <w:i/>
                <w:iCs/>
                <w:color w:val="000000" w:themeColor="text1"/>
                <w:lang w:val="es-CR"/>
              </w:rPr>
            </w:pPr>
          </w:p>
          <w:p w14:paraId="195F0082" w14:textId="77777777" w:rsidR="00CF7396" w:rsidRPr="00CF7396" w:rsidRDefault="00CF7396" w:rsidP="00CF7396">
            <w:pPr>
              <w:jc w:val="center"/>
              <w:rPr>
                <w:color w:val="000000" w:themeColor="text1"/>
                <w:lang w:val="es-CR" w:eastAsia="es-CR"/>
              </w:rPr>
            </w:pPr>
          </w:p>
        </w:tc>
        <w:tc>
          <w:tcPr>
            <w:tcW w:w="687" w:type="pct"/>
            <w:shd w:val="clear" w:color="auto" w:fill="auto"/>
            <w:vAlign w:val="center"/>
          </w:tcPr>
          <w:p w14:paraId="6CA32782"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16EB8E96" w14:textId="77777777" w:rsidTr="00AF369B">
        <w:trPr>
          <w:trHeight w:val="619"/>
          <w:jc w:val="center"/>
        </w:trPr>
        <w:tc>
          <w:tcPr>
            <w:tcW w:w="431" w:type="pct"/>
            <w:shd w:val="clear" w:color="auto" w:fill="auto"/>
            <w:vAlign w:val="center"/>
          </w:tcPr>
          <w:p w14:paraId="1D5366DA" w14:textId="77777777" w:rsidR="00CF7396" w:rsidRPr="00CF7396" w:rsidRDefault="00CF7396" w:rsidP="00CF7396">
            <w:pPr>
              <w:jc w:val="center"/>
              <w:rPr>
                <w:color w:val="000000" w:themeColor="text1"/>
                <w:lang w:val="es-CR" w:eastAsia="es-CR"/>
              </w:rPr>
            </w:pPr>
          </w:p>
        </w:tc>
        <w:tc>
          <w:tcPr>
            <w:tcW w:w="2411" w:type="pct"/>
            <w:shd w:val="clear" w:color="auto" w:fill="auto"/>
          </w:tcPr>
          <w:p w14:paraId="239D7165" w14:textId="77777777" w:rsidR="00CF7396" w:rsidRPr="00CF7396" w:rsidRDefault="00CF7396" w:rsidP="00CF7396">
            <w:pPr>
              <w:jc w:val="both"/>
              <w:rPr>
                <w:i/>
                <w:iCs/>
                <w:color w:val="000000" w:themeColor="text1"/>
                <w:lang w:val="es-CR"/>
              </w:rPr>
            </w:pPr>
            <w:r w:rsidRPr="00CF7396">
              <w:rPr>
                <w:b/>
                <w:bCs/>
                <w:i/>
                <w:iCs/>
                <w:color w:val="000000" w:themeColor="text1"/>
                <w:lang w:val="es-CR"/>
              </w:rPr>
              <w:t xml:space="preserve">Recomendación dirigida al Juzgado Contravencional de </w:t>
            </w:r>
            <w:proofErr w:type="spellStart"/>
            <w:r w:rsidRPr="00CF7396">
              <w:rPr>
                <w:b/>
                <w:bCs/>
                <w:i/>
                <w:iCs/>
                <w:color w:val="000000" w:themeColor="text1"/>
                <w:lang w:val="es-CR"/>
              </w:rPr>
              <w:t>Bribrí</w:t>
            </w:r>
            <w:proofErr w:type="spellEnd"/>
            <w:r w:rsidRPr="00CF7396">
              <w:rPr>
                <w:b/>
                <w:bCs/>
                <w:i/>
                <w:iCs/>
                <w:color w:val="000000" w:themeColor="text1"/>
                <w:lang w:val="es-CR"/>
              </w:rPr>
              <w:t>:</w:t>
            </w:r>
          </w:p>
          <w:p w14:paraId="6A13EC02" w14:textId="77777777" w:rsidR="00CF7396" w:rsidRPr="00CF7396" w:rsidRDefault="00CF7396" w:rsidP="00CF7396">
            <w:pPr>
              <w:jc w:val="both"/>
              <w:rPr>
                <w:i/>
                <w:iCs/>
                <w:color w:val="000000" w:themeColor="text1"/>
                <w:lang w:val="es-CR"/>
              </w:rPr>
            </w:pPr>
          </w:p>
          <w:p w14:paraId="1951EB09" w14:textId="77777777" w:rsidR="00CF7396" w:rsidRPr="00CF7396" w:rsidRDefault="00CF7396" w:rsidP="00CF7396">
            <w:pPr>
              <w:jc w:val="both"/>
              <w:rPr>
                <w:i/>
                <w:iCs/>
                <w:color w:val="000000" w:themeColor="text1"/>
                <w:lang w:val="es-CR"/>
              </w:rPr>
            </w:pPr>
            <w:r w:rsidRPr="00CF7396">
              <w:rPr>
                <w:b/>
                <w:bCs/>
                <w:i/>
                <w:iCs/>
                <w:color w:val="000000" w:themeColor="text1"/>
                <w:lang w:val="es-CR"/>
              </w:rPr>
              <w:t xml:space="preserve">5. </w:t>
            </w:r>
            <w:r w:rsidRPr="00CF7396">
              <w:rPr>
                <w:i/>
                <w:iCs/>
                <w:color w:val="000000" w:themeColor="text1"/>
                <w:lang w:val="es-CR"/>
              </w:rPr>
              <w:t>Dará prioridad en el fallo de los expedientes: 20-000205-0478-PA, 21-00065-0478-PA, 15-700053,0478-PA, 19-000236-0478-PA y 14-700010-0478-PA, y posteriormente continuará fallando en su respectivo orden de pase a fallo, en caso de presentarse alguna justificación para no realizar el fallo deberá de informar ante el Consejo de Administración. En caso de presentarse alguna justificación para no realizar el fallo deberá de informar ante el Consejo de Administración con copia a la Profesional de la Dirección de Planificación del Modelo de Seguimiento y Sostenibilidad.</w:t>
            </w:r>
          </w:p>
          <w:p w14:paraId="76B277BB" w14:textId="77777777" w:rsidR="00CF7396" w:rsidRPr="00CF7396" w:rsidRDefault="00CF7396" w:rsidP="00CF7396">
            <w:pPr>
              <w:jc w:val="both"/>
              <w:rPr>
                <w:i/>
                <w:iCs/>
                <w:color w:val="000000" w:themeColor="text1"/>
                <w:lang w:val="es-CR"/>
              </w:rPr>
            </w:pPr>
          </w:p>
          <w:p w14:paraId="37A83B5E" w14:textId="77777777" w:rsidR="00CF7396" w:rsidRPr="00CF7396" w:rsidRDefault="00CF7396" w:rsidP="00CF7396">
            <w:pPr>
              <w:ind w:left="720"/>
              <w:rPr>
                <w:i/>
                <w:iCs/>
                <w:color w:val="000000" w:themeColor="text1"/>
                <w:lang w:val="es-CR"/>
              </w:rPr>
            </w:pPr>
          </w:p>
          <w:p w14:paraId="4BFA577F" w14:textId="77777777" w:rsidR="00CF7396" w:rsidRPr="00CF7396" w:rsidRDefault="00CF7396" w:rsidP="00CF7396">
            <w:pPr>
              <w:jc w:val="both"/>
              <w:rPr>
                <w:rFonts w:eastAsia="Tahoma"/>
                <w:b/>
                <w:bCs/>
                <w:i/>
                <w:iCs/>
                <w:color w:val="000000" w:themeColor="text1"/>
                <w:lang w:val="es-CR"/>
              </w:rPr>
            </w:pPr>
          </w:p>
        </w:tc>
        <w:tc>
          <w:tcPr>
            <w:tcW w:w="427" w:type="pct"/>
            <w:shd w:val="clear" w:color="auto" w:fill="auto"/>
            <w:vAlign w:val="center"/>
          </w:tcPr>
          <w:p w14:paraId="5DFB6E83"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11CB8D75" w14:textId="77777777" w:rsidR="00CF7396" w:rsidRPr="00CF7396" w:rsidRDefault="00CF7396" w:rsidP="00CF7396">
            <w:pPr>
              <w:jc w:val="both"/>
              <w:rPr>
                <w:i/>
                <w:iCs/>
                <w:color w:val="000000" w:themeColor="text1"/>
                <w:lang w:val="es-CR"/>
              </w:rPr>
            </w:pPr>
            <w:r w:rsidRPr="00CF7396">
              <w:rPr>
                <w:b/>
                <w:bCs/>
                <w:i/>
                <w:iCs/>
                <w:color w:val="000000" w:themeColor="text1"/>
                <w:lang w:val="es-CR"/>
              </w:rPr>
              <w:t xml:space="preserve">Se acuerda: </w:t>
            </w:r>
            <w:r w:rsidRPr="00CF7396">
              <w:rPr>
                <w:i/>
                <w:iCs/>
                <w:color w:val="000000" w:themeColor="text1"/>
                <w:lang w:val="es-CR"/>
              </w:rPr>
              <w:t xml:space="preserve">Se admite la recomendación y se comunicará a dicho Despacho, bajo el apercibimiento de </w:t>
            </w:r>
            <w:proofErr w:type="gramStart"/>
            <w:r w:rsidRPr="00CF7396">
              <w:rPr>
                <w:i/>
                <w:iCs/>
                <w:color w:val="000000" w:themeColor="text1"/>
                <w:lang w:val="es-CR"/>
              </w:rPr>
              <w:t>que</w:t>
            </w:r>
            <w:proofErr w:type="gramEnd"/>
            <w:r w:rsidRPr="00CF7396">
              <w:rPr>
                <w:i/>
                <w:iCs/>
                <w:color w:val="000000" w:themeColor="text1"/>
                <w:lang w:val="es-CR"/>
              </w:rPr>
              <w:t xml:space="preserve"> en caso de no cumplir con lo solicitado, se informará al Consejo Superior para lo que corresponda. Tome nota el Despacho que todos los meses la Dirección de Planificación brinda un informe a este Consejo sobre los Indicadores y tema en general del Despacho, para lo cual para la próxima reunión el Despacho debe haber tomado las medidas pertinentes. Acuerdo firme.</w:t>
            </w:r>
          </w:p>
          <w:p w14:paraId="48FE6A44" w14:textId="77777777" w:rsidR="00CF7396" w:rsidRPr="00CF7396" w:rsidRDefault="00CF7396" w:rsidP="00CF7396">
            <w:pPr>
              <w:jc w:val="center"/>
              <w:rPr>
                <w:color w:val="000000" w:themeColor="text1"/>
                <w:lang w:val="es-CR" w:eastAsia="es-CR"/>
              </w:rPr>
            </w:pPr>
          </w:p>
        </w:tc>
        <w:tc>
          <w:tcPr>
            <w:tcW w:w="687" w:type="pct"/>
            <w:shd w:val="clear" w:color="auto" w:fill="auto"/>
            <w:vAlign w:val="center"/>
          </w:tcPr>
          <w:p w14:paraId="633F8559"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r w:rsidR="00CF7396" w:rsidRPr="00CF7396" w14:paraId="76934B7D" w14:textId="77777777" w:rsidTr="00AF369B">
        <w:trPr>
          <w:trHeight w:val="70"/>
          <w:jc w:val="center"/>
        </w:trPr>
        <w:tc>
          <w:tcPr>
            <w:tcW w:w="431" w:type="pct"/>
            <w:shd w:val="clear" w:color="auto" w:fill="auto"/>
            <w:vAlign w:val="center"/>
          </w:tcPr>
          <w:p w14:paraId="65C9CF81" w14:textId="77777777" w:rsidR="00CF7396" w:rsidRPr="00CF7396" w:rsidRDefault="00CF7396" w:rsidP="00CF7396">
            <w:pPr>
              <w:jc w:val="center"/>
              <w:rPr>
                <w:color w:val="000000" w:themeColor="text1"/>
                <w:lang w:val="es-CR" w:eastAsia="es-CR"/>
              </w:rPr>
            </w:pPr>
          </w:p>
        </w:tc>
        <w:tc>
          <w:tcPr>
            <w:tcW w:w="2411" w:type="pct"/>
            <w:shd w:val="clear" w:color="auto" w:fill="auto"/>
          </w:tcPr>
          <w:p w14:paraId="0A2A7EDA" w14:textId="77777777" w:rsidR="00CF7396" w:rsidRPr="00CF7396" w:rsidRDefault="00CF7396" w:rsidP="00CF7396">
            <w:pPr>
              <w:jc w:val="both"/>
              <w:rPr>
                <w:i/>
                <w:iCs/>
                <w:color w:val="000000" w:themeColor="text1"/>
                <w:lang w:val="es-CR"/>
              </w:rPr>
            </w:pPr>
            <w:r w:rsidRPr="00CF7396">
              <w:rPr>
                <w:b/>
                <w:bCs/>
                <w:i/>
                <w:iCs/>
                <w:color w:val="000000" w:themeColor="text1"/>
                <w:lang w:val="es-CR"/>
              </w:rPr>
              <w:t xml:space="preserve">Recomendaciones para el Juzgado Contravencional de </w:t>
            </w:r>
            <w:proofErr w:type="spellStart"/>
            <w:r w:rsidRPr="00CF7396">
              <w:rPr>
                <w:b/>
                <w:bCs/>
                <w:i/>
                <w:iCs/>
                <w:color w:val="000000" w:themeColor="text1"/>
                <w:lang w:val="es-CR"/>
              </w:rPr>
              <w:t>Bribrí</w:t>
            </w:r>
            <w:proofErr w:type="spellEnd"/>
            <w:r w:rsidRPr="00CF7396">
              <w:rPr>
                <w:b/>
                <w:bCs/>
                <w:i/>
                <w:iCs/>
                <w:color w:val="000000" w:themeColor="text1"/>
                <w:lang w:val="es-CR"/>
              </w:rPr>
              <w:t>, Juzgado Contravencional de Matina y Juzgado de Familia del Primer Circuito Judicial de la Zona Atlántica:</w:t>
            </w:r>
          </w:p>
          <w:p w14:paraId="1B5135C2" w14:textId="77777777" w:rsidR="00CF7396" w:rsidRPr="00CF7396" w:rsidRDefault="00CF7396" w:rsidP="00CF7396">
            <w:pPr>
              <w:jc w:val="both"/>
              <w:rPr>
                <w:i/>
                <w:iCs/>
                <w:color w:val="000000" w:themeColor="text1"/>
                <w:lang w:val="es-CR"/>
              </w:rPr>
            </w:pPr>
          </w:p>
          <w:p w14:paraId="15880EAC" w14:textId="77777777" w:rsidR="00CF7396" w:rsidRPr="00CF7396" w:rsidRDefault="00CF7396" w:rsidP="00CF7396">
            <w:pPr>
              <w:jc w:val="both"/>
              <w:rPr>
                <w:i/>
                <w:iCs/>
                <w:color w:val="000000" w:themeColor="text1"/>
                <w:lang w:val="es-CR"/>
              </w:rPr>
            </w:pPr>
            <w:r w:rsidRPr="00CF7396">
              <w:rPr>
                <w:b/>
                <w:bCs/>
                <w:i/>
                <w:iCs/>
                <w:color w:val="000000" w:themeColor="text1"/>
                <w:lang w:val="es-CR"/>
              </w:rPr>
              <w:t xml:space="preserve">6. </w:t>
            </w:r>
            <w:r w:rsidRPr="00CF7396">
              <w:rPr>
                <w:i/>
                <w:iCs/>
                <w:color w:val="000000" w:themeColor="text1"/>
                <w:lang w:val="es-CR"/>
              </w:rPr>
              <w:t>Las personas juzgadoras darán cumplimiento a las directrices emitidas por la Secretaría General de la Corte, en circular 214-2021, en dónde reitera a todas las oficinas que tramitan materia de Pensiones Alimentarias y Familia, fallar los asuntos por orden de antigüedad según fecha de pase a fallo. Así como la circular 170-2021 que indica la obligación de cumplir con la corrección de inconsistencias de manera permanente, cumplimiento de circulares y actualización de los controles implementados bajo apercibimiento de aplicar el régimen disciplinario por su incumplimiento. Por lo anterior, y en vista que por segunda ocasión se detecta el incumplimiento de las directrices emitidas por los órganos superiores, hacer un llamado de atención a las personas juzgadoras para que de forma inmediata procedan a fallar por orden de antigüedad, por lo que de persistir la situación este Consejo de Administración tomará las medidas pertinentes.</w:t>
            </w:r>
          </w:p>
          <w:p w14:paraId="1FA7A2FF" w14:textId="77777777" w:rsidR="00CF7396" w:rsidRPr="00CF7396" w:rsidRDefault="00CF7396" w:rsidP="00CF7396">
            <w:pPr>
              <w:jc w:val="both"/>
              <w:rPr>
                <w:i/>
                <w:iCs/>
                <w:color w:val="000000" w:themeColor="text1"/>
                <w:lang w:val="es-CR"/>
              </w:rPr>
            </w:pPr>
          </w:p>
          <w:p w14:paraId="7D24C130" w14:textId="77777777" w:rsidR="00CF7396" w:rsidRPr="00CF7396" w:rsidRDefault="00CF7396" w:rsidP="00CF7396">
            <w:pPr>
              <w:jc w:val="both"/>
              <w:rPr>
                <w:i/>
                <w:iCs/>
                <w:color w:val="000000" w:themeColor="text1"/>
                <w:lang w:val="es-CR"/>
              </w:rPr>
            </w:pPr>
          </w:p>
          <w:p w14:paraId="06144341" w14:textId="77777777" w:rsidR="00CF7396" w:rsidRPr="00CF7396" w:rsidRDefault="00CF7396" w:rsidP="00CF7396">
            <w:pPr>
              <w:jc w:val="both"/>
              <w:rPr>
                <w:i/>
                <w:iCs/>
                <w:color w:val="000000" w:themeColor="text1"/>
                <w:lang w:val="es-CR"/>
              </w:rPr>
            </w:pPr>
            <w:r w:rsidRPr="00CF7396">
              <w:rPr>
                <w:b/>
                <w:bCs/>
                <w:i/>
                <w:iCs/>
                <w:color w:val="000000" w:themeColor="text1"/>
                <w:lang w:val="es-CR"/>
              </w:rPr>
              <w:t xml:space="preserve">7. </w:t>
            </w:r>
            <w:r w:rsidRPr="00CF7396">
              <w:rPr>
                <w:i/>
                <w:iCs/>
                <w:color w:val="000000" w:themeColor="text1"/>
                <w:lang w:val="es-CR"/>
              </w:rPr>
              <w:t>Solicitar a la Profesional de la Dirección de Planificación del Modelo de Seguimiento y Sostenibilidad, informar en la próxima sesión del Consejo de Administración si el personal juzgador acató la instrucción girada.</w:t>
            </w:r>
          </w:p>
          <w:p w14:paraId="5264CEFB" w14:textId="77777777" w:rsidR="00CF7396" w:rsidRPr="00CF7396" w:rsidRDefault="00CF7396" w:rsidP="00CF7396">
            <w:pPr>
              <w:ind w:left="360"/>
              <w:jc w:val="both"/>
              <w:rPr>
                <w:i/>
                <w:iCs/>
                <w:color w:val="000000" w:themeColor="text1"/>
                <w:lang w:val="es-CR"/>
              </w:rPr>
            </w:pPr>
          </w:p>
          <w:p w14:paraId="00656022" w14:textId="77777777" w:rsidR="00CF7396" w:rsidRPr="00CF7396" w:rsidRDefault="00CF7396" w:rsidP="00CF7396">
            <w:pPr>
              <w:jc w:val="both"/>
              <w:rPr>
                <w:i/>
                <w:iCs/>
                <w:color w:val="000000" w:themeColor="text1"/>
                <w:lang w:val="es-CR"/>
              </w:rPr>
            </w:pPr>
            <w:r w:rsidRPr="00CF7396">
              <w:rPr>
                <w:b/>
                <w:bCs/>
                <w:i/>
                <w:iCs/>
                <w:color w:val="000000" w:themeColor="text1"/>
                <w:lang w:val="es-CR"/>
              </w:rPr>
              <w:t>8.</w:t>
            </w:r>
            <w:r w:rsidRPr="00CF7396">
              <w:rPr>
                <w:i/>
                <w:iCs/>
                <w:color w:val="000000" w:themeColor="text1"/>
                <w:lang w:val="es-CR"/>
              </w:rPr>
              <w:t xml:space="preserve"> Se recomienda al Consejo de Administración, solicitarle a la Administración Regional, comunicar el presente acuerdo y recomendación a la mayor brevedad posible antes del cierre colectivo del presente año.</w:t>
            </w:r>
          </w:p>
          <w:p w14:paraId="4C25AFDF" w14:textId="77777777" w:rsidR="00CF7396" w:rsidRPr="00CF7396" w:rsidRDefault="00CF7396" w:rsidP="00CF7396">
            <w:pPr>
              <w:jc w:val="both"/>
              <w:rPr>
                <w:i/>
                <w:iCs/>
                <w:color w:val="000000" w:themeColor="text1"/>
                <w:lang w:val="es-CR"/>
              </w:rPr>
            </w:pPr>
          </w:p>
          <w:p w14:paraId="5CD8EEB4" w14:textId="77777777" w:rsidR="00CF7396" w:rsidRPr="00CF7396" w:rsidRDefault="00CF7396" w:rsidP="00CF7396">
            <w:pPr>
              <w:jc w:val="both"/>
              <w:rPr>
                <w:i/>
                <w:iCs/>
                <w:color w:val="000000" w:themeColor="text1"/>
                <w:lang w:val="es-CR"/>
              </w:rPr>
            </w:pPr>
          </w:p>
          <w:p w14:paraId="094A5ED0" w14:textId="77777777" w:rsidR="00CF7396" w:rsidRPr="00CF7396" w:rsidRDefault="00CF7396" w:rsidP="00CF7396">
            <w:pPr>
              <w:jc w:val="both"/>
              <w:rPr>
                <w:i/>
                <w:iCs/>
                <w:color w:val="000000" w:themeColor="text1"/>
                <w:lang w:val="es-CR"/>
              </w:rPr>
            </w:pPr>
          </w:p>
          <w:p w14:paraId="052408DD" w14:textId="77777777" w:rsidR="00CF7396" w:rsidRPr="00CF7396" w:rsidRDefault="00CF7396" w:rsidP="00CF7396">
            <w:pPr>
              <w:jc w:val="both"/>
              <w:rPr>
                <w:rFonts w:eastAsia="Tahoma"/>
                <w:b/>
                <w:bCs/>
                <w:i/>
                <w:iCs/>
                <w:color w:val="000000" w:themeColor="text1"/>
                <w:lang w:val="es-CR"/>
              </w:rPr>
            </w:pPr>
          </w:p>
        </w:tc>
        <w:tc>
          <w:tcPr>
            <w:tcW w:w="427" w:type="pct"/>
            <w:shd w:val="clear" w:color="auto" w:fill="auto"/>
            <w:vAlign w:val="center"/>
          </w:tcPr>
          <w:p w14:paraId="5274BBB5"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6351FC26" w14:textId="77777777" w:rsidR="00CF7396" w:rsidRPr="00CF7396" w:rsidRDefault="00CF7396" w:rsidP="00CF7396">
            <w:pPr>
              <w:jc w:val="both"/>
              <w:rPr>
                <w:i/>
                <w:iCs/>
                <w:color w:val="000000" w:themeColor="text1"/>
                <w:lang w:val="es-CR"/>
              </w:rPr>
            </w:pPr>
            <w:r w:rsidRPr="00CF7396">
              <w:rPr>
                <w:b/>
                <w:bCs/>
                <w:i/>
                <w:iCs/>
                <w:color w:val="000000" w:themeColor="text1"/>
                <w:lang w:val="es-CR"/>
              </w:rPr>
              <w:t>Se acuerda:</w:t>
            </w:r>
            <w:r w:rsidRPr="00CF7396">
              <w:rPr>
                <w:i/>
                <w:iCs/>
                <w:color w:val="000000" w:themeColor="text1"/>
                <w:lang w:val="es-CR"/>
              </w:rPr>
              <w:t xml:space="preserve"> Se insta a las personas Juzgadoras </w:t>
            </w:r>
            <w:proofErr w:type="gramStart"/>
            <w:r w:rsidRPr="00CF7396">
              <w:rPr>
                <w:i/>
                <w:iCs/>
                <w:color w:val="000000" w:themeColor="text1"/>
                <w:lang w:val="es-CR"/>
              </w:rPr>
              <w:t>del  Juzgado</w:t>
            </w:r>
            <w:proofErr w:type="gramEnd"/>
            <w:r w:rsidRPr="00CF7396">
              <w:rPr>
                <w:i/>
                <w:iCs/>
                <w:color w:val="000000" w:themeColor="text1"/>
                <w:lang w:val="es-CR"/>
              </w:rPr>
              <w:t xml:space="preserve"> Contravencional de </w:t>
            </w:r>
            <w:proofErr w:type="spellStart"/>
            <w:r w:rsidRPr="00CF7396">
              <w:rPr>
                <w:i/>
                <w:iCs/>
                <w:color w:val="000000" w:themeColor="text1"/>
                <w:lang w:val="es-CR"/>
              </w:rPr>
              <w:t>Bribrí</w:t>
            </w:r>
            <w:proofErr w:type="spellEnd"/>
            <w:r w:rsidRPr="00CF7396">
              <w:rPr>
                <w:i/>
                <w:iCs/>
                <w:color w:val="000000" w:themeColor="text1"/>
                <w:lang w:val="es-CR"/>
              </w:rPr>
              <w:t>, Juzgado Contravencional de Matina y Juzgado de Familia del Primer Circuito Judicial de la Zona Atlántica que deben cumplir con las directrices emitidas por la Secretaría General de la Corte, en circular 214-2021, en dónde reitera a todas las oficinas que tramitan materia de Pensiones Alimentarias y Familia, fallar los asuntos por orden de antigüedad según fecha de pase a fallo. Así como la circular 170-2021 que indica la obligación de cumplir con la corrección de inconsistencias de manera permanente, cumplimiento de circulares y actualización de los controles implementados bajo apercibimiento de comunicar al Consejo Superior de seguirse presentando esta situación. Acuerdo firme.</w:t>
            </w:r>
          </w:p>
          <w:p w14:paraId="5B431F23" w14:textId="77777777" w:rsidR="00CF7396" w:rsidRPr="00CF7396" w:rsidRDefault="00CF7396" w:rsidP="00CF7396">
            <w:pPr>
              <w:jc w:val="both"/>
              <w:rPr>
                <w:color w:val="000000" w:themeColor="text1"/>
                <w:lang w:val="es-CR" w:eastAsia="es-CR"/>
              </w:rPr>
            </w:pPr>
          </w:p>
        </w:tc>
        <w:tc>
          <w:tcPr>
            <w:tcW w:w="687" w:type="pct"/>
            <w:shd w:val="clear" w:color="auto" w:fill="auto"/>
            <w:vAlign w:val="center"/>
          </w:tcPr>
          <w:p w14:paraId="390E59AE"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 parcialmente, en el caso del Juzgado de Familia se detectó que no cumplía con lo anterior, tal como se amplía en el punto 4.2.2, específicamente en el Juzgado de Familia de Limón.</w:t>
            </w:r>
          </w:p>
        </w:tc>
      </w:tr>
      <w:tr w:rsidR="00CF7396" w:rsidRPr="00CF7396" w14:paraId="477E63DD" w14:textId="77777777" w:rsidTr="00AF369B">
        <w:trPr>
          <w:trHeight w:val="2520"/>
          <w:jc w:val="center"/>
        </w:trPr>
        <w:tc>
          <w:tcPr>
            <w:tcW w:w="431" w:type="pct"/>
            <w:shd w:val="clear" w:color="auto" w:fill="auto"/>
            <w:vAlign w:val="center"/>
          </w:tcPr>
          <w:p w14:paraId="0BC3EE1A" w14:textId="77777777" w:rsidR="00CF7396" w:rsidRPr="00CF7396" w:rsidRDefault="00CF7396" w:rsidP="00CF7396">
            <w:pPr>
              <w:jc w:val="center"/>
              <w:rPr>
                <w:color w:val="000000" w:themeColor="text1"/>
                <w:lang w:val="es-CR" w:eastAsia="es-CR"/>
              </w:rPr>
            </w:pPr>
          </w:p>
        </w:tc>
        <w:tc>
          <w:tcPr>
            <w:tcW w:w="2411" w:type="pct"/>
            <w:shd w:val="clear" w:color="auto" w:fill="auto"/>
          </w:tcPr>
          <w:p w14:paraId="7692204D" w14:textId="77777777" w:rsidR="00CF7396" w:rsidRPr="00CF7396" w:rsidRDefault="00CF7396" w:rsidP="00CF7396">
            <w:pPr>
              <w:jc w:val="both"/>
              <w:rPr>
                <w:b/>
                <w:bCs/>
                <w:i/>
                <w:iCs/>
                <w:color w:val="000000" w:themeColor="text1"/>
                <w:lang w:val="es-CR"/>
              </w:rPr>
            </w:pPr>
            <w:r w:rsidRPr="00CF7396">
              <w:rPr>
                <w:b/>
                <w:bCs/>
                <w:i/>
                <w:iCs/>
                <w:color w:val="000000" w:themeColor="text1"/>
                <w:lang w:val="es-CR"/>
              </w:rPr>
              <w:t>Consejo de Administración del Primer Circuito Judicial de la Zona Atlántica:</w:t>
            </w:r>
          </w:p>
          <w:p w14:paraId="5EEE2767" w14:textId="77777777" w:rsidR="00CF7396" w:rsidRPr="00CF7396" w:rsidRDefault="00CF7396" w:rsidP="00CF7396">
            <w:pPr>
              <w:jc w:val="both"/>
              <w:rPr>
                <w:i/>
                <w:iCs/>
                <w:color w:val="000000" w:themeColor="text1"/>
                <w:lang w:val="es-CR"/>
              </w:rPr>
            </w:pPr>
          </w:p>
          <w:p w14:paraId="716A76F4" w14:textId="77777777" w:rsidR="00CF7396" w:rsidRPr="00CF7396" w:rsidRDefault="00CF7396" w:rsidP="00CF7396">
            <w:pPr>
              <w:jc w:val="both"/>
              <w:rPr>
                <w:i/>
                <w:iCs/>
                <w:color w:val="000000" w:themeColor="text1"/>
                <w:lang w:val="es-CR"/>
              </w:rPr>
            </w:pPr>
            <w:r w:rsidRPr="00CF7396">
              <w:rPr>
                <w:b/>
                <w:bCs/>
                <w:i/>
                <w:iCs/>
                <w:color w:val="000000" w:themeColor="text1"/>
                <w:lang w:val="es-CR"/>
              </w:rPr>
              <w:t>9.</w:t>
            </w:r>
            <w:r w:rsidRPr="00CF7396">
              <w:rPr>
                <w:i/>
                <w:iCs/>
                <w:color w:val="000000" w:themeColor="text1"/>
                <w:lang w:val="es-CR"/>
              </w:rPr>
              <w:t xml:space="preserve">  Deberá analizar las recomendaciones anteriormente indicadas, así como lo informado por el Modelo de Seguimiento y Sostenibilidad, para sus respectivos acuerdos.</w:t>
            </w:r>
          </w:p>
          <w:p w14:paraId="1C6254FF" w14:textId="77777777" w:rsidR="00CF7396" w:rsidRPr="00CF7396" w:rsidRDefault="00CF7396" w:rsidP="00CF7396">
            <w:pPr>
              <w:jc w:val="both"/>
              <w:rPr>
                <w:i/>
                <w:iCs/>
                <w:color w:val="000000" w:themeColor="text1"/>
                <w:lang w:val="es-CR"/>
              </w:rPr>
            </w:pPr>
          </w:p>
          <w:p w14:paraId="036372E9" w14:textId="77777777" w:rsidR="00CF7396" w:rsidRPr="00CF7396" w:rsidRDefault="00CF7396" w:rsidP="00CF7396">
            <w:pPr>
              <w:jc w:val="both"/>
              <w:rPr>
                <w:i/>
                <w:iCs/>
                <w:color w:val="000000" w:themeColor="text1"/>
                <w:lang w:val="es-CR"/>
              </w:rPr>
            </w:pPr>
          </w:p>
          <w:p w14:paraId="193C17EF" w14:textId="77777777" w:rsidR="00CF7396" w:rsidRPr="00CF7396" w:rsidRDefault="00CF7396" w:rsidP="00CF7396">
            <w:pPr>
              <w:jc w:val="both"/>
              <w:rPr>
                <w:i/>
                <w:iCs/>
                <w:color w:val="000000" w:themeColor="text1"/>
                <w:lang w:val="es-CR"/>
              </w:rPr>
            </w:pPr>
            <w:r w:rsidRPr="00CF7396">
              <w:rPr>
                <w:b/>
                <w:bCs/>
                <w:i/>
                <w:iCs/>
                <w:color w:val="000000" w:themeColor="text1"/>
                <w:lang w:val="es-CR"/>
              </w:rPr>
              <w:t>10.</w:t>
            </w:r>
            <w:r w:rsidRPr="00CF7396">
              <w:rPr>
                <w:i/>
                <w:iCs/>
                <w:color w:val="000000" w:themeColor="text1"/>
                <w:lang w:val="es-CR"/>
              </w:rPr>
              <w:t xml:space="preserve"> Recordar incluir al Centro de Apoyo, Coordinación y Mejoramiento de la Función Jurisdiccional en la comunicación del acuerdo tomado sobre las recomendaciones emitas en la presente presentación, lo anterior según acuerdo tomado por el Consejo Superior en sesión 103-2021 del 1 de diciembre del 2021, artículo XLVI (informe sobre el Modelo de Seguimiento y Sostenibilidad del 2020 del Primer Circuito Judicial de la Zona Atlántica.</w:t>
            </w:r>
          </w:p>
          <w:p w14:paraId="316EE3A6" w14:textId="77777777" w:rsidR="00CF7396" w:rsidRPr="00CF7396" w:rsidRDefault="00CF7396" w:rsidP="00CF7396">
            <w:pPr>
              <w:jc w:val="both"/>
              <w:rPr>
                <w:b/>
                <w:bCs/>
                <w:i/>
                <w:iCs/>
                <w:color w:val="000000" w:themeColor="text1"/>
                <w:lang w:val="es-CR"/>
              </w:rPr>
            </w:pPr>
          </w:p>
        </w:tc>
        <w:tc>
          <w:tcPr>
            <w:tcW w:w="427" w:type="pct"/>
            <w:shd w:val="clear" w:color="auto" w:fill="auto"/>
            <w:vAlign w:val="center"/>
          </w:tcPr>
          <w:p w14:paraId="06201726" w14:textId="77777777" w:rsidR="00CF7396" w:rsidRPr="00CF7396" w:rsidRDefault="00CF7396" w:rsidP="00CF7396">
            <w:pPr>
              <w:jc w:val="center"/>
              <w:rPr>
                <w:color w:val="000000" w:themeColor="text1"/>
                <w:lang w:val="es-CR" w:eastAsia="es-CR"/>
              </w:rPr>
            </w:pPr>
          </w:p>
        </w:tc>
        <w:tc>
          <w:tcPr>
            <w:tcW w:w="1044" w:type="pct"/>
            <w:shd w:val="clear" w:color="auto" w:fill="auto"/>
            <w:vAlign w:val="center"/>
          </w:tcPr>
          <w:p w14:paraId="1824B6FE" w14:textId="77777777" w:rsidR="00CF7396" w:rsidRPr="00CF7396" w:rsidRDefault="00CF7396" w:rsidP="00CF7396">
            <w:pPr>
              <w:jc w:val="both"/>
              <w:rPr>
                <w:i/>
                <w:iCs/>
                <w:color w:val="000000" w:themeColor="text1"/>
                <w:lang w:val="es-CR"/>
              </w:rPr>
            </w:pPr>
            <w:r w:rsidRPr="00CF7396">
              <w:rPr>
                <w:rFonts w:eastAsia="SimSun;宋体"/>
                <w:b/>
                <w:i/>
                <w:iCs/>
                <w:color w:val="000000" w:themeColor="text1"/>
                <w:lang w:val="es-CR"/>
              </w:rPr>
              <w:t xml:space="preserve">Se acuerda: </w:t>
            </w:r>
            <w:r w:rsidRPr="00CF7396">
              <w:rPr>
                <w:rFonts w:eastAsia="SimSun;宋体"/>
                <w:i/>
                <w:iCs/>
                <w:color w:val="000000" w:themeColor="text1"/>
                <w:lang w:val="es-CR"/>
              </w:rPr>
              <w:t>Acoger las recomendaciones de los puntos 7, 8, 9 y 10. Acuerdo firme.</w:t>
            </w:r>
            <w:r w:rsidRPr="00CF7396">
              <w:rPr>
                <w:rFonts w:eastAsia="SimSun;宋体"/>
                <w:b/>
                <w:i/>
                <w:iCs/>
                <w:strike/>
                <w:color w:val="000000" w:themeColor="text1"/>
                <w:lang w:val="es-CR"/>
              </w:rPr>
              <w:t xml:space="preserve"> </w:t>
            </w:r>
          </w:p>
          <w:p w14:paraId="538CEBDD" w14:textId="77777777" w:rsidR="00CF7396" w:rsidRPr="00CF7396" w:rsidRDefault="00CF7396" w:rsidP="00CF7396">
            <w:pPr>
              <w:jc w:val="both"/>
              <w:rPr>
                <w:b/>
                <w:bCs/>
                <w:i/>
                <w:iCs/>
                <w:color w:val="000000" w:themeColor="text1"/>
                <w:lang w:val="es-CR"/>
              </w:rPr>
            </w:pPr>
          </w:p>
        </w:tc>
        <w:tc>
          <w:tcPr>
            <w:tcW w:w="687" w:type="pct"/>
            <w:shd w:val="clear" w:color="auto" w:fill="auto"/>
            <w:vAlign w:val="center"/>
          </w:tcPr>
          <w:p w14:paraId="604162F6" w14:textId="77777777" w:rsidR="00CF7396" w:rsidRPr="00CF7396" w:rsidRDefault="00CF7396" w:rsidP="00CF7396">
            <w:pPr>
              <w:jc w:val="center"/>
              <w:rPr>
                <w:color w:val="000000" w:themeColor="text1"/>
                <w:lang w:val="es-CR" w:eastAsia="es-CR"/>
              </w:rPr>
            </w:pPr>
            <w:r w:rsidRPr="00CF7396">
              <w:rPr>
                <w:color w:val="000000" w:themeColor="text1"/>
                <w:lang w:val="es-CR" w:eastAsia="es-CR"/>
              </w:rPr>
              <w:t>Implantado</w:t>
            </w:r>
          </w:p>
        </w:tc>
      </w:tr>
    </w:tbl>
    <w:p w14:paraId="56C9EFB9" w14:textId="77777777" w:rsidR="00CF7396" w:rsidRPr="00CF7396" w:rsidRDefault="00CF7396" w:rsidP="00CF7396">
      <w:pPr>
        <w:tabs>
          <w:tab w:val="left" w:pos="735"/>
          <w:tab w:val="center" w:pos="6503"/>
        </w:tabs>
        <w:rPr>
          <w:color w:val="000000" w:themeColor="text1"/>
          <w:lang w:val="es-CR" w:eastAsia="es-CR"/>
        </w:rPr>
      </w:pPr>
      <w:r w:rsidRPr="00CF7396">
        <w:rPr>
          <w:color w:val="000000" w:themeColor="text1"/>
          <w:lang w:val="es-CR" w:eastAsia="es-CR"/>
        </w:rPr>
        <w:tab/>
      </w:r>
      <w:r w:rsidRPr="00CF7396">
        <w:rPr>
          <w:b/>
          <w:bCs/>
          <w:color w:val="000000" w:themeColor="text1"/>
          <w:lang w:val="es-CR" w:eastAsia="es-CR"/>
        </w:rPr>
        <w:t>Fuente:</w:t>
      </w:r>
      <w:r w:rsidRPr="00CF7396">
        <w:rPr>
          <w:color w:val="000000" w:themeColor="text1"/>
          <w:lang w:val="es-CR" w:eastAsia="es-CR"/>
        </w:rPr>
        <w:t xml:space="preserve"> Elaboración propia del Subproceso de Evaluación.</w:t>
      </w:r>
      <w:r w:rsidRPr="00CF7396">
        <w:rPr>
          <w:color w:val="000000" w:themeColor="text1"/>
          <w:lang w:val="es-CR" w:eastAsia="es-CR"/>
        </w:rPr>
        <w:tab/>
      </w:r>
    </w:p>
    <w:p w14:paraId="1BFE6F44" w14:textId="77777777" w:rsidR="00CF7396" w:rsidRPr="00CF7396" w:rsidRDefault="00CF7396" w:rsidP="00CF7396">
      <w:pPr>
        <w:jc w:val="both"/>
        <w:rPr>
          <w:color w:val="000000" w:themeColor="text1"/>
          <w:lang w:val="es-CR"/>
        </w:rPr>
      </w:pPr>
    </w:p>
    <w:p w14:paraId="0AFF3C21" w14:textId="77777777" w:rsidR="00CF7396" w:rsidRPr="00CF7396" w:rsidRDefault="00CF7396" w:rsidP="00CF7396">
      <w:pPr>
        <w:jc w:val="both"/>
        <w:rPr>
          <w:color w:val="000000" w:themeColor="text1"/>
          <w:lang w:val="es-CR"/>
        </w:rPr>
      </w:pPr>
    </w:p>
    <w:p w14:paraId="7CB268D8"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En total se elaboraron 12 presentaciones en el 2021 por parte de la Profesional de Planificación destacada en el Primer Circuito Judicial del Zona Atlántica, de las cuales las 58 recomendaciones fueron aprobadas por el Consejo de Administración de dicho Circuito y 9 de ellas fueron aplicadas parcialmente, debido a que el despacho no cumplió en su totalidad con lo recomendado, 3 sin aplicar por parte de la oficina y 1 en proceso. </w:t>
      </w:r>
    </w:p>
    <w:p w14:paraId="636D22C6" w14:textId="77777777" w:rsidR="00CF7396" w:rsidRPr="00CF7396" w:rsidRDefault="00CF7396" w:rsidP="00CF7396">
      <w:pPr>
        <w:autoSpaceDE w:val="0"/>
        <w:autoSpaceDN w:val="0"/>
        <w:adjustRightInd w:val="0"/>
        <w:ind w:left="851" w:right="851" w:firstLine="709"/>
        <w:jc w:val="both"/>
        <w:rPr>
          <w:color w:val="000000" w:themeColor="text1"/>
          <w:lang w:val="es-CR" w:eastAsia="es-CR"/>
        </w:rPr>
      </w:pPr>
    </w:p>
    <w:p w14:paraId="6CDBECF4" w14:textId="77777777" w:rsidR="00CF7396" w:rsidRPr="00CF7396" w:rsidRDefault="00CF7396" w:rsidP="00CF7396">
      <w:pPr>
        <w:ind w:left="851" w:right="851" w:firstLine="709"/>
        <w:rPr>
          <w:b/>
          <w:bCs/>
          <w:color w:val="000000" w:themeColor="text1"/>
          <w:lang w:val="es-CR"/>
        </w:rPr>
      </w:pPr>
      <w:r w:rsidRPr="00CF7396">
        <w:rPr>
          <w:b/>
          <w:bCs/>
          <w:color w:val="000000" w:themeColor="text1"/>
          <w:lang w:val="es-CR"/>
        </w:rPr>
        <w:t>5. Cumplimiento por parte de las oficinas del Circuito en relación con la operativa del Modelo de Seguimiento y Sostenibilidad</w:t>
      </w:r>
    </w:p>
    <w:p w14:paraId="4C1E437A" w14:textId="77777777" w:rsidR="00CF7396" w:rsidRPr="00CF7396" w:rsidRDefault="00CF7396" w:rsidP="00CF7396">
      <w:pPr>
        <w:ind w:left="851" w:right="851" w:firstLine="709"/>
        <w:rPr>
          <w:color w:val="000000" w:themeColor="text1"/>
          <w:lang w:val="es-CR"/>
        </w:rPr>
      </w:pPr>
    </w:p>
    <w:p w14:paraId="400F7C75"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Mediante llamada telefónica el 1 de junio del 2022 se consultó a la licenciada Shirley Demmitt Guthrie, Coordinadora de la Administración Regional del Primer Circuito Judicial de la Zona Atlántica, si contaba con un control de cumplimiento de la operativa del Modelo de Seguimiento y Sostenibilidad para validar que los despachos judiciales cumplieron con el tiempo establecido para la remisión de los Indicadores, así como con el envío de la matriz, planes remediales y minuta de reunión y señaló que no maneja un control; sin embargo, indicó que cuando algún despacho no enviaba los documentos le remitía un recordatorio solicitando el envío correspondiente, o bien le solicitaba a la brevedad </w:t>
      </w:r>
      <w:proofErr w:type="spellStart"/>
      <w:r w:rsidRPr="00CF7396">
        <w:rPr>
          <w:color w:val="000000" w:themeColor="text1"/>
          <w:lang w:val="es-CR"/>
        </w:rPr>
        <w:t>el</w:t>
      </w:r>
      <w:proofErr w:type="spellEnd"/>
      <w:r w:rsidRPr="00CF7396">
        <w:rPr>
          <w:color w:val="000000" w:themeColor="text1"/>
          <w:lang w:val="es-CR"/>
        </w:rPr>
        <w:t xml:space="preserve"> envió de la documentación en caso de estar pendiente. Adicionalmente en algunas sesiones informaba al Consejo de Administración los incumplimientos por parte de algunas oficinas judiciales.</w:t>
      </w:r>
    </w:p>
    <w:p w14:paraId="2D2665E1" w14:textId="77777777" w:rsidR="00CF7396" w:rsidRPr="00CF7396" w:rsidRDefault="00CF7396" w:rsidP="00CF7396">
      <w:pPr>
        <w:ind w:left="851" w:right="851" w:firstLine="709"/>
        <w:jc w:val="both"/>
        <w:rPr>
          <w:color w:val="000000" w:themeColor="text1"/>
          <w:lang w:val="es-CR"/>
        </w:rPr>
      </w:pPr>
    </w:p>
    <w:p w14:paraId="351F2641"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El Tribunal Penal y la Sección de Flagrancia del Primer Circuito Judicial de la Zona Atlántica, así como el Juzgado Contravencional de Matina, fueron los despachos con mayor incumplimiento en el plazo en la remisión de los documentos de Indicadores a la Administración durante el 2021.</w:t>
      </w:r>
    </w:p>
    <w:p w14:paraId="070B6A54" w14:textId="77777777" w:rsidR="00CF7396" w:rsidRPr="00CF7396" w:rsidRDefault="00CF7396" w:rsidP="00CF7396">
      <w:pPr>
        <w:ind w:left="851" w:right="851" w:firstLine="709"/>
        <w:jc w:val="both"/>
        <w:rPr>
          <w:color w:val="000000" w:themeColor="text1"/>
          <w:lang w:val="es-CR"/>
        </w:rPr>
      </w:pPr>
    </w:p>
    <w:p w14:paraId="5BFABC68"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Con base en lo anterior, la Profesional de Planificación en misma fecha le proporcionó mediante correo electrónico una herramienta para que sea de insumo a futuro y poder contar con la información para futuros informes. </w:t>
      </w:r>
    </w:p>
    <w:p w14:paraId="3D1ABBD8" w14:textId="77777777" w:rsidR="00CF7396" w:rsidRPr="00CF7396" w:rsidRDefault="00CF7396" w:rsidP="00CF7396">
      <w:pPr>
        <w:ind w:left="851" w:right="851" w:firstLine="709"/>
        <w:rPr>
          <w:color w:val="000000" w:themeColor="text1"/>
          <w:lang w:val="es-CR"/>
        </w:rPr>
      </w:pPr>
    </w:p>
    <w:p w14:paraId="45A5340C" w14:textId="77777777" w:rsidR="00CF7396" w:rsidRPr="00CF7396" w:rsidRDefault="00CF7396" w:rsidP="00CF7396">
      <w:pPr>
        <w:ind w:left="851" w:right="851" w:firstLine="709"/>
        <w:rPr>
          <w:b/>
          <w:bCs/>
          <w:color w:val="000000" w:themeColor="text1"/>
          <w:lang w:val="es-CR"/>
        </w:rPr>
      </w:pPr>
      <w:r w:rsidRPr="00CF7396">
        <w:rPr>
          <w:b/>
          <w:bCs/>
          <w:color w:val="000000" w:themeColor="text1"/>
          <w:lang w:val="es-CR"/>
        </w:rPr>
        <w:t>6. Planes de trabajo</w:t>
      </w:r>
    </w:p>
    <w:p w14:paraId="6DCA7D62" w14:textId="77777777" w:rsidR="00CF7396" w:rsidRPr="00CF7396" w:rsidRDefault="00CF7396" w:rsidP="00CF7396">
      <w:pPr>
        <w:ind w:left="851" w:right="851" w:firstLine="709"/>
        <w:rPr>
          <w:b/>
          <w:bCs/>
          <w:color w:val="000000" w:themeColor="text1"/>
          <w:lang w:val="es-CR"/>
        </w:rPr>
      </w:pPr>
      <w:bookmarkStart w:id="13" w:name="_Hlk83051420"/>
      <w:bookmarkStart w:id="14" w:name="_Toc78876674"/>
    </w:p>
    <w:bookmarkEnd w:id="13"/>
    <w:p w14:paraId="0C390E51" w14:textId="77777777" w:rsidR="00CF7396" w:rsidRPr="00CF7396" w:rsidRDefault="00CF7396" w:rsidP="00CF7396">
      <w:pPr>
        <w:ind w:left="851" w:right="851" w:firstLine="709"/>
        <w:jc w:val="both"/>
        <w:textAlignment w:val="baseline"/>
        <w:rPr>
          <w:color w:val="000000" w:themeColor="text1"/>
          <w:lang w:val="es-CR" w:eastAsia="es-CR"/>
        </w:rPr>
      </w:pPr>
      <w:r w:rsidRPr="00CF7396">
        <w:rPr>
          <w:color w:val="000000" w:themeColor="text1"/>
          <w:lang w:val="es-CR" w:eastAsia="es-CR"/>
        </w:rPr>
        <w:t xml:space="preserve">Como parte de las funciones asignadas a la Profesional de Planificación de la Dirección de Planificación del Modelo de Seguimiento y Sostenibilidad, está la creación de propuestas de planes de trabajo bajo criterio técnico, los mismos se elaboran mensualmente o por un período determinado para el personal supernumerario asignado a la Administración Regional, el mismo se formula de forma consensuada con la Administración Regional, con el fin de mejorar las áreas críticas detectadas en los despachos y del Circuito. </w:t>
      </w:r>
    </w:p>
    <w:p w14:paraId="03E6FAB1" w14:textId="77777777" w:rsidR="00CF7396" w:rsidRPr="00CF7396" w:rsidRDefault="00CF7396" w:rsidP="00CF7396">
      <w:pPr>
        <w:ind w:left="851" w:right="851" w:firstLine="709"/>
        <w:jc w:val="both"/>
        <w:textAlignment w:val="baseline"/>
        <w:rPr>
          <w:color w:val="000000" w:themeColor="text1"/>
          <w:lang w:val="es-CR" w:eastAsia="es-CR"/>
        </w:rPr>
      </w:pPr>
    </w:p>
    <w:p w14:paraId="4F2C13CB" w14:textId="77777777" w:rsidR="00CF7396" w:rsidRPr="00CF7396" w:rsidRDefault="00CF7396" w:rsidP="00CF7396">
      <w:pPr>
        <w:ind w:left="851" w:right="851" w:firstLine="709"/>
        <w:jc w:val="both"/>
        <w:textAlignment w:val="baseline"/>
        <w:rPr>
          <w:color w:val="000000" w:themeColor="text1"/>
          <w:lang w:val="es-CR" w:eastAsia="es-CR"/>
        </w:rPr>
      </w:pPr>
      <w:r w:rsidRPr="00CF7396">
        <w:rPr>
          <w:color w:val="000000" w:themeColor="text1"/>
          <w:lang w:val="es-CR" w:eastAsia="es-CR"/>
        </w:rPr>
        <w:t xml:space="preserve">Para la elaboración de estos primero se detectan aquellas áreas críticas por medio de los Indicadores de gestión, así como un análisis de cargas de trabajo según datos del día del Escritorio Virtual, igualmente se realizan diversas investigaciones previas, como, por ejemplo, cantidad de asuntos inactivos, depuraciones pendientes, entre otros. En el caso de aquellos despachos que no cuentan aún con Indicadores la Administración Regional hace ver las necesidades correspondientes según solicitud reciba por parte de la oficina judicial, o bien solicitudes recibidas por las oficinas que requieren apoyo de personal supernumerario, tales como: remesados, inventarios, depuraciones, auditorías del SDJ, sustituciones, entre otros. E igualmente se elabora un plan de contingencia para atender posibles sustituciones con el personal supernumerario, el cual se incluye en el plan de trabajo. </w:t>
      </w:r>
    </w:p>
    <w:p w14:paraId="69003520" w14:textId="77777777" w:rsidR="00CF7396" w:rsidRPr="00CF7396" w:rsidRDefault="00CF7396" w:rsidP="00CF7396">
      <w:pPr>
        <w:ind w:left="851" w:right="851" w:firstLine="709"/>
        <w:jc w:val="both"/>
        <w:textAlignment w:val="baseline"/>
        <w:rPr>
          <w:color w:val="000000" w:themeColor="text1"/>
          <w:lang w:val="es-CR" w:eastAsia="es-CR"/>
        </w:rPr>
      </w:pPr>
    </w:p>
    <w:p w14:paraId="4802F96C" w14:textId="77777777" w:rsidR="00CF7396" w:rsidRPr="00CF7396" w:rsidRDefault="00CF7396" w:rsidP="00CF7396">
      <w:pPr>
        <w:ind w:left="851" w:right="851" w:firstLine="709"/>
        <w:jc w:val="both"/>
        <w:textAlignment w:val="baseline"/>
        <w:rPr>
          <w:color w:val="000000" w:themeColor="text1"/>
          <w:lang w:val="es-CR" w:eastAsia="es-CR"/>
        </w:rPr>
      </w:pPr>
      <w:r w:rsidRPr="00CF7396">
        <w:rPr>
          <w:color w:val="000000" w:themeColor="text1"/>
          <w:lang w:val="es-CR" w:eastAsia="es-CR"/>
        </w:rPr>
        <w:t>En ocasiones, también se requieren realizar ajustes o modificaciones a los planes de trabajo propuestos, por lo que se coordina previamente con la Administración Regional.</w:t>
      </w:r>
    </w:p>
    <w:p w14:paraId="3527742F" w14:textId="77777777" w:rsidR="00CF7396" w:rsidRPr="00CF7396" w:rsidRDefault="00CF7396" w:rsidP="00CF7396">
      <w:pPr>
        <w:ind w:left="851" w:right="851" w:firstLine="709"/>
        <w:jc w:val="both"/>
        <w:textAlignment w:val="baseline"/>
        <w:rPr>
          <w:color w:val="000000" w:themeColor="text1"/>
          <w:lang w:val="es-CR" w:eastAsia="es-CR"/>
        </w:rPr>
      </w:pPr>
    </w:p>
    <w:p w14:paraId="45A101A5" w14:textId="77777777" w:rsidR="00CF7396" w:rsidRPr="00CF7396" w:rsidRDefault="00CF7396" w:rsidP="00CF7396">
      <w:pPr>
        <w:ind w:left="851" w:right="851" w:firstLine="709"/>
        <w:jc w:val="both"/>
        <w:textAlignment w:val="baseline"/>
        <w:rPr>
          <w:color w:val="000000" w:themeColor="text1"/>
          <w:lang w:val="es-CR" w:eastAsia="es-CR"/>
        </w:rPr>
      </w:pPr>
      <w:r w:rsidRPr="00CF7396">
        <w:rPr>
          <w:color w:val="000000" w:themeColor="text1"/>
          <w:lang w:val="es-CR" w:eastAsia="es-CR"/>
        </w:rPr>
        <w:t>Una vez concluido el plan de trabajo la Administración contempla una plantilla de seguimiento de los planes de trabajo de las personas supernumerarias para posterior envió a la Profesional de Planificación, para dar seguimiento al avance y resultados de los planes de trabajo implementados y posteriormente comunicar los mismos ante el Consejo de Administración.</w:t>
      </w:r>
    </w:p>
    <w:p w14:paraId="4CC8F739" w14:textId="77777777" w:rsidR="00CF7396" w:rsidRPr="00CF7396" w:rsidRDefault="00CF7396" w:rsidP="00CF7396">
      <w:pPr>
        <w:ind w:left="851" w:right="851" w:firstLine="709"/>
        <w:jc w:val="both"/>
        <w:textAlignment w:val="baseline"/>
        <w:rPr>
          <w:color w:val="000000" w:themeColor="text1"/>
          <w:lang w:val="es-CR" w:eastAsia="es-CR"/>
        </w:rPr>
      </w:pPr>
    </w:p>
    <w:p w14:paraId="54C12F35" w14:textId="77777777" w:rsidR="00CF7396" w:rsidRPr="00CF7396" w:rsidRDefault="00CF7396" w:rsidP="00CF7396">
      <w:pPr>
        <w:ind w:left="851" w:right="851" w:firstLine="709"/>
        <w:jc w:val="both"/>
        <w:textAlignment w:val="baseline"/>
        <w:rPr>
          <w:color w:val="000000" w:themeColor="text1"/>
          <w:lang w:val="es-CR" w:eastAsia="es-CR"/>
        </w:rPr>
      </w:pPr>
      <w:r w:rsidRPr="00CF7396">
        <w:rPr>
          <w:color w:val="000000" w:themeColor="text1"/>
          <w:lang w:val="es-CR" w:eastAsia="es-CR"/>
        </w:rPr>
        <w:t>Por otro lado, la Profesional de Planificación también elabora planes de trabajo con recursos propios de la oficina.</w:t>
      </w:r>
    </w:p>
    <w:p w14:paraId="123CD481" w14:textId="77777777" w:rsidR="00CF7396" w:rsidRPr="00CF7396" w:rsidRDefault="00CF7396" w:rsidP="00CF7396">
      <w:pPr>
        <w:ind w:left="851" w:right="851" w:firstLine="709"/>
        <w:jc w:val="both"/>
        <w:textAlignment w:val="baseline"/>
        <w:rPr>
          <w:color w:val="000000" w:themeColor="text1"/>
          <w:lang w:val="es-CR" w:eastAsia="es-CR"/>
        </w:rPr>
      </w:pPr>
    </w:p>
    <w:p w14:paraId="42B120F2" w14:textId="77777777" w:rsidR="00CF7396" w:rsidRPr="00CF7396" w:rsidRDefault="00CF7396" w:rsidP="00CF7396">
      <w:pPr>
        <w:ind w:left="851" w:right="851" w:firstLine="709"/>
        <w:jc w:val="both"/>
        <w:textAlignment w:val="baseline"/>
        <w:rPr>
          <w:color w:val="000000" w:themeColor="text1"/>
          <w:lang w:val="es-CR" w:eastAsia="es-CR"/>
        </w:rPr>
      </w:pPr>
      <w:r w:rsidRPr="00CF7396">
        <w:rPr>
          <w:color w:val="000000" w:themeColor="text1"/>
          <w:lang w:val="es-CR" w:eastAsia="es-CR"/>
        </w:rPr>
        <w:t>Una vez explicado lo anterior, se muestran los planes de trabajo realizados durante el 2021 en el Primer Circuito Judicial de la Zona Atlántica:</w:t>
      </w:r>
    </w:p>
    <w:p w14:paraId="2049B3B7" w14:textId="77777777" w:rsidR="00CF7396" w:rsidRPr="00CF7396" w:rsidRDefault="00CF7396" w:rsidP="00CF7396">
      <w:pPr>
        <w:jc w:val="both"/>
        <w:textAlignment w:val="baseline"/>
        <w:rPr>
          <w:color w:val="000000" w:themeColor="text1"/>
          <w:lang w:val="es-CR" w:eastAsia="es-CR"/>
        </w:rPr>
      </w:pPr>
    </w:p>
    <w:p w14:paraId="4680381D" w14:textId="77777777" w:rsidR="00CF7396" w:rsidRPr="00CF7396" w:rsidRDefault="00CF7396" w:rsidP="00CF7396">
      <w:pPr>
        <w:jc w:val="center"/>
        <w:textAlignment w:val="baseline"/>
        <w:rPr>
          <w:b/>
          <w:bCs/>
          <w:i/>
          <w:iCs/>
          <w:color w:val="000000" w:themeColor="text1"/>
          <w:lang w:val="es-CR" w:eastAsia="es-CR"/>
        </w:rPr>
      </w:pPr>
      <w:r w:rsidRPr="00CF7396">
        <w:rPr>
          <w:b/>
          <w:bCs/>
          <w:i/>
          <w:iCs/>
          <w:color w:val="000000" w:themeColor="text1"/>
          <w:lang w:val="es-CR" w:eastAsia="es-CR"/>
        </w:rPr>
        <w:t>Cuadro 14</w:t>
      </w:r>
    </w:p>
    <w:p w14:paraId="3FF5990F" w14:textId="77777777" w:rsidR="00CF7396" w:rsidRPr="00CF7396" w:rsidRDefault="00CF7396" w:rsidP="00CF7396">
      <w:pPr>
        <w:jc w:val="center"/>
        <w:textAlignment w:val="baseline"/>
        <w:rPr>
          <w:b/>
          <w:bCs/>
          <w:i/>
          <w:iCs/>
          <w:color w:val="000000" w:themeColor="text1"/>
          <w:lang w:val="es-CR" w:eastAsia="es-CR"/>
        </w:rPr>
      </w:pPr>
      <w:r w:rsidRPr="00CF7396">
        <w:rPr>
          <w:b/>
          <w:bCs/>
          <w:i/>
          <w:iCs/>
          <w:color w:val="000000" w:themeColor="text1"/>
          <w:lang w:val="es-CR" w:eastAsia="es-CR"/>
        </w:rPr>
        <w:t>Cantidad de Planes de Trabajo implementados</w:t>
      </w:r>
    </w:p>
    <w:p w14:paraId="4BFDBD33" w14:textId="77777777" w:rsidR="00CF7396" w:rsidRPr="00CF7396" w:rsidRDefault="00CF7396" w:rsidP="00CF7396">
      <w:pPr>
        <w:jc w:val="center"/>
        <w:textAlignment w:val="baseline"/>
        <w:rPr>
          <w:b/>
          <w:bCs/>
          <w:i/>
          <w:iCs/>
          <w:color w:val="000000" w:themeColor="text1"/>
          <w:lang w:val="es-CR" w:eastAsia="es-CR"/>
        </w:rPr>
      </w:pPr>
      <w:r w:rsidRPr="00CF7396">
        <w:rPr>
          <w:b/>
          <w:bCs/>
          <w:i/>
          <w:iCs/>
          <w:color w:val="000000" w:themeColor="text1"/>
          <w:lang w:val="es-CR" w:eastAsia="es-CR"/>
        </w:rPr>
        <w:t>en el Primer Circuito Judicial de la Zona Atlántica, 2021</w:t>
      </w:r>
    </w:p>
    <w:tbl>
      <w:tblPr>
        <w:tblStyle w:val="Tablaconcuadrcula"/>
        <w:tblW w:w="0" w:type="auto"/>
        <w:jc w:val="center"/>
        <w:tblLook w:val="04A0" w:firstRow="1" w:lastRow="0" w:firstColumn="1" w:lastColumn="0" w:noHBand="0" w:noVBand="1"/>
      </w:tblPr>
      <w:tblGrid>
        <w:gridCol w:w="2943"/>
        <w:gridCol w:w="4140"/>
        <w:gridCol w:w="43"/>
      </w:tblGrid>
      <w:tr w:rsidR="00CF7396" w:rsidRPr="00CF7396" w14:paraId="319BCB66" w14:textId="77777777" w:rsidTr="00AF369B">
        <w:trPr>
          <w:jc w:val="center"/>
        </w:trPr>
        <w:tc>
          <w:tcPr>
            <w:tcW w:w="2943" w:type="dxa"/>
            <w:shd w:val="clear" w:color="auto" w:fill="244061" w:themeFill="accent1" w:themeFillShade="80"/>
          </w:tcPr>
          <w:p w14:paraId="605024D1" w14:textId="77777777" w:rsidR="00CF7396" w:rsidRPr="00CF7396" w:rsidRDefault="00CF7396" w:rsidP="00CF7396">
            <w:pPr>
              <w:jc w:val="center"/>
              <w:rPr>
                <w:b/>
                <w:color w:val="000000" w:themeColor="text1"/>
              </w:rPr>
            </w:pPr>
            <w:r w:rsidRPr="00CF7396">
              <w:rPr>
                <w:b/>
                <w:color w:val="000000" w:themeColor="text1"/>
              </w:rPr>
              <w:t>Cantidad de planes de trabajo</w:t>
            </w:r>
          </w:p>
        </w:tc>
        <w:tc>
          <w:tcPr>
            <w:tcW w:w="4140" w:type="dxa"/>
            <w:gridSpan w:val="2"/>
            <w:shd w:val="clear" w:color="auto" w:fill="244061" w:themeFill="accent1" w:themeFillShade="80"/>
          </w:tcPr>
          <w:p w14:paraId="7DA15737" w14:textId="77777777" w:rsidR="00CF7396" w:rsidRPr="00CF7396" w:rsidRDefault="00CF7396" w:rsidP="00CF7396">
            <w:pPr>
              <w:jc w:val="center"/>
              <w:rPr>
                <w:b/>
                <w:color w:val="000000" w:themeColor="text1"/>
              </w:rPr>
            </w:pPr>
            <w:r w:rsidRPr="00CF7396">
              <w:rPr>
                <w:b/>
                <w:color w:val="000000" w:themeColor="text1"/>
              </w:rPr>
              <w:t>Tipo de Plan de Trabajo</w:t>
            </w:r>
          </w:p>
        </w:tc>
      </w:tr>
      <w:tr w:rsidR="00CF7396" w:rsidRPr="00CF7396" w14:paraId="48354A1A" w14:textId="77777777" w:rsidTr="00AF369B">
        <w:trPr>
          <w:gridAfter w:val="1"/>
          <w:wAfter w:w="43" w:type="dxa"/>
          <w:jc w:val="center"/>
        </w:trPr>
        <w:tc>
          <w:tcPr>
            <w:tcW w:w="2943" w:type="dxa"/>
          </w:tcPr>
          <w:p w14:paraId="40D6C99E" w14:textId="77777777" w:rsidR="00CF7396" w:rsidRPr="00CF7396" w:rsidRDefault="00CF7396" w:rsidP="00CF7396">
            <w:pPr>
              <w:jc w:val="center"/>
              <w:rPr>
                <w:color w:val="000000" w:themeColor="text1"/>
              </w:rPr>
            </w:pPr>
          </w:p>
          <w:p w14:paraId="0B0189C5" w14:textId="77777777" w:rsidR="00CF7396" w:rsidRPr="00CF7396" w:rsidRDefault="00CF7396" w:rsidP="00CF7396">
            <w:pPr>
              <w:jc w:val="center"/>
              <w:rPr>
                <w:color w:val="000000" w:themeColor="text1"/>
              </w:rPr>
            </w:pPr>
            <w:r w:rsidRPr="00CF7396">
              <w:rPr>
                <w:color w:val="000000" w:themeColor="text1"/>
              </w:rPr>
              <w:t>164</w:t>
            </w:r>
          </w:p>
        </w:tc>
        <w:tc>
          <w:tcPr>
            <w:tcW w:w="4140" w:type="dxa"/>
          </w:tcPr>
          <w:p w14:paraId="550EF619"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157 planes de trabajo con recursos supernumerarios</w:t>
            </w:r>
          </w:p>
          <w:p w14:paraId="3A040B61"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7 planes remediales</w:t>
            </w:r>
          </w:p>
        </w:tc>
      </w:tr>
    </w:tbl>
    <w:p w14:paraId="3F689452" w14:textId="77777777" w:rsidR="00CF7396" w:rsidRPr="00CF7396" w:rsidRDefault="00CF7396" w:rsidP="00CF7396">
      <w:pPr>
        <w:ind w:left="851" w:right="902"/>
        <w:textAlignment w:val="baseline"/>
        <w:rPr>
          <w:color w:val="000000" w:themeColor="text1"/>
          <w:lang w:val="es-CR" w:eastAsia="es-CR"/>
        </w:rPr>
      </w:pPr>
      <w:r w:rsidRPr="00CF7396">
        <w:rPr>
          <w:b/>
          <w:bCs/>
          <w:color w:val="000000" w:themeColor="text1"/>
          <w:lang w:val="es-CR" w:eastAsia="es-CR"/>
        </w:rPr>
        <w:t>Fuente:</w:t>
      </w:r>
      <w:r w:rsidRPr="00CF7396">
        <w:rPr>
          <w:color w:val="000000" w:themeColor="text1"/>
          <w:lang w:val="es-CR" w:eastAsia="es-CR"/>
        </w:rPr>
        <w:t xml:space="preserve"> Datos obtenidos de la intranet de la Dirección de Planificación: </w:t>
      </w:r>
      <w:hyperlink r:id="rId40" w:history="1">
        <w:r w:rsidRPr="00CF7396">
          <w:rPr>
            <w:color w:val="000000" w:themeColor="text1"/>
            <w:u w:val="single"/>
            <w:lang w:val="es-CR"/>
          </w:rPr>
          <w:t>Modelo de Seguimiento y Sostenibilidad (poder-judicial.go.cr)</w:t>
        </w:r>
      </w:hyperlink>
    </w:p>
    <w:p w14:paraId="2A0EF591" w14:textId="77777777" w:rsidR="00CF7396" w:rsidRPr="00CF7396" w:rsidRDefault="00CF7396" w:rsidP="00CF7396">
      <w:pPr>
        <w:rPr>
          <w:color w:val="000000" w:themeColor="text1"/>
          <w:lang w:val="es-CR"/>
        </w:rPr>
      </w:pPr>
    </w:p>
    <w:p w14:paraId="1AEF851C"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 xml:space="preserve">Durante el 2021 se </w:t>
      </w:r>
      <w:r w:rsidRPr="00CF7396">
        <w:rPr>
          <w:b/>
          <w:bCs/>
          <w:color w:val="000000" w:themeColor="text1"/>
          <w:lang w:val="es-CR" w:eastAsia="es-CR"/>
        </w:rPr>
        <w:t>formularon un total de 164 planes de trabajo, de los cuales 157 fueron con recursos de personal supernumerario y 7 planes remediales con personal propio del despacho.</w:t>
      </w:r>
      <w:r w:rsidRPr="00CF7396">
        <w:rPr>
          <w:color w:val="000000" w:themeColor="text1"/>
          <w:lang w:val="es-CR" w:eastAsia="es-CR"/>
        </w:rPr>
        <w:t xml:space="preserve"> Los mismos fueron comunicados a la Administración Regional del Primer Circuito Judicial de la Zona Atlántica mediante oficios de trámite rápido, para un total de 23 oficios.</w:t>
      </w:r>
    </w:p>
    <w:p w14:paraId="71D236F2" w14:textId="77777777" w:rsidR="00CF7396" w:rsidRPr="00CF7396" w:rsidRDefault="00CF7396" w:rsidP="00CF7396">
      <w:pPr>
        <w:ind w:left="851" w:right="851" w:firstLine="709"/>
        <w:jc w:val="both"/>
        <w:rPr>
          <w:color w:val="000000" w:themeColor="text1"/>
          <w:lang w:val="es-CR" w:eastAsia="es-CR"/>
        </w:rPr>
      </w:pPr>
    </w:p>
    <w:p w14:paraId="2892CF76"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Dichos planes de trabajo se efectuaron en diversos despachos del Circuito, tal como se muestra en el siguiente cuadro:</w:t>
      </w:r>
    </w:p>
    <w:p w14:paraId="232DAAED" w14:textId="77777777" w:rsidR="00CF7396" w:rsidRPr="00CF7396" w:rsidRDefault="00CF7396" w:rsidP="00CF7396">
      <w:pPr>
        <w:ind w:left="851" w:right="851" w:firstLine="709"/>
        <w:jc w:val="both"/>
        <w:rPr>
          <w:color w:val="000000" w:themeColor="text1"/>
          <w:lang w:val="es-CR" w:eastAsia="es-CR"/>
        </w:rPr>
      </w:pPr>
    </w:p>
    <w:p w14:paraId="2A02FD65" w14:textId="77777777" w:rsidR="00CF7396" w:rsidRPr="00CF7396" w:rsidRDefault="00CF7396" w:rsidP="00CF7396">
      <w:pPr>
        <w:jc w:val="center"/>
        <w:rPr>
          <w:b/>
          <w:bCs/>
          <w:i/>
          <w:iCs/>
          <w:color w:val="000000" w:themeColor="text1"/>
          <w:lang w:val="es-CR" w:eastAsia="es-CR"/>
        </w:rPr>
      </w:pPr>
      <w:r w:rsidRPr="00CF7396">
        <w:rPr>
          <w:b/>
          <w:bCs/>
          <w:i/>
          <w:iCs/>
          <w:color w:val="000000" w:themeColor="text1"/>
          <w:lang w:val="es-CR" w:eastAsia="es-CR"/>
        </w:rPr>
        <w:t>Cuadro 15</w:t>
      </w:r>
    </w:p>
    <w:p w14:paraId="4FBFE77A" w14:textId="77777777" w:rsidR="00CF7396" w:rsidRPr="00CF7396" w:rsidRDefault="00CF7396" w:rsidP="00CF7396">
      <w:pPr>
        <w:jc w:val="center"/>
        <w:rPr>
          <w:b/>
          <w:bCs/>
          <w:i/>
          <w:iCs/>
          <w:color w:val="000000" w:themeColor="text1"/>
          <w:lang w:val="es-CR" w:eastAsia="es-CR"/>
        </w:rPr>
      </w:pPr>
      <w:r w:rsidRPr="00CF7396">
        <w:rPr>
          <w:b/>
          <w:bCs/>
          <w:i/>
          <w:iCs/>
          <w:color w:val="000000" w:themeColor="text1"/>
          <w:lang w:val="es-CR" w:eastAsia="es-CR"/>
        </w:rPr>
        <w:t>Cantidad de Planes de Trabajo por Despacho</w:t>
      </w:r>
    </w:p>
    <w:p w14:paraId="102020B8" w14:textId="77777777" w:rsidR="00CF7396" w:rsidRPr="00CF7396" w:rsidRDefault="00CF7396" w:rsidP="00CF7396">
      <w:pPr>
        <w:jc w:val="center"/>
        <w:rPr>
          <w:b/>
          <w:i/>
          <w:color w:val="000000" w:themeColor="text1"/>
          <w:lang w:val="es-CR" w:eastAsia="es-CR"/>
        </w:rPr>
      </w:pPr>
      <w:r w:rsidRPr="00CF7396">
        <w:rPr>
          <w:b/>
          <w:bCs/>
          <w:i/>
          <w:iCs/>
          <w:color w:val="000000" w:themeColor="text1"/>
          <w:lang w:val="es-CR" w:eastAsia="es-CR"/>
        </w:rPr>
        <w:t>Primer Circuito Judicial de la Zona Atlántica, 2021</w:t>
      </w:r>
    </w:p>
    <w:tbl>
      <w:tblPr>
        <w:tblStyle w:val="Tablaconcuadrcula"/>
        <w:tblW w:w="0" w:type="auto"/>
        <w:jc w:val="center"/>
        <w:tblLook w:val="04A0" w:firstRow="1" w:lastRow="0" w:firstColumn="1" w:lastColumn="0" w:noHBand="0" w:noVBand="1"/>
      </w:tblPr>
      <w:tblGrid>
        <w:gridCol w:w="6799"/>
        <w:gridCol w:w="43"/>
      </w:tblGrid>
      <w:tr w:rsidR="00CF7396" w:rsidRPr="00CF7396" w14:paraId="03661F7B" w14:textId="77777777" w:rsidTr="00AF369B">
        <w:trPr>
          <w:jc w:val="center"/>
        </w:trPr>
        <w:tc>
          <w:tcPr>
            <w:tcW w:w="6799" w:type="dxa"/>
            <w:gridSpan w:val="2"/>
            <w:shd w:val="clear" w:color="auto" w:fill="244061" w:themeFill="accent1" w:themeFillShade="80"/>
          </w:tcPr>
          <w:p w14:paraId="3B93EDD0" w14:textId="77777777" w:rsidR="00CF7396" w:rsidRPr="00CF7396" w:rsidRDefault="00CF7396" w:rsidP="00CF7396">
            <w:pPr>
              <w:jc w:val="center"/>
              <w:rPr>
                <w:b/>
                <w:bCs/>
                <w:color w:val="000000" w:themeColor="text1"/>
              </w:rPr>
            </w:pPr>
          </w:p>
          <w:p w14:paraId="35171C88" w14:textId="77777777" w:rsidR="00CF7396" w:rsidRPr="00CF7396" w:rsidRDefault="00CF7396" w:rsidP="00CF7396">
            <w:pPr>
              <w:jc w:val="center"/>
              <w:rPr>
                <w:b/>
                <w:bCs/>
                <w:color w:val="000000" w:themeColor="text1"/>
              </w:rPr>
            </w:pPr>
            <w:r w:rsidRPr="00CF7396">
              <w:rPr>
                <w:b/>
                <w:bCs/>
                <w:color w:val="000000" w:themeColor="text1"/>
              </w:rPr>
              <w:t>Cantidad de Planes de Trabajo por Despacho</w:t>
            </w:r>
          </w:p>
          <w:p w14:paraId="52AE4A52" w14:textId="77777777" w:rsidR="00CF7396" w:rsidRPr="00CF7396" w:rsidRDefault="00CF7396" w:rsidP="00CF7396">
            <w:pPr>
              <w:jc w:val="center"/>
              <w:rPr>
                <w:b/>
                <w:bCs/>
                <w:color w:val="000000" w:themeColor="text1"/>
              </w:rPr>
            </w:pPr>
          </w:p>
        </w:tc>
      </w:tr>
      <w:tr w:rsidR="00CF7396" w:rsidRPr="00CF7396" w14:paraId="4D3EB557" w14:textId="77777777" w:rsidTr="00AF369B">
        <w:trPr>
          <w:gridAfter w:val="1"/>
          <w:wAfter w:w="43" w:type="dxa"/>
          <w:jc w:val="center"/>
        </w:trPr>
        <w:tc>
          <w:tcPr>
            <w:tcW w:w="6799" w:type="dxa"/>
          </w:tcPr>
          <w:p w14:paraId="7FD2768A" w14:textId="77777777" w:rsidR="00CF7396" w:rsidRPr="00CF7396" w:rsidRDefault="00CF7396" w:rsidP="00CF7396">
            <w:pPr>
              <w:numPr>
                <w:ilvl w:val="0"/>
                <w:numId w:val="48"/>
              </w:numPr>
              <w:suppressAutoHyphens w:val="0"/>
              <w:ind w:left="345"/>
              <w:jc w:val="both"/>
              <w:rPr>
                <w:color w:val="000000" w:themeColor="text1"/>
              </w:rPr>
            </w:pPr>
            <w:r w:rsidRPr="00CF7396">
              <w:rPr>
                <w:color w:val="000000" w:themeColor="text1"/>
              </w:rPr>
              <w:t xml:space="preserve">57 </w:t>
            </w:r>
            <w:proofErr w:type="gramStart"/>
            <w:r w:rsidRPr="00CF7396">
              <w:rPr>
                <w:color w:val="000000" w:themeColor="text1"/>
              </w:rPr>
              <w:t>Juzgado</w:t>
            </w:r>
            <w:proofErr w:type="gramEnd"/>
            <w:r w:rsidRPr="00CF7396">
              <w:rPr>
                <w:color w:val="000000" w:themeColor="text1"/>
              </w:rPr>
              <w:t xml:space="preserve"> de Cobro del Primer Circuito Judicial de la Zona Atlántica.</w:t>
            </w:r>
          </w:p>
          <w:p w14:paraId="481A8990" w14:textId="77777777" w:rsidR="00CF7396" w:rsidRPr="00CF7396" w:rsidRDefault="00CF7396" w:rsidP="00CF7396">
            <w:pPr>
              <w:numPr>
                <w:ilvl w:val="0"/>
                <w:numId w:val="48"/>
              </w:numPr>
              <w:suppressAutoHyphens w:val="0"/>
              <w:ind w:left="345"/>
              <w:jc w:val="both"/>
              <w:rPr>
                <w:color w:val="000000" w:themeColor="text1"/>
              </w:rPr>
            </w:pPr>
            <w:r w:rsidRPr="00CF7396">
              <w:rPr>
                <w:color w:val="000000" w:themeColor="text1"/>
              </w:rPr>
              <w:t xml:space="preserve">31 </w:t>
            </w:r>
            <w:proofErr w:type="gramStart"/>
            <w:r w:rsidRPr="00CF7396">
              <w:rPr>
                <w:color w:val="000000" w:themeColor="text1"/>
              </w:rPr>
              <w:t>Tribunal</w:t>
            </w:r>
            <w:proofErr w:type="gramEnd"/>
            <w:r w:rsidRPr="00CF7396">
              <w:rPr>
                <w:color w:val="000000" w:themeColor="text1"/>
              </w:rPr>
              <w:t xml:space="preserve"> Penal del Primer Circuito Judicial de la Zona Atlántica.</w:t>
            </w:r>
          </w:p>
          <w:p w14:paraId="3D1C35D9" w14:textId="77777777" w:rsidR="00CF7396" w:rsidRPr="00CF7396" w:rsidRDefault="00CF7396" w:rsidP="00CF7396">
            <w:pPr>
              <w:numPr>
                <w:ilvl w:val="0"/>
                <w:numId w:val="48"/>
              </w:numPr>
              <w:suppressAutoHyphens w:val="0"/>
              <w:ind w:left="345"/>
              <w:jc w:val="both"/>
              <w:rPr>
                <w:color w:val="000000" w:themeColor="text1"/>
              </w:rPr>
            </w:pPr>
            <w:r w:rsidRPr="00CF7396">
              <w:rPr>
                <w:color w:val="000000" w:themeColor="text1"/>
              </w:rPr>
              <w:t xml:space="preserve">16 </w:t>
            </w:r>
            <w:proofErr w:type="gramStart"/>
            <w:r w:rsidRPr="00CF7396">
              <w:rPr>
                <w:color w:val="000000" w:themeColor="text1"/>
              </w:rPr>
              <w:t>Juzgado</w:t>
            </w:r>
            <w:proofErr w:type="gramEnd"/>
            <w:r w:rsidRPr="00CF7396">
              <w:rPr>
                <w:color w:val="000000" w:themeColor="text1"/>
              </w:rPr>
              <w:t xml:space="preserve"> de Trabajo del Primer Circuito Judicial de la Zona Atlántica.</w:t>
            </w:r>
          </w:p>
          <w:p w14:paraId="7E4AAC2E" w14:textId="77777777" w:rsidR="00CF7396" w:rsidRPr="00CF7396" w:rsidRDefault="00CF7396" w:rsidP="00CF7396">
            <w:pPr>
              <w:numPr>
                <w:ilvl w:val="0"/>
                <w:numId w:val="48"/>
              </w:numPr>
              <w:suppressAutoHyphens w:val="0"/>
              <w:ind w:left="345"/>
              <w:jc w:val="both"/>
              <w:rPr>
                <w:color w:val="000000" w:themeColor="text1"/>
              </w:rPr>
            </w:pPr>
            <w:r w:rsidRPr="00CF7396">
              <w:rPr>
                <w:color w:val="000000" w:themeColor="text1"/>
              </w:rPr>
              <w:t xml:space="preserve">15 </w:t>
            </w:r>
            <w:proofErr w:type="gramStart"/>
            <w:r w:rsidRPr="00CF7396">
              <w:rPr>
                <w:color w:val="000000" w:themeColor="text1"/>
              </w:rPr>
              <w:t>Juzgado</w:t>
            </w:r>
            <w:proofErr w:type="gramEnd"/>
            <w:r w:rsidRPr="00CF7396">
              <w:rPr>
                <w:color w:val="000000" w:themeColor="text1"/>
              </w:rPr>
              <w:t xml:space="preserve"> Contravencional de </w:t>
            </w:r>
            <w:proofErr w:type="spellStart"/>
            <w:r w:rsidRPr="00CF7396">
              <w:rPr>
                <w:color w:val="000000" w:themeColor="text1"/>
              </w:rPr>
              <w:t>Bribrí</w:t>
            </w:r>
            <w:proofErr w:type="spellEnd"/>
            <w:r w:rsidRPr="00CF7396">
              <w:rPr>
                <w:color w:val="000000" w:themeColor="text1"/>
              </w:rPr>
              <w:t>.</w:t>
            </w:r>
          </w:p>
          <w:p w14:paraId="11BC6590" w14:textId="77777777" w:rsidR="00CF7396" w:rsidRPr="00CF7396" w:rsidRDefault="00CF7396" w:rsidP="00CF7396">
            <w:pPr>
              <w:numPr>
                <w:ilvl w:val="0"/>
                <w:numId w:val="48"/>
              </w:numPr>
              <w:suppressAutoHyphens w:val="0"/>
              <w:ind w:left="345"/>
              <w:jc w:val="both"/>
              <w:rPr>
                <w:color w:val="000000" w:themeColor="text1"/>
              </w:rPr>
            </w:pPr>
            <w:r w:rsidRPr="00CF7396">
              <w:rPr>
                <w:color w:val="000000" w:themeColor="text1"/>
              </w:rPr>
              <w:t xml:space="preserve">15 </w:t>
            </w:r>
            <w:proofErr w:type="gramStart"/>
            <w:r w:rsidRPr="00CF7396">
              <w:rPr>
                <w:color w:val="000000" w:themeColor="text1"/>
              </w:rPr>
              <w:t>Juzgado</w:t>
            </w:r>
            <w:proofErr w:type="gramEnd"/>
            <w:r w:rsidRPr="00CF7396">
              <w:rPr>
                <w:color w:val="000000" w:themeColor="text1"/>
              </w:rPr>
              <w:t xml:space="preserve"> Contravencional de Matina.</w:t>
            </w:r>
          </w:p>
          <w:p w14:paraId="0390FABE" w14:textId="77777777" w:rsidR="00CF7396" w:rsidRPr="00CF7396" w:rsidRDefault="00CF7396" w:rsidP="00CF7396">
            <w:pPr>
              <w:numPr>
                <w:ilvl w:val="0"/>
                <w:numId w:val="48"/>
              </w:numPr>
              <w:suppressAutoHyphens w:val="0"/>
              <w:ind w:left="345"/>
              <w:jc w:val="both"/>
              <w:rPr>
                <w:color w:val="000000" w:themeColor="text1"/>
              </w:rPr>
            </w:pPr>
            <w:r w:rsidRPr="00CF7396">
              <w:rPr>
                <w:color w:val="000000" w:themeColor="text1"/>
              </w:rPr>
              <w:t xml:space="preserve">9 </w:t>
            </w:r>
            <w:proofErr w:type="gramStart"/>
            <w:r w:rsidRPr="00CF7396">
              <w:rPr>
                <w:color w:val="000000" w:themeColor="text1"/>
              </w:rPr>
              <w:t>Juzgado</w:t>
            </w:r>
            <w:proofErr w:type="gramEnd"/>
            <w:r w:rsidRPr="00CF7396">
              <w:rPr>
                <w:color w:val="000000" w:themeColor="text1"/>
              </w:rPr>
              <w:t xml:space="preserve"> Pensiones Alimentarias del Primer Circuito Judicial de la Zona Atlántica.</w:t>
            </w:r>
          </w:p>
          <w:p w14:paraId="6BEFEBB1" w14:textId="77777777" w:rsidR="00CF7396" w:rsidRPr="00CF7396" w:rsidRDefault="00CF7396" w:rsidP="00CF7396">
            <w:pPr>
              <w:numPr>
                <w:ilvl w:val="0"/>
                <w:numId w:val="48"/>
              </w:numPr>
              <w:suppressAutoHyphens w:val="0"/>
              <w:ind w:left="345"/>
              <w:jc w:val="both"/>
              <w:rPr>
                <w:color w:val="000000" w:themeColor="text1"/>
              </w:rPr>
            </w:pPr>
            <w:r w:rsidRPr="00CF7396">
              <w:rPr>
                <w:color w:val="000000" w:themeColor="text1"/>
              </w:rPr>
              <w:t xml:space="preserve">8 </w:t>
            </w:r>
            <w:proofErr w:type="gramStart"/>
            <w:r w:rsidRPr="00CF7396">
              <w:rPr>
                <w:color w:val="000000" w:themeColor="text1"/>
              </w:rPr>
              <w:t>Juzgado</w:t>
            </w:r>
            <w:proofErr w:type="gramEnd"/>
            <w:r w:rsidRPr="00CF7396">
              <w:rPr>
                <w:color w:val="000000" w:themeColor="text1"/>
              </w:rPr>
              <w:t xml:space="preserve"> Civil del Primer Circuito Judicial de la Zona Atlántica.</w:t>
            </w:r>
          </w:p>
          <w:p w14:paraId="6E31C6A1" w14:textId="77777777" w:rsidR="00CF7396" w:rsidRPr="00CF7396" w:rsidRDefault="00CF7396" w:rsidP="00CF7396">
            <w:pPr>
              <w:numPr>
                <w:ilvl w:val="0"/>
                <w:numId w:val="48"/>
              </w:numPr>
              <w:suppressAutoHyphens w:val="0"/>
              <w:ind w:left="345"/>
              <w:jc w:val="both"/>
              <w:rPr>
                <w:color w:val="000000" w:themeColor="text1"/>
              </w:rPr>
            </w:pPr>
            <w:r w:rsidRPr="00CF7396">
              <w:rPr>
                <w:color w:val="000000" w:themeColor="text1"/>
              </w:rPr>
              <w:t xml:space="preserve">6 </w:t>
            </w:r>
            <w:proofErr w:type="gramStart"/>
            <w:r w:rsidRPr="00CF7396">
              <w:rPr>
                <w:color w:val="000000" w:themeColor="text1"/>
              </w:rPr>
              <w:t>Juzgado</w:t>
            </w:r>
            <w:proofErr w:type="gramEnd"/>
            <w:r w:rsidRPr="00CF7396">
              <w:rPr>
                <w:color w:val="000000" w:themeColor="text1"/>
              </w:rPr>
              <w:t xml:space="preserve"> Penal de </w:t>
            </w:r>
            <w:proofErr w:type="spellStart"/>
            <w:r w:rsidRPr="00CF7396">
              <w:rPr>
                <w:color w:val="000000" w:themeColor="text1"/>
              </w:rPr>
              <w:t>Bribrí</w:t>
            </w:r>
            <w:proofErr w:type="spellEnd"/>
            <w:r w:rsidRPr="00CF7396">
              <w:rPr>
                <w:color w:val="000000" w:themeColor="text1"/>
              </w:rPr>
              <w:t>.</w:t>
            </w:r>
          </w:p>
          <w:p w14:paraId="069E0CE5" w14:textId="77777777" w:rsidR="00CF7396" w:rsidRPr="00CF7396" w:rsidRDefault="00CF7396" w:rsidP="00CF7396">
            <w:pPr>
              <w:numPr>
                <w:ilvl w:val="0"/>
                <w:numId w:val="48"/>
              </w:numPr>
              <w:suppressAutoHyphens w:val="0"/>
              <w:ind w:left="345"/>
              <w:jc w:val="both"/>
              <w:rPr>
                <w:color w:val="000000" w:themeColor="text1"/>
              </w:rPr>
            </w:pPr>
            <w:r w:rsidRPr="00CF7396">
              <w:rPr>
                <w:color w:val="000000" w:themeColor="text1"/>
              </w:rPr>
              <w:t xml:space="preserve">5 </w:t>
            </w:r>
            <w:proofErr w:type="gramStart"/>
            <w:r w:rsidRPr="00CF7396">
              <w:rPr>
                <w:color w:val="000000" w:themeColor="text1"/>
              </w:rPr>
              <w:t>Juzgado</w:t>
            </w:r>
            <w:proofErr w:type="gramEnd"/>
            <w:r w:rsidRPr="00CF7396">
              <w:rPr>
                <w:color w:val="000000" w:themeColor="text1"/>
              </w:rPr>
              <w:t xml:space="preserve"> Agrario del Primer Circuito Judicial de la Zona Atlántica.</w:t>
            </w:r>
          </w:p>
          <w:p w14:paraId="78617126" w14:textId="77777777" w:rsidR="00CF7396" w:rsidRPr="00CF7396" w:rsidRDefault="00CF7396" w:rsidP="00CF7396">
            <w:pPr>
              <w:numPr>
                <w:ilvl w:val="0"/>
                <w:numId w:val="48"/>
              </w:numPr>
              <w:suppressAutoHyphens w:val="0"/>
              <w:ind w:left="345"/>
              <w:jc w:val="both"/>
              <w:rPr>
                <w:color w:val="000000" w:themeColor="text1"/>
              </w:rPr>
            </w:pPr>
            <w:r w:rsidRPr="00CF7396">
              <w:rPr>
                <w:color w:val="000000" w:themeColor="text1"/>
              </w:rPr>
              <w:t xml:space="preserve">2 </w:t>
            </w:r>
            <w:proofErr w:type="gramStart"/>
            <w:r w:rsidRPr="00CF7396">
              <w:rPr>
                <w:color w:val="000000" w:themeColor="text1"/>
              </w:rPr>
              <w:t>Administración</w:t>
            </w:r>
            <w:proofErr w:type="gramEnd"/>
            <w:r w:rsidRPr="00CF7396">
              <w:rPr>
                <w:color w:val="000000" w:themeColor="text1"/>
              </w:rPr>
              <w:t xml:space="preserve"> Regional del Primer Circuito Judicial de la Zona Atlántica.</w:t>
            </w:r>
          </w:p>
        </w:tc>
      </w:tr>
    </w:tbl>
    <w:p w14:paraId="79BFB23A" w14:textId="77777777" w:rsidR="00CF7396" w:rsidRPr="00CF7396" w:rsidRDefault="00CF7396" w:rsidP="00CF7396">
      <w:pPr>
        <w:ind w:left="993" w:right="1043"/>
        <w:jc w:val="center"/>
        <w:rPr>
          <w:color w:val="000000" w:themeColor="text1"/>
          <w:lang w:val="es-CR" w:eastAsia="es-CR"/>
        </w:rPr>
      </w:pPr>
      <w:r w:rsidRPr="00CF7396">
        <w:rPr>
          <w:b/>
          <w:bCs/>
          <w:color w:val="000000" w:themeColor="text1"/>
          <w:lang w:val="es-CR" w:eastAsia="es-CR"/>
        </w:rPr>
        <w:t>Fuente:</w:t>
      </w:r>
      <w:r w:rsidRPr="00CF7396">
        <w:rPr>
          <w:color w:val="000000" w:themeColor="text1"/>
          <w:lang w:val="es-CR" w:eastAsia="es-CR"/>
        </w:rPr>
        <w:t xml:space="preserve"> Datos obtenidos de la intranet de la Dirección de Planificación: </w:t>
      </w:r>
      <w:hyperlink r:id="rId41" w:history="1">
        <w:r w:rsidRPr="00CF7396">
          <w:rPr>
            <w:color w:val="000000" w:themeColor="text1"/>
            <w:u w:val="single"/>
            <w:lang w:val="es-CR"/>
          </w:rPr>
          <w:t>Modelo de Seguimiento y Sostenibilidad (poder-judicial.go.cr)</w:t>
        </w:r>
      </w:hyperlink>
    </w:p>
    <w:p w14:paraId="4A25634A" w14:textId="77777777" w:rsidR="00CF7396" w:rsidRPr="00CF7396" w:rsidRDefault="00CF7396" w:rsidP="00CF7396">
      <w:pPr>
        <w:jc w:val="center"/>
        <w:rPr>
          <w:color w:val="000000" w:themeColor="text1"/>
          <w:lang w:val="es-CR" w:eastAsia="es-CR"/>
        </w:rPr>
      </w:pPr>
    </w:p>
    <w:p w14:paraId="175EF06B"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eastAsia="es-CR"/>
        </w:rPr>
        <w:t>El despacho en dónde se realizaron más planes de trabajo fue el Juzgado de Cobro, el Tribunal Penal y el Juzgado de Trabajo del Primer Circuito Judicial de la Zona Atlántica, representando un 35%, 19% y 10%, respectivamente, del total de los 164 planes de trabajo formulados durante el 2021.</w:t>
      </w:r>
    </w:p>
    <w:p w14:paraId="3039E6E1" w14:textId="77777777" w:rsidR="00CF7396" w:rsidRPr="00CF7396" w:rsidRDefault="00CF7396" w:rsidP="00CF7396">
      <w:pPr>
        <w:ind w:left="851" w:right="851" w:firstLine="709"/>
        <w:jc w:val="both"/>
        <w:rPr>
          <w:color w:val="000000" w:themeColor="text1"/>
          <w:lang w:val="es-CR"/>
        </w:rPr>
      </w:pPr>
    </w:p>
    <w:p w14:paraId="385B0D72"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A continuación, se muestra un resumen de los diversos planes de trabajo aplicados en los despachos del Primer Circuito Judicial de la Zona Atlántica:</w:t>
      </w:r>
    </w:p>
    <w:p w14:paraId="181FA1BD" w14:textId="77777777" w:rsidR="00CF7396" w:rsidRPr="00CF7396" w:rsidRDefault="00CF7396" w:rsidP="00CF7396">
      <w:pPr>
        <w:jc w:val="both"/>
        <w:rPr>
          <w:color w:val="000000" w:themeColor="text1"/>
          <w:lang w:val="es-CR" w:eastAsia="es-CR"/>
        </w:rPr>
      </w:pPr>
    </w:p>
    <w:p w14:paraId="108C828A" w14:textId="77777777" w:rsidR="00CF7396" w:rsidRPr="00CF7396" w:rsidRDefault="00CF7396" w:rsidP="00CF7396">
      <w:pPr>
        <w:numPr>
          <w:ilvl w:val="0"/>
          <w:numId w:val="54"/>
        </w:numPr>
        <w:jc w:val="both"/>
        <w:rPr>
          <w:b/>
          <w:color w:val="000000" w:themeColor="text1"/>
          <w:lang w:val="es-CR" w:eastAsia="es-CR"/>
        </w:rPr>
      </w:pPr>
      <w:r w:rsidRPr="00CF7396">
        <w:rPr>
          <w:b/>
          <w:bCs/>
          <w:color w:val="000000" w:themeColor="text1"/>
          <w:lang w:val="es-CR" w:eastAsia="es-CR"/>
        </w:rPr>
        <w:t>Juzgado de Cobro del Primer Circuito Judicial de la Zona Atlántica:</w:t>
      </w:r>
      <w:r w:rsidRPr="00CF7396">
        <w:rPr>
          <w:color w:val="000000" w:themeColor="text1"/>
          <w:lang w:val="es-CR" w:eastAsia="es-CR"/>
        </w:rPr>
        <w:t xml:space="preserve"> </w:t>
      </w:r>
    </w:p>
    <w:p w14:paraId="7978A86B" w14:textId="77777777" w:rsidR="00CF7396" w:rsidRPr="00CF7396" w:rsidRDefault="00CF7396" w:rsidP="00CF7396">
      <w:pPr>
        <w:ind w:left="720"/>
        <w:jc w:val="both"/>
        <w:rPr>
          <w:b/>
          <w:bCs/>
          <w:color w:val="000000" w:themeColor="text1"/>
          <w:lang w:val="es-CR" w:eastAsia="es-CR"/>
        </w:rPr>
      </w:pPr>
    </w:p>
    <w:tbl>
      <w:tblPr>
        <w:tblStyle w:val="Tablaconcuadrcula"/>
        <w:tblW w:w="0" w:type="auto"/>
        <w:jc w:val="center"/>
        <w:tblLook w:val="04A0" w:firstRow="1" w:lastRow="0" w:firstColumn="1" w:lastColumn="0" w:noHBand="0" w:noVBand="1"/>
      </w:tblPr>
      <w:tblGrid>
        <w:gridCol w:w="2943"/>
        <w:gridCol w:w="4140"/>
        <w:gridCol w:w="43"/>
      </w:tblGrid>
      <w:tr w:rsidR="00CF7396" w:rsidRPr="00CF7396" w14:paraId="34AA9831" w14:textId="77777777" w:rsidTr="00AF369B">
        <w:trPr>
          <w:jc w:val="center"/>
        </w:trPr>
        <w:tc>
          <w:tcPr>
            <w:tcW w:w="2943" w:type="dxa"/>
            <w:shd w:val="clear" w:color="auto" w:fill="244061" w:themeFill="accent1" w:themeFillShade="80"/>
          </w:tcPr>
          <w:p w14:paraId="24E20B3B" w14:textId="77777777" w:rsidR="00CF7396" w:rsidRPr="00CF7396" w:rsidRDefault="00CF7396" w:rsidP="00CF7396">
            <w:pPr>
              <w:jc w:val="center"/>
              <w:rPr>
                <w:b/>
                <w:color w:val="000000" w:themeColor="text1"/>
              </w:rPr>
            </w:pPr>
            <w:r w:rsidRPr="00CF7396">
              <w:rPr>
                <w:b/>
                <w:color w:val="000000" w:themeColor="text1"/>
              </w:rPr>
              <w:t>Cantidad de planes de trabajo</w:t>
            </w:r>
          </w:p>
        </w:tc>
        <w:tc>
          <w:tcPr>
            <w:tcW w:w="4140" w:type="dxa"/>
            <w:gridSpan w:val="2"/>
            <w:shd w:val="clear" w:color="auto" w:fill="244061" w:themeFill="accent1" w:themeFillShade="80"/>
          </w:tcPr>
          <w:p w14:paraId="0ED5A1BD" w14:textId="77777777" w:rsidR="00CF7396" w:rsidRPr="00CF7396" w:rsidRDefault="00CF7396" w:rsidP="00CF7396">
            <w:pPr>
              <w:jc w:val="center"/>
              <w:rPr>
                <w:b/>
                <w:color w:val="000000" w:themeColor="text1"/>
              </w:rPr>
            </w:pPr>
            <w:r w:rsidRPr="00CF7396">
              <w:rPr>
                <w:b/>
                <w:color w:val="000000" w:themeColor="text1"/>
              </w:rPr>
              <w:t>Tipo de Plan de Trabajo</w:t>
            </w:r>
          </w:p>
        </w:tc>
      </w:tr>
      <w:tr w:rsidR="00CF7396" w:rsidRPr="00CF7396" w14:paraId="2E8002C4" w14:textId="77777777" w:rsidTr="00AF369B">
        <w:trPr>
          <w:gridAfter w:val="1"/>
          <w:wAfter w:w="43" w:type="dxa"/>
          <w:jc w:val="center"/>
        </w:trPr>
        <w:tc>
          <w:tcPr>
            <w:tcW w:w="2943" w:type="dxa"/>
          </w:tcPr>
          <w:p w14:paraId="0F9D630D" w14:textId="77777777" w:rsidR="00CF7396" w:rsidRPr="00CF7396" w:rsidRDefault="00CF7396" w:rsidP="00CF7396">
            <w:pPr>
              <w:jc w:val="center"/>
              <w:rPr>
                <w:color w:val="000000" w:themeColor="text1"/>
              </w:rPr>
            </w:pPr>
            <w:r w:rsidRPr="00CF7396">
              <w:rPr>
                <w:color w:val="000000" w:themeColor="text1"/>
              </w:rPr>
              <w:t>51 planes de trabajo (con recursos supernumerarios)</w:t>
            </w:r>
          </w:p>
          <w:p w14:paraId="23ED95A2" w14:textId="77777777" w:rsidR="00CF7396" w:rsidRPr="00CF7396" w:rsidRDefault="00CF7396" w:rsidP="00CF7396">
            <w:pPr>
              <w:jc w:val="center"/>
              <w:rPr>
                <w:color w:val="000000" w:themeColor="text1"/>
              </w:rPr>
            </w:pPr>
            <w:r w:rsidRPr="00CF7396">
              <w:rPr>
                <w:color w:val="000000" w:themeColor="text1"/>
              </w:rPr>
              <w:t>5 planes remediales</w:t>
            </w:r>
          </w:p>
        </w:tc>
        <w:tc>
          <w:tcPr>
            <w:tcW w:w="4140" w:type="dxa"/>
          </w:tcPr>
          <w:p w14:paraId="6C922C42"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28 planes para demandas nuevas</w:t>
            </w:r>
          </w:p>
          <w:p w14:paraId="3EB8D9F6"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10 planes ajustando la composición de la cuota de trabajo del personal titular.</w:t>
            </w:r>
          </w:p>
          <w:p w14:paraId="548E811E"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6 planes para depurar expedientes</w:t>
            </w:r>
          </w:p>
          <w:p w14:paraId="79FC3210"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5 planes para firma de proveído</w:t>
            </w:r>
          </w:p>
          <w:p w14:paraId="5B198BAB"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4 planes para el puesto de Manifestación y la titular apoyar en liquidaciones y escritos</w:t>
            </w:r>
          </w:p>
          <w:p w14:paraId="7E1002B3"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2 planes para dictado de sentencia</w:t>
            </w:r>
          </w:p>
          <w:p w14:paraId="4744763A"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2 planes para trámite de escritos.</w:t>
            </w:r>
          </w:p>
          <w:p w14:paraId="287869CF" w14:textId="77777777" w:rsidR="00CF7396" w:rsidRPr="00CF7396" w:rsidRDefault="00CF7396" w:rsidP="00CF7396">
            <w:pPr>
              <w:jc w:val="center"/>
              <w:rPr>
                <w:color w:val="000000" w:themeColor="text1"/>
              </w:rPr>
            </w:pPr>
          </w:p>
        </w:tc>
      </w:tr>
    </w:tbl>
    <w:p w14:paraId="7FF6E780" w14:textId="77777777" w:rsidR="00CF7396" w:rsidRPr="00CF7396" w:rsidRDefault="00CF7396" w:rsidP="00CF7396">
      <w:pPr>
        <w:ind w:left="709" w:right="902"/>
        <w:jc w:val="center"/>
        <w:rPr>
          <w:color w:val="000000" w:themeColor="text1"/>
          <w:lang w:val="es-CR" w:eastAsia="es-CR"/>
        </w:rPr>
      </w:pPr>
      <w:r w:rsidRPr="00CF7396">
        <w:rPr>
          <w:b/>
          <w:bCs/>
          <w:color w:val="000000" w:themeColor="text1"/>
          <w:lang w:val="es-CR" w:eastAsia="es-CR"/>
        </w:rPr>
        <w:t>Fuente:</w:t>
      </w:r>
      <w:r w:rsidRPr="00CF7396">
        <w:rPr>
          <w:color w:val="000000" w:themeColor="text1"/>
          <w:lang w:val="es-CR" w:eastAsia="es-CR"/>
        </w:rPr>
        <w:t xml:space="preserve"> Datos obtenidos de la intranet de la Dirección de Planificación: </w:t>
      </w:r>
      <w:hyperlink r:id="rId42" w:history="1">
        <w:r w:rsidRPr="00CF7396">
          <w:rPr>
            <w:color w:val="000000" w:themeColor="text1"/>
            <w:u w:val="single"/>
            <w:lang w:val="es-CR"/>
          </w:rPr>
          <w:t>Modelo de Seguimiento y Sostenibilidad (poder-judicial.go.cr)</w:t>
        </w:r>
      </w:hyperlink>
    </w:p>
    <w:p w14:paraId="3E1C1296" w14:textId="77777777" w:rsidR="00CF7396" w:rsidRPr="00CF7396" w:rsidRDefault="00CF7396" w:rsidP="00CF7396">
      <w:pPr>
        <w:ind w:left="709"/>
        <w:jc w:val="center"/>
        <w:rPr>
          <w:b/>
          <w:bCs/>
          <w:color w:val="000000" w:themeColor="text1"/>
          <w:lang w:val="es-CR" w:eastAsia="es-CR"/>
        </w:rPr>
      </w:pPr>
    </w:p>
    <w:p w14:paraId="5601CC59"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Desde enero y hasta diciembre del 2021 se realizaron un total de 57 planes de trabajo en el Juzgado de Cobro del Primer Circuito Judicial de la Zona Atlántica siendo 51 planes de trabajo y 6 planes remediales; el principal fue el de dos personas técnicas y una persona juzgadora supernumeraria para tramitar demandas nuevas (28 planes en total), así como ajuste en la cuota de trabajo del personal de planta del despacho (10 planes), lo anterior debido a la gran cantidad de ingreso de asuntos y al circulante con que cuenta el despacho expuestos en el punto 3.1. Los resultados obtenidos fueron muy positivos por cuanto para abril del 2022 las demandas nuevas se encontraron al día.</w:t>
      </w:r>
    </w:p>
    <w:p w14:paraId="1E095397" w14:textId="77777777" w:rsidR="00CF7396" w:rsidRPr="00CF7396" w:rsidRDefault="00CF7396" w:rsidP="00CF7396">
      <w:pPr>
        <w:ind w:left="851" w:right="851" w:firstLine="709"/>
        <w:jc w:val="both"/>
        <w:rPr>
          <w:color w:val="000000" w:themeColor="text1"/>
          <w:lang w:val="es-CR" w:eastAsia="es-CR"/>
        </w:rPr>
      </w:pPr>
    </w:p>
    <w:p w14:paraId="66D898DA"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Igualmente se formularon planes de trabajo con una persona técnica supernumeraria para colaborar en la depuración de expedientes (5 planes) en marzo, abril, junio, julio (también apoyo con atención de llamadas telefónicas) y diciembre. Igualmente, en diciembre se realizó un plan para que el despacho realizara una depuración de aquellas tareas vencidas en caso de que aplicara alguna actualización o seguimiento.</w:t>
      </w:r>
    </w:p>
    <w:p w14:paraId="1E6CCA99" w14:textId="77777777" w:rsidR="00CF7396" w:rsidRPr="00CF7396" w:rsidRDefault="00CF7396" w:rsidP="00CF7396">
      <w:pPr>
        <w:ind w:left="851" w:right="851" w:firstLine="709"/>
        <w:jc w:val="both"/>
        <w:rPr>
          <w:color w:val="000000" w:themeColor="text1"/>
          <w:lang w:val="es-CR" w:eastAsia="es-CR"/>
        </w:rPr>
      </w:pPr>
    </w:p>
    <w:p w14:paraId="4EA51C88"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En cuanto a los planes correspondientes a la firma de proveído (5 planes), en setiembre se formuló un plan para que el Juez 3 actualizara lo pendiente de firma, lo cual no tuvo el efecto esperado. En octubre se realizó un plan de 1 al 18 de octubre del 2021 para que el personal juzgador de planta tuviera como recargo la firma de liquidaciones y escritos debido a la colaboración adicional que contaban con una persona supernumeraria; posteriormente del 19 al 31 de octubre del 2021 tendría el recargo de escritos que realizaría una técnica supernumeraria. En noviembre se formuló un plan para que las personas juzgadoras tomarán acciones sobre las liquidaciones pendientes que contaba la persona técnica judicial 5 titular. Y en noviembre se apoyó con una plaza supernumeraria juzgadora para la firma de dos personas técnicas judiciales y liquidaciones.</w:t>
      </w:r>
    </w:p>
    <w:p w14:paraId="2F447C27" w14:textId="77777777" w:rsidR="00CF7396" w:rsidRPr="00CF7396" w:rsidRDefault="00CF7396" w:rsidP="00CF7396">
      <w:pPr>
        <w:ind w:left="851" w:right="851" w:firstLine="709"/>
        <w:jc w:val="both"/>
        <w:rPr>
          <w:color w:val="000000" w:themeColor="text1"/>
          <w:lang w:val="es-CR" w:eastAsia="es-CR"/>
        </w:rPr>
      </w:pPr>
    </w:p>
    <w:p w14:paraId="715BA979"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Igualmente se apoyó en el puesto de Manifestación (4 planes) en octubre y noviembre, para que la titular apoyará con liquidaciones del 1 hasta el 18 de octubre y con escritos del 19 al 31 de octubre del 2021.</w:t>
      </w:r>
    </w:p>
    <w:p w14:paraId="648187D5" w14:textId="77777777" w:rsidR="00CF7396" w:rsidRPr="00CF7396" w:rsidRDefault="00CF7396" w:rsidP="00CF7396">
      <w:pPr>
        <w:ind w:left="851" w:right="851" w:firstLine="709"/>
        <w:jc w:val="both"/>
        <w:rPr>
          <w:color w:val="000000" w:themeColor="text1"/>
          <w:lang w:val="es-CR" w:eastAsia="es-CR"/>
        </w:rPr>
      </w:pPr>
    </w:p>
    <w:p w14:paraId="5844E067"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 xml:space="preserve">En marzo se realizó un plan de trabajo con las personas juzgadoras titulares para que fallaran expedientes por orden de antigüedad y dándoles prioridad, en vista que se brindó apoyo con una plaza juzgadora supernumeraria para fallo de expedientes pendientes. </w:t>
      </w:r>
    </w:p>
    <w:p w14:paraId="6561AA14" w14:textId="77777777" w:rsidR="00CF7396" w:rsidRPr="00CF7396" w:rsidRDefault="00CF7396" w:rsidP="00CF7396">
      <w:pPr>
        <w:ind w:left="851" w:right="851" w:firstLine="709"/>
        <w:jc w:val="both"/>
        <w:rPr>
          <w:color w:val="000000" w:themeColor="text1"/>
          <w:lang w:val="es-CR" w:eastAsia="es-CR"/>
        </w:rPr>
      </w:pPr>
    </w:p>
    <w:p w14:paraId="6EC6B939"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Finalmente, el 17 de noviembre del 2021 inició el plan de trabajo cobro-civil 720-PLA-EV-2021, al respecto se realizaron planes de trabajo para reforzar en noviembre y diciembre, con una persona técnica supernumeraria para el trámite de escritos debido a la curva de aprendizaje de las personas técnicas de civil; así como se brindó a una persona juzgadora supernumeraria por tiempo completo para la firma de las tres técnicas judiciales de Civil.</w:t>
      </w:r>
    </w:p>
    <w:p w14:paraId="58BCB87E" w14:textId="77777777" w:rsidR="00CF7396" w:rsidRPr="00CF7396" w:rsidRDefault="00CF7396" w:rsidP="00CF7396">
      <w:pPr>
        <w:jc w:val="both"/>
        <w:rPr>
          <w:color w:val="000000" w:themeColor="text1"/>
          <w:lang w:val="es-CR" w:eastAsia="es-CR"/>
        </w:rPr>
      </w:pPr>
      <w:r w:rsidRPr="00CF7396">
        <w:rPr>
          <w:color w:val="000000" w:themeColor="text1"/>
          <w:lang w:val="es-CR" w:eastAsia="es-CR"/>
        </w:rPr>
        <w:t xml:space="preserve"> </w:t>
      </w:r>
    </w:p>
    <w:p w14:paraId="5AFE8C1E" w14:textId="77777777" w:rsidR="00CF7396" w:rsidRPr="00CF7396" w:rsidRDefault="00CF7396" w:rsidP="00CF7396">
      <w:pPr>
        <w:numPr>
          <w:ilvl w:val="0"/>
          <w:numId w:val="54"/>
        </w:numPr>
        <w:jc w:val="both"/>
        <w:rPr>
          <w:b/>
          <w:bCs/>
          <w:color w:val="000000" w:themeColor="text1"/>
          <w:lang w:val="es-CR" w:eastAsia="es-CR"/>
        </w:rPr>
      </w:pPr>
      <w:r w:rsidRPr="00CF7396">
        <w:rPr>
          <w:b/>
          <w:bCs/>
          <w:color w:val="000000" w:themeColor="text1"/>
          <w:lang w:val="es-CR" w:eastAsia="es-CR"/>
        </w:rPr>
        <w:t>Tribunal Penal del Primer Circuito Judicial de la Zona Atlántica:</w:t>
      </w:r>
    </w:p>
    <w:p w14:paraId="72524CA3" w14:textId="77777777" w:rsidR="00CF7396" w:rsidRPr="00CF7396" w:rsidRDefault="00CF7396" w:rsidP="00CF7396">
      <w:pPr>
        <w:ind w:left="720"/>
        <w:jc w:val="both"/>
        <w:rPr>
          <w:b/>
          <w:bCs/>
          <w:color w:val="000000" w:themeColor="text1"/>
          <w:lang w:val="es-CR" w:eastAsia="es-CR"/>
        </w:rPr>
      </w:pPr>
    </w:p>
    <w:tbl>
      <w:tblPr>
        <w:tblStyle w:val="Tablaconcuadrcula"/>
        <w:tblW w:w="0" w:type="auto"/>
        <w:jc w:val="center"/>
        <w:tblLook w:val="04A0" w:firstRow="1" w:lastRow="0" w:firstColumn="1" w:lastColumn="0" w:noHBand="0" w:noVBand="1"/>
      </w:tblPr>
      <w:tblGrid>
        <w:gridCol w:w="2943"/>
        <w:gridCol w:w="5557"/>
        <w:gridCol w:w="43"/>
      </w:tblGrid>
      <w:tr w:rsidR="00CF7396" w:rsidRPr="00CF7396" w14:paraId="3ADDBBD8" w14:textId="77777777" w:rsidTr="00AF369B">
        <w:trPr>
          <w:jc w:val="center"/>
        </w:trPr>
        <w:tc>
          <w:tcPr>
            <w:tcW w:w="2943" w:type="dxa"/>
            <w:shd w:val="clear" w:color="auto" w:fill="244061" w:themeFill="accent1" w:themeFillShade="80"/>
          </w:tcPr>
          <w:p w14:paraId="5A52FF13" w14:textId="77777777" w:rsidR="00CF7396" w:rsidRPr="00CF7396" w:rsidRDefault="00CF7396" w:rsidP="00CF7396">
            <w:pPr>
              <w:jc w:val="center"/>
              <w:rPr>
                <w:b/>
                <w:bCs/>
                <w:color w:val="000000" w:themeColor="text1"/>
              </w:rPr>
            </w:pPr>
            <w:r w:rsidRPr="00CF7396">
              <w:rPr>
                <w:b/>
                <w:bCs/>
                <w:color w:val="000000" w:themeColor="text1"/>
              </w:rPr>
              <w:t>Cantidad de planes de trabajo</w:t>
            </w:r>
          </w:p>
        </w:tc>
        <w:tc>
          <w:tcPr>
            <w:tcW w:w="5557" w:type="dxa"/>
            <w:gridSpan w:val="2"/>
            <w:shd w:val="clear" w:color="auto" w:fill="244061" w:themeFill="accent1" w:themeFillShade="80"/>
          </w:tcPr>
          <w:p w14:paraId="3D107177" w14:textId="77777777" w:rsidR="00CF7396" w:rsidRPr="00CF7396" w:rsidRDefault="00CF7396" w:rsidP="00CF7396">
            <w:pPr>
              <w:jc w:val="center"/>
              <w:rPr>
                <w:b/>
                <w:bCs/>
                <w:color w:val="000000" w:themeColor="text1"/>
              </w:rPr>
            </w:pPr>
            <w:r w:rsidRPr="00CF7396">
              <w:rPr>
                <w:b/>
                <w:bCs/>
                <w:color w:val="000000" w:themeColor="text1"/>
              </w:rPr>
              <w:t>Tipo de Plan de Trabajo</w:t>
            </w:r>
          </w:p>
        </w:tc>
      </w:tr>
      <w:tr w:rsidR="00CF7396" w:rsidRPr="00CF7396" w14:paraId="24FB221D" w14:textId="77777777" w:rsidTr="00AF369B">
        <w:trPr>
          <w:gridAfter w:val="1"/>
          <w:wAfter w:w="43" w:type="dxa"/>
          <w:jc w:val="center"/>
        </w:trPr>
        <w:tc>
          <w:tcPr>
            <w:tcW w:w="2943" w:type="dxa"/>
          </w:tcPr>
          <w:p w14:paraId="677C3099" w14:textId="77777777" w:rsidR="00CF7396" w:rsidRPr="00CF7396" w:rsidRDefault="00CF7396" w:rsidP="00CF7396">
            <w:pPr>
              <w:jc w:val="center"/>
              <w:rPr>
                <w:color w:val="000000" w:themeColor="text1"/>
              </w:rPr>
            </w:pPr>
            <w:r w:rsidRPr="00CF7396">
              <w:rPr>
                <w:color w:val="000000" w:themeColor="text1"/>
              </w:rPr>
              <w:t>31 planes de trabajo (con recurso supernumerario)</w:t>
            </w:r>
          </w:p>
          <w:p w14:paraId="22614356" w14:textId="77777777" w:rsidR="00CF7396" w:rsidRPr="00CF7396" w:rsidRDefault="00CF7396" w:rsidP="00CF7396">
            <w:pPr>
              <w:jc w:val="center"/>
              <w:rPr>
                <w:color w:val="000000" w:themeColor="text1"/>
              </w:rPr>
            </w:pPr>
          </w:p>
        </w:tc>
        <w:tc>
          <w:tcPr>
            <w:tcW w:w="5557" w:type="dxa"/>
          </w:tcPr>
          <w:p w14:paraId="08610759"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18 planes para trámite</w:t>
            </w:r>
          </w:p>
          <w:p w14:paraId="0D63914A"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 xml:space="preserve">10 planes para el puesto de Manifestación y el titular se </w:t>
            </w:r>
            <w:proofErr w:type="gramStart"/>
            <w:r w:rsidRPr="00CF7396">
              <w:rPr>
                <w:color w:val="000000" w:themeColor="text1"/>
              </w:rPr>
              <w:t>aboque</w:t>
            </w:r>
            <w:proofErr w:type="gramEnd"/>
            <w:r w:rsidRPr="00CF7396">
              <w:rPr>
                <w:color w:val="000000" w:themeColor="text1"/>
              </w:rPr>
              <w:t xml:space="preserve"> a técnico de juicio</w:t>
            </w:r>
          </w:p>
          <w:p w14:paraId="3FC980F3"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2 planes para depuraciones de evidencias</w:t>
            </w:r>
          </w:p>
          <w:p w14:paraId="3064C58B"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 xml:space="preserve">1 </w:t>
            </w:r>
            <w:proofErr w:type="gramStart"/>
            <w:r w:rsidRPr="00CF7396">
              <w:rPr>
                <w:color w:val="000000" w:themeColor="text1"/>
              </w:rPr>
              <w:t>Capacitación</w:t>
            </w:r>
            <w:proofErr w:type="gramEnd"/>
            <w:r w:rsidRPr="00CF7396">
              <w:rPr>
                <w:color w:val="000000" w:themeColor="text1"/>
              </w:rPr>
              <w:t xml:space="preserve"> para la persona técnica supernumeraria</w:t>
            </w:r>
          </w:p>
        </w:tc>
      </w:tr>
    </w:tbl>
    <w:p w14:paraId="51588A5A" w14:textId="77777777" w:rsidR="00CF7396" w:rsidRPr="00CF7396" w:rsidRDefault="00CF7396" w:rsidP="00CF7396">
      <w:pPr>
        <w:ind w:left="142" w:right="193"/>
        <w:jc w:val="both"/>
        <w:rPr>
          <w:color w:val="000000" w:themeColor="text1"/>
          <w:lang w:val="es-CR" w:eastAsia="es-CR"/>
        </w:rPr>
      </w:pPr>
      <w:r w:rsidRPr="00CF7396">
        <w:rPr>
          <w:b/>
          <w:bCs/>
          <w:color w:val="000000" w:themeColor="text1"/>
          <w:lang w:val="es-CR" w:eastAsia="es-CR"/>
        </w:rPr>
        <w:t>Fuente:</w:t>
      </w:r>
      <w:r w:rsidRPr="00CF7396">
        <w:rPr>
          <w:color w:val="000000" w:themeColor="text1"/>
          <w:lang w:val="es-CR" w:eastAsia="es-CR"/>
        </w:rPr>
        <w:t xml:space="preserve"> Datos obtenidos de la intranet de la Dirección de Planificación: </w:t>
      </w:r>
      <w:hyperlink r:id="rId43" w:history="1">
        <w:r w:rsidRPr="00CF7396">
          <w:rPr>
            <w:color w:val="000000" w:themeColor="text1"/>
            <w:u w:val="single"/>
            <w:lang w:val="es-CR"/>
          </w:rPr>
          <w:t>Modelo de Seguimiento y Sostenibilidad (poder-judicial.go.cr)</w:t>
        </w:r>
      </w:hyperlink>
    </w:p>
    <w:p w14:paraId="4CC0740A" w14:textId="77777777" w:rsidR="00CF7396" w:rsidRPr="00CF7396" w:rsidRDefault="00CF7396" w:rsidP="00CF7396">
      <w:pPr>
        <w:rPr>
          <w:b/>
          <w:bCs/>
          <w:color w:val="000000" w:themeColor="text1"/>
          <w:lang w:val="es-CR" w:eastAsia="es-CR"/>
        </w:rPr>
      </w:pPr>
      <w:r w:rsidRPr="00CF7396">
        <w:rPr>
          <w:b/>
          <w:bCs/>
          <w:color w:val="000000" w:themeColor="text1"/>
          <w:lang w:val="es-CR" w:eastAsia="es-CR"/>
        </w:rPr>
        <w:br w:type="page"/>
      </w:r>
    </w:p>
    <w:p w14:paraId="0E307934" w14:textId="77777777" w:rsidR="00CF7396" w:rsidRPr="00CF7396" w:rsidRDefault="00CF7396" w:rsidP="00CF7396">
      <w:pPr>
        <w:ind w:left="720"/>
        <w:jc w:val="both"/>
        <w:rPr>
          <w:b/>
          <w:bCs/>
          <w:color w:val="000000" w:themeColor="text1"/>
          <w:lang w:val="es-CR" w:eastAsia="es-CR"/>
        </w:rPr>
      </w:pPr>
    </w:p>
    <w:p w14:paraId="74A683FF"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 xml:space="preserve">En el Tribunal Penal del Primer Circuito Judicial de la Zona Atlántica, se aplicaron 31 planes de trabajo; como se había indicado anteriormente, el Tribunal contó con apoyo de una plaza juzgadora supernumeraria del Centro de Apoyo, Coordinación y Mejoramiento de la Función Jurisdiccional, para realizar juicios Unipersonales en </w:t>
      </w:r>
      <w:proofErr w:type="spellStart"/>
      <w:r w:rsidRPr="00CF7396">
        <w:rPr>
          <w:color w:val="000000" w:themeColor="text1"/>
          <w:lang w:val="es-CR" w:eastAsia="es-CR"/>
        </w:rPr>
        <w:t>Bribrí</w:t>
      </w:r>
      <w:proofErr w:type="spellEnd"/>
      <w:r w:rsidRPr="00CF7396">
        <w:rPr>
          <w:color w:val="000000" w:themeColor="text1"/>
          <w:lang w:val="es-CR" w:eastAsia="es-CR"/>
        </w:rPr>
        <w:t xml:space="preserve">, por lo que en febrero y de abril hasta diciembre del 2021 se brindó la colaboración de dos personas técnicas supernumerarias; una de ellas para el puesto de Manifestación en el Tribunal (10 planes de trabajo) para que la persona titular del puesto asistiera a juicios a dicha Sección Unipersonal, así como una persona técnica supernumeraria para el trámite de expedientes de dicha plaza juzgadora (10 planes de trabajo). </w:t>
      </w:r>
    </w:p>
    <w:p w14:paraId="3322D21C" w14:textId="77777777" w:rsidR="00CF7396" w:rsidRPr="00CF7396" w:rsidRDefault="00CF7396" w:rsidP="00CF7396">
      <w:pPr>
        <w:ind w:left="851" w:right="851" w:firstLine="709"/>
        <w:jc w:val="both"/>
        <w:rPr>
          <w:color w:val="000000" w:themeColor="text1"/>
          <w:lang w:val="es-CR" w:eastAsia="es-CR"/>
        </w:rPr>
      </w:pPr>
    </w:p>
    <w:p w14:paraId="59E35B68"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Por otra parte, se efectuó 4 planes de trabajo de una persona juzgadora supernumeraria para realizar funciones de Juez o Jueza Tramitador (a), por cuanto tenían 1602 señalamientos pendientes, debido a lo anterior se apoyó de abril a julio del 2021, efectuando un total de 416 señalamientos, teniendo el plan de trabajo un impacto positivo del 26%. Dicha persona juzgadora supernumeraria conformaba parte del plan de contingencia para atender suplencias en el Circuito, por lo que no se encontraba abocada al 100% en el plan de trabajo.</w:t>
      </w:r>
    </w:p>
    <w:p w14:paraId="02367974" w14:textId="77777777" w:rsidR="00CF7396" w:rsidRPr="00CF7396" w:rsidRDefault="00CF7396" w:rsidP="00CF7396">
      <w:pPr>
        <w:ind w:left="851" w:right="851" w:firstLine="709"/>
        <w:jc w:val="both"/>
        <w:rPr>
          <w:color w:val="000000" w:themeColor="text1"/>
          <w:lang w:val="es-CR" w:eastAsia="es-CR"/>
        </w:rPr>
      </w:pPr>
    </w:p>
    <w:p w14:paraId="7EDE145B"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Adicionalmente, el Tribunal Penal tenía 2737 evidencias pendientes por depurar en agosto del 2021, con ocasión de lo anterior se formuló un plan de trabajo de agosto a diciembre con una persona técnica supernumeraria para que tramitara escritos en sustitución de la titular, para que la titular realizara la depuración, luego se modificó para que la técnica supernumeraria efectuara depuraciones debido a que dicha persona era la prioridad uno para atender el plan de contingencia de sustituciones en el Circuito. Igualmente, del 11 al 30 de noviembre del 2021 se reforzó con una técnica supernumeraria adicional para la depuración de evidencias. Al 30 de noviembre del 2021 contaban con 896 evidencias pendientes, por lo que el impacto del plan de trabajo fue significante en un 67%. Debido a lo anterior se formularon 4 planes en sustitución de la titular de trámite y dos para depuraciones de evidencias.</w:t>
      </w:r>
    </w:p>
    <w:p w14:paraId="28BFD043"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 xml:space="preserve"> </w:t>
      </w:r>
    </w:p>
    <w:p w14:paraId="61A565CA"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Finalmente, se detectó que la Administración Regional requería tener más personal supernumerario capacitado en materia penal, por lo que en setiembre del 2021 se formuló un plan de trabajo de una persona técnica supernumeraria para capacitarse.</w:t>
      </w:r>
    </w:p>
    <w:p w14:paraId="213EF337" w14:textId="77777777" w:rsidR="00CF7396" w:rsidRPr="00CF7396" w:rsidRDefault="00CF7396" w:rsidP="00CF7396">
      <w:pPr>
        <w:ind w:left="851" w:right="851" w:firstLine="709"/>
        <w:rPr>
          <w:color w:val="000000" w:themeColor="text1"/>
          <w:lang w:val="es-CR" w:eastAsia="es-CR"/>
        </w:rPr>
      </w:pPr>
      <w:r w:rsidRPr="00CF7396">
        <w:rPr>
          <w:color w:val="000000" w:themeColor="text1"/>
          <w:lang w:val="es-CR" w:eastAsia="es-CR"/>
        </w:rPr>
        <w:br w:type="page"/>
      </w:r>
    </w:p>
    <w:p w14:paraId="07054FFD" w14:textId="77777777" w:rsidR="00CF7396" w:rsidRPr="00CF7396" w:rsidRDefault="00CF7396" w:rsidP="00CF7396">
      <w:pPr>
        <w:ind w:left="720"/>
        <w:jc w:val="both"/>
        <w:rPr>
          <w:color w:val="000000" w:themeColor="text1"/>
          <w:lang w:val="es-CR" w:eastAsia="es-CR"/>
        </w:rPr>
      </w:pPr>
    </w:p>
    <w:p w14:paraId="71DA4991" w14:textId="77777777" w:rsidR="00CF7396" w:rsidRPr="00CF7396" w:rsidRDefault="00CF7396" w:rsidP="00CF7396">
      <w:pPr>
        <w:numPr>
          <w:ilvl w:val="0"/>
          <w:numId w:val="54"/>
        </w:numPr>
        <w:jc w:val="both"/>
        <w:rPr>
          <w:b/>
          <w:bCs/>
          <w:color w:val="000000" w:themeColor="text1"/>
          <w:lang w:val="es-CR" w:eastAsia="es-CR"/>
        </w:rPr>
      </w:pPr>
      <w:r w:rsidRPr="00CF7396">
        <w:rPr>
          <w:b/>
          <w:bCs/>
          <w:color w:val="000000" w:themeColor="text1"/>
          <w:lang w:val="es-CR" w:eastAsia="es-CR"/>
        </w:rPr>
        <w:t>Juzgado de Trabajo del Primer Circuito Judicial de la Zona Atlántica:</w:t>
      </w:r>
    </w:p>
    <w:p w14:paraId="5E452367" w14:textId="77777777" w:rsidR="00CF7396" w:rsidRPr="00CF7396" w:rsidRDefault="00CF7396" w:rsidP="00CF7396">
      <w:pPr>
        <w:ind w:left="720"/>
        <w:jc w:val="both"/>
        <w:rPr>
          <w:b/>
          <w:bCs/>
          <w:color w:val="000000" w:themeColor="text1"/>
          <w:lang w:val="es-CR" w:eastAsia="es-CR"/>
        </w:rPr>
      </w:pPr>
    </w:p>
    <w:tbl>
      <w:tblPr>
        <w:tblStyle w:val="Tablaconcuadrcula"/>
        <w:tblW w:w="8926" w:type="dxa"/>
        <w:jc w:val="center"/>
        <w:tblLook w:val="04A0" w:firstRow="1" w:lastRow="0" w:firstColumn="1" w:lastColumn="0" w:noHBand="0" w:noVBand="1"/>
      </w:tblPr>
      <w:tblGrid>
        <w:gridCol w:w="2943"/>
        <w:gridCol w:w="5983"/>
      </w:tblGrid>
      <w:tr w:rsidR="00CF7396" w:rsidRPr="00CF7396" w14:paraId="02E19FD7" w14:textId="77777777" w:rsidTr="00AF369B">
        <w:trPr>
          <w:jc w:val="center"/>
        </w:trPr>
        <w:tc>
          <w:tcPr>
            <w:tcW w:w="2943" w:type="dxa"/>
            <w:shd w:val="clear" w:color="auto" w:fill="244061" w:themeFill="accent1" w:themeFillShade="80"/>
          </w:tcPr>
          <w:p w14:paraId="1D6C1DA2" w14:textId="77777777" w:rsidR="00CF7396" w:rsidRPr="00CF7396" w:rsidRDefault="00CF7396" w:rsidP="00CF7396">
            <w:pPr>
              <w:jc w:val="center"/>
              <w:rPr>
                <w:b/>
                <w:bCs/>
                <w:color w:val="000000" w:themeColor="text1"/>
              </w:rPr>
            </w:pPr>
            <w:r w:rsidRPr="00CF7396">
              <w:rPr>
                <w:b/>
                <w:bCs/>
                <w:color w:val="000000" w:themeColor="text1"/>
              </w:rPr>
              <w:t>Cantidad de planes de trabajo</w:t>
            </w:r>
          </w:p>
        </w:tc>
        <w:tc>
          <w:tcPr>
            <w:tcW w:w="5983" w:type="dxa"/>
            <w:shd w:val="clear" w:color="auto" w:fill="244061" w:themeFill="accent1" w:themeFillShade="80"/>
          </w:tcPr>
          <w:p w14:paraId="57B982F4" w14:textId="77777777" w:rsidR="00CF7396" w:rsidRPr="00CF7396" w:rsidRDefault="00CF7396" w:rsidP="00CF7396">
            <w:pPr>
              <w:jc w:val="center"/>
              <w:rPr>
                <w:b/>
                <w:bCs/>
                <w:color w:val="000000" w:themeColor="text1"/>
              </w:rPr>
            </w:pPr>
            <w:r w:rsidRPr="00CF7396">
              <w:rPr>
                <w:b/>
                <w:bCs/>
                <w:color w:val="000000" w:themeColor="text1"/>
              </w:rPr>
              <w:t>Tipo de Plan de Trabajo</w:t>
            </w:r>
          </w:p>
        </w:tc>
      </w:tr>
      <w:tr w:rsidR="00CF7396" w:rsidRPr="00CF7396" w14:paraId="225B3EAD" w14:textId="77777777" w:rsidTr="00AF369B">
        <w:trPr>
          <w:jc w:val="center"/>
        </w:trPr>
        <w:tc>
          <w:tcPr>
            <w:tcW w:w="2943" w:type="dxa"/>
          </w:tcPr>
          <w:p w14:paraId="24BD9C60" w14:textId="77777777" w:rsidR="00CF7396" w:rsidRPr="00CF7396" w:rsidRDefault="00CF7396" w:rsidP="00CF7396">
            <w:pPr>
              <w:jc w:val="center"/>
              <w:rPr>
                <w:color w:val="000000" w:themeColor="text1"/>
              </w:rPr>
            </w:pPr>
            <w:r w:rsidRPr="00CF7396">
              <w:rPr>
                <w:color w:val="000000" w:themeColor="text1"/>
              </w:rPr>
              <w:t>16 planes de trabajo (personal supernumerario)</w:t>
            </w:r>
          </w:p>
          <w:p w14:paraId="1924DB3B" w14:textId="77777777" w:rsidR="00CF7396" w:rsidRPr="00CF7396" w:rsidRDefault="00CF7396" w:rsidP="00CF7396">
            <w:pPr>
              <w:jc w:val="center"/>
              <w:rPr>
                <w:color w:val="000000" w:themeColor="text1"/>
              </w:rPr>
            </w:pPr>
          </w:p>
        </w:tc>
        <w:tc>
          <w:tcPr>
            <w:tcW w:w="5983" w:type="dxa"/>
          </w:tcPr>
          <w:p w14:paraId="35FB346F"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10 planes para audiencias y dictado de sentencias</w:t>
            </w:r>
          </w:p>
          <w:p w14:paraId="0117638A"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2 planes para actualización de los sistemas</w:t>
            </w:r>
          </w:p>
          <w:p w14:paraId="7952571B"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 xml:space="preserve">2 planes para atención de llamadas telefónicas y alistar el correo electrónico </w:t>
            </w:r>
          </w:p>
          <w:p w14:paraId="66E4ACEE"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 plan para dictado de sentencia</w:t>
            </w:r>
          </w:p>
          <w:p w14:paraId="6DCB1115"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 plan para capacitación en el puesto de tramitación</w:t>
            </w:r>
          </w:p>
        </w:tc>
      </w:tr>
    </w:tbl>
    <w:p w14:paraId="218049FE" w14:textId="77777777" w:rsidR="00CF7396" w:rsidRPr="00CF7396" w:rsidRDefault="00CF7396" w:rsidP="00CF7396">
      <w:pPr>
        <w:jc w:val="both"/>
        <w:rPr>
          <w:color w:val="000000" w:themeColor="text1"/>
          <w:lang w:val="es-CR" w:eastAsia="es-CR"/>
        </w:rPr>
      </w:pPr>
      <w:r w:rsidRPr="00CF7396">
        <w:rPr>
          <w:b/>
          <w:bCs/>
          <w:color w:val="000000" w:themeColor="text1"/>
          <w:lang w:val="es-CR" w:eastAsia="es-CR"/>
        </w:rPr>
        <w:t>Fuente:</w:t>
      </w:r>
      <w:r w:rsidRPr="00CF7396">
        <w:rPr>
          <w:color w:val="000000" w:themeColor="text1"/>
          <w:lang w:val="es-CR" w:eastAsia="es-CR"/>
        </w:rPr>
        <w:t xml:space="preserve"> Datos obtenidos de la intranet de la Dirección de Planificación: </w:t>
      </w:r>
      <w:hyperlink r:id="rId44" w:history="1">
        <w:r w:rsidRPr="00CF7396">
          <w:rPr>
            <w:color w:val="000000" w:themeColor="text1"/>
            <w:u w:val="single"/>
            <w:lang w:val="es-CR"/>
          </w:rPr>
          <w:t>Modelo de Seguimiento y Sostenibilidad (poder-judicial.go.cr)</w:t>
        </w:r>
      </w:hyperlink>
    </w:p>
    <w:p w14:paraId="51A35244" w14:textId="77777777" w:rsidR="00CF7396" w:rsidRPr="00CF7396" w:rsidRDefault="00CF7396" w:rsidP="00CF7396">
      <w:pPr>
        <w:ind w:left="720"/>
        <w:jc w:val="both"/>
        <w:rPr>
          <w:b/>
          <w:bCs/>
          <w:color w:val="000000" w:themeColor="text1"/>
          <w:lang w:val="es-CR" w:eastAsia="es-CR"/>
        </w:rPr>
      </w:pPr>
    </w:p>
    <w:p w14:paraId="0197CF00"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En el Juzgado de Trabajo del Primer Circuito Judicial de la Zona Atlántica, se formularon un total de 16 planes de trabajo.</w:t>
      </w:r>
    </w:p>
    <w:p w14:paraId="37ECF3BD" w14:textId="77777777" w:rsidR="00CF7396" w:rsidRPr="00CF7396" w:rsidRDefault="00CF7396" w:rsidP="00CF7396">
      <w:pPr>
        <w:ind w:left="851" w:right="851" w:firstLine="709"/>
        <w:jc w:val="both"/>
        <w:rPr>
          <w:color w:val="000000" w:themeColor="text1"/>
          <w:lang w:val="es-CR" w:eastAsia="es-CR"/>
        </w:rPr>
      </w:pPr>
    </w:p>
    <w:p w14:paraId="184F711B"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 xml:space="preserve">Importante traer a colación, que el Consejo Superior en sesión 18-2021 del 4 de marzo del 2021, artículo XIII, -entre otros puntos- anuló parcialmente el acuerdo tomado por el Consejo de Administración del Primer Circuito Judicial de la Zona Atlántica, en sesión 5-2021, celebrada el 11 de febrero de 2021, respecto de las funciones que realizaría la persona juzgadora supernumeraria en el Juzgado de Trabajo del Primer Circuito Judicial de la Zona Atlántica. Por consiguiente, la persona juzgadora supernumeraria debería realizar las labores recomendadas por la Dirección de Planificación, propiamente las del escenario 1 indicadas en el informe 274-PLA-EV-TR-2020, que consistían en las siguientes: Señalamientos de audiencia y su respectivo dictado de sentencia. Mínimo 3 señalamientos semanales y 16 sentencias mensuales (12 de esas con audiencia). </w:t>
      </w:r>
    </w:p>
    <w:p w14:paraId="3AB2D6C6" w14:textId="77777777" w:rsidR="00CF7396" w:rsidRPr="00CF7396" w:rsidRDefault="00CF7396" w:rsidP="00CF7396">
      <w:pPr>
        <w:ind w:left="851" w:right="851" w:firstLine="709"/>
        <w:jc w:val="both"/>
        <w:rPr>
          <w:color w:val="000000" w:themeColor="text1"/>
          <w:lang w:val="es-CR" w:eastAsia="es-CR"/>
        </w:rPr>
      </w:pPr>
    </w:p>
    <w:p w14:paraId="79E64C15"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 xml:space="preserve">Con base en el anterior acuerdo, se efectuaron 10 planes de trabajo enfocados en audiencias con su respectivo dictado de sentencias de abril a junio del 2021, en julio, y de setiembre a diciembre del 2021. Al iniciar el plan de trabajo el Indicador del plazo de espera para la realización de audiencias se encontraba en 608 días y al concluir el plan en diciembre fue de 391 días; por lo que tuvo un impacto positivo del 36%. </w:t>
      </w:r>
      <w:proofErr w:type="gramStart"/>
      <w:r w:rsidRPr="00CF7396">
        <w:rPr>
          <w:color w:val="000000" w:themeColor="text1"/>
          <w:lang w:val="es-CR" w:eastAsia="es-CR"/>
        </w:rPr>
        <w:t>Destacar</w:t>
      </w:r>
      <w:proofErr w:type="gramEnd"/>
      <w:r w:rsidRPr="00CF7396">
        <w:rPr>
          <w:color w:val="000000" w:themeColor="text1"/>
          <w:lang w:val="es-CR" w:eastAsia="es-CR"/>
        </w:rPr>
        <w:t xml:space="preserve"> que para el 2022 se continúa con dicho plan de trabajo; debido a que es uno de los despachos que tienen más crítico la cantidad de audiencias pendientes.</w:t>
      </w:r>
    </w:p>
    <w:p w14:paraId="1301BFE3" w14:textId="77777777" w:rsidR="00CF7396" w:rsidRPr="00CF7396" w:rsidRDefault="00CF7396" w:rsidP="00CF7396">
      <w:pPr>
        <w:ind w:left="851" w:right="851" w:firstLine="709"/>
        <w:jc w:val="both"/>
        <w:rPr>
          <w:color w:val="000000" w:themeColor="text1"/>
          <w:lang w:val="es-CR" w:eastAsia="es-CR"/>
        </w:rPr>
      </w:pPr>
    </w:p>
    <w:p w14:paraId="452B1D7D"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Por otro lado, se formularon 2 planes de trabajo para colaborar con una persona técnica supernumeraria para la actualización de los sistemas en mayo y agosto del 2021. Así como 2 planes de trabajo asignando a una persona técnica supernumeraria para la atención de llamadas telefónicas y alistar el correo electrónico en abril y julio del 2021.</w:t>
      </w:r>
    </w:p>
    <w:p w14:paraId="22171CD4" w14:textId="77777777" w:rsidR="00CF7396" w:rsidRPr="00CF7396" w:rsidRDefault="00CF7396" w:rsidP="00CF7396">
      <w:pPr>
        <w:ind w:left="851" w:right="851" w:firstLine="709"/>
        <w:jc w:val="both"/>
        <w:rPr>
          <w:color w:val="000000" w:themeColor="text1"/>
          <w:lang w:val="es-CR" w:eastAsia="es-CR"/>
        </w:rPr>
      </w:pPr>
    </w:p>
    <w:p w14:paraId="6BB9B160"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En octubre se apoyó con un plan para el fallo de expedientes; por cuanto tenían 98 expedientes pendientes de fallo, por lo que del 1 al 11 de octubre del 2021 se colaboró en esa tarea. Para noviembre disminuyeron a 84 expedientes pendientes de fallo obteniendo un 14% de impacto.</w:t>
      </w:r>
    </w:p>
    <w:p w14:paraId="4DD6B133" w14:textId="77777777" w:rsidR="00CF7396" w:rsidRPr="00CF7396" w:rsidRDefault="00CF7396" w:rsidP="00CF7396">
      <w:pPr>
        <w:ind w:left="851" w:right="851" w:firstLine="709"/>
        <w:jc w:val="both"/>
        <w:rPr>
          <w:color w:val="000000" w:themeColor="text1"/>
          <w:lang w:val="es-CR" w:eastAsia="es-CR"/>
        </w:rPr>
      </w:pPr>
    </w:p>
    <w:p w14:paraId="4058DF26"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Finalmente, se identificó que la Administración Regional no contaba con personal técnico supernumerario capacitado en materia laboral, por lo que se formuló un plan de trabajo en julio del 2021 para que tramitara y este a su vez se capacitara.</w:t>
      </w:r>
    </w:p>
    <w:p w14:paraId="2C7584AE" w14:textId="77777777" w:rsidR="00CF7396" w:rsidRPr="00CF7396" w:rsidRDefault="00CF7396" w:rsidP="00CF7396">
      <w:pPr>
        <w:ind w:left="720"/>
        <w:jc w:val="both"/>
        <w:rPr>
          <w:color w:val="000000" w:themeColor="text1"/>
          <w:lang w:val="es-CR" w:eastAsia="es-CR"/>
        </w:rPr>
      </w:pPr>
      <w:r w:rsidRPr="00CF7396">
        <w:rPr>
          <w:color w:val="000000" w:themeColor="text1"/>
          <w:lang w:val="es-CR" w:eastAsia="es-CR"/>
        </w:rPr>
        <w:t xml:space="preserve"> </w:t>
      </w:r>
    </w:p>
    <w:p w14:paraId="336FD2D1" w14:textId="77777777" w:rsidR="00CF7396" w:rsidRPr="00CF7396" w:rsidRDefault="00CF7396" w:rsidP="00CF7396">
      <w:pPr>
        <w:numPr>
          <w:ilvl w:val="0"/>
          <w:numId w:val="54"/>
        </w:numPr>
        <w:jc w:val="both"/>
        <w:rPr>
          <w:b/>
          <w:bCs/>
          <w:color w:val="000000" w:themeColor="text1"/>
          <w:lang w:val="es-CR" w:eastAsia="es-CR"/>
        </w:rPr>
      </w:pPr>
      <w:r w:rsidRPr="00CF7396">
        <w:rPr>
          <w:b/>
          <w:bCs/>
          <w:color w:val="000000" w:themeColor="text1"/>
          <w:lang w:val="es-CR" w:eastAsia="es-CR"/>
        </w:rPr>
        <w:t xml:space="preserve">Juzgado Contravencional de </w:t>
      </w:r>
      <w:proofErr w:type="spellStart"/>
      <w:r w:rsidRPr="00CF7396">
        <w:rPr>
          <w:b/>
          <w:bCs/>
          <w:color w:val="000000" w:themeColor="text1"/>
          <w:lang w:val="es-CR" w:eastAsia="es-CR"/>
        </w:rPr>
        <w:t>Bribrí</w:t>
      </w:r>
      <w:proofErr w:type="spellEnd"/>
      <w:r w:rsidRPr="00CF7396">
        <w:rPr>
          <w:b/>
          <w:bCs/>
          <w:color w:val="000000" w:themeColor="text1"/>
          <w:lang w:val="es-CR" w:eastAsia="es-CR"/>
        </w:rPr>
        <w:t>:</w:t>
      </w:r>
    </w:p>
    <w:p w14:paraId="63F759F7" w14:textId="77777777" w:rsidR="00CF7396" w:rsidRPr="00CF7396" w:rsidRDefault="00CF7396" w:rsidP="00CF7396">
      <w:pPr>
        <w:ind w:left="720"/>
        <w:jc w:val="both"/>
        <w:rPr>
          <w:b/>
          <w:bCs/>
          <w:color w:val="000000" w:themeColor="text1"/>
          <w:lang w:val="es-CR" w:eastAsia="es-CR"/>
        </w:rPr>
      </w:pPr>
    </w:p>
    <w:tbl>
      <w:tblPr>
        <w:tblStyle w:val="Tablaconcuadrcula"/>
        <w:tblW w:w="8926" w:type="dxa"/>
        <w:jc w:val="center"/>
        <w:tblLook w:val="04A0" w:firstRow="1" w:lastRow="0" w:firstColumn="1" w:lastColumn="0" w:noHBand="0" w:noVBand="1"/>
      </w:tblPr>
      <w:tblGrid>
        <w:gridCol w:w="2943"/>
        <w:gridCol w:w="5983"/>
      </w:tblGrid>
      <w:tr w:rsidR="00CF7396" w:rsidRPr="00CF7396" w14:paraId="16F76D34" w14:textId="77777777" w:rsidTr="00AF369B">
        <w:trPr>
          <w:jc w:val="center"/>
        </w:trPr>
        <w:tc>
          <w:tcPr>
            <w:tcW w:w="2943" w:type="dxa"/>
            <w:shd w:val="clear" w:color="auto" w:fill="244061" w:themeFill="accent1" w:themeFillShade="80"/>
          </w:tcPr>
          <w:p w14:paraId="234341DB" w14:textId="77777777" w:rsidR="00CF7396" w:rsidRPr="00CF7396" w:rsidRDefault="00CF7396" w:rsidP="00CF7396">
            <w:pPr>
              <w:jc w:val="center"/>
              <w:rPr>
                <w:b/>
                <w:bCs/>
                <w:color w:val="000000" w:themeColor="text1"/>
              </w:rPr>
            </w:pPr>
            <w:r w:rsidRPr="00CF7396">
              <w:rPr>
                <w:b/>
                <w:bCs/>
                <w:color w:val="000000" w:themeColor="text1"/>
              </w:rPr>
              <w:t>Cantidad de planes de trabajo</w:t>
            </w:r>
          </w:p>
        </w:tc>
        <w:tc>
          <w:tcPr>
            <w:tcW w:w="5983" w:type="dxa"/>
            <w:shd w:val="clear" w:color="auto" w:fill="244061" w:themeFill="accent1" w:themeFillShade="80"/>
          </w:tcPr>
          <w:p w14:paraId="66424254" w14:textId="77777777" w:rsidR="00CF7396" w:rsidRPr="00CF7396" w:rsidRDefault="00CF7396" w:rsidP="00CF7396">
            <w:pPr>
              <w:jc w:val="center"/>
              <w:rPr>
                <w:b/>
                <w:bCs/>
                <w:color w:val="000000" w:themeColor="text1"/>
              </w:rPr>
            </w:pPr>
            <w:r w:rsidRPr="00CF7396">
              <w:rPr>
                <w:b/>
                <w:bCs/>
                <w:color w:val="000000" w:themeColor="text1"/>
              </w:rPr>
              <w:t>Tipo de Plan de Trabajo</w:t>
            </w:r>
          </w:p>
        </w:tc>
      </w:tr>
      <w:tr w:rsidR="00CF7396" w:rsidRPr="00CF7396" w14:paraId="5D662E31" w14:textId="77777777" w:rsidTr="00AF369B">
        <w:trPr>
          <w:jc w:val="center"/>
        </w:trPr>
        <w:tc>
          <w:tcPr>
            <w:tcW w:w="2943" w:type="dxa"/>
          </w:tcPr>
          <w:p w14:paraId="2D2531D1" w14:textId="77777777" w:rsidR="00CF7396" w:rsidRPr="00CF7396" w:rsidRDefault="00CF7396" w:rsidP="00CF7396">
            <w:pPr>
              <w:jc w:val="center"/>
              <w:rPr>
                <w:color w:val="000000" w:themeColor="text1"/>
              </w:rPr>
            </w:pPr>
            <w:r w:rsidRPr="00CF7396">
              <w:rPr>
                <w:color w:val="000000" w:themeColor="text1"/>
              </w:rPr>
              <w:t>15 planes de trabajo (con supernumerarios)</w:t>
            </w:r>
          </w:p>
          <w:p w14:paraId="06F4F52C" w14:textId="77777777" w:rsidR="00CF7396" w:rsidRPr="00CF7396" w:rsidRDefault="00CF7396" w:rsidP="00CF7396">
            <w:pPr>
              <w:jc w:val="center"/>
              <w:rPr>
                <w:color w:val="000000" w:themeColor="text1"/>
              </w:rPr>
            </w:pPr>
          </w:p>
        </w:tc>
        <w:tc>
          <w:tcPr>
            <w:tcW w:w="5983" w:type="dxa"/>
          </w:tcPr>
          <w:p w14:paraId="7E6E4F14"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6 planes para el dictado de sentencia</w:t>
            </w:r>
          </w:p>
          <w:p w14:paraId="68DCB803"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3 planes para el puesto de Manifestación para que el titular se abocara a depuración de expedientes y otras funciones.</w:t>
            </w:r>
          </w:p>
          <w:p w14:paraId="768C2DC4"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2 planes para depuración de expedientes</w:t>
            </w:r>
          </w:p>
          <w:p w14:paraId="7AC4C0DE"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 plan para la atención de apremios</w:t>
            </w:r>
          </w:p>
          <w:p w14:paraId="692810D6"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 plan para la atención de apremios, actualización de tarjetas en el Sistema de Depósitos Judiciales y atención de llamadas telefónicas.</w:t>
            </w:r>
          </w:p>
          <w:p w14:paraId="411ADC40"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 plan para la toma de denuncias</w:t>
            </w:r>
          </w:p>
          <w:p w14:paraId="3E805C6A"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 plan para el trámite de expedientes.</w:t>
            </w:r>
          </w:p>
        </w:tc>
      </w:tr>
    </w:tbl>
    <w:p w14:paraId="3406E5EB" w14:textId="77777777" w:rsidR="00CF7396" w:rsidRPr="00CF7396" w:rsidRDefault="00CF7396" w:rsidP="00CF7396">
      <w:pPr>
        <w:jc w:val="both"/>
        <w:rPr>
          <w:color w:val="000000" w:themeColor="text1"/>
          <w:lang w:val="es-CR" w:eastAsia="es-CR"/>
        </w:rPr>
      </w:pPr>
      <w:r w:rsidRPr="00CF7396">
        <w:rPr>
          <w:b/>
          <w:bCs/>
          <w:color w:val="000000" w:themeColor="text1"/>
          <w:lang w:val="es-CR" w:eastAsia="es-CR"/>
        </w:rPr>
        <w:t>Fuente:</w:t>
      </w:r>
      <w:r w:rsidRPr="00CF7396">
        <w:rPr>
          <w:color w:val="000000" w:themeColor="text1"/>
          <w:lang w:val="es-CR" w:eastAsia="es-CR"/>
        </w:rPr>
        <w:t xml:space="preserve"> Datos obtenidos de la intranet de la Dirección de Planificación: </w:t>
      </w:r>
      <w:hyperlink r:id="rId45" w:history="1">
        <w:r w:rsidRPr="00CF7396">
          <w:rPr>
            <w:color w:val="000000" w:themeColor="text1"/>
            <w:u w:val="single"/>
            <w:lang w:val="es-CR"/>
          </w:rPr>
          <w:t>Modelo de Seguimiento y Sostenibilidad (poder-judicial.go.cr)</w:t>
        </w:r>
      </w:hyperlink>
    </w:p>
    <w:p w14:paraId="07AF333A" w14:textId="77777777" w:rsidR="00CF7396" w:rsidRPr="00CF7396" w:rsidRDefault="00CF7396" w:rsidP="00CF7396">
      <w:pPr>
        <w:ind w:left="720"/>
        <w:jc w:val="both"/>
        <w:rPr>
          <w:b/>
          <w:bCs/>
          <w:color w:val="000000" w:themeColor="text1"/>
          <w:lang w:val="es-CR" w:eastAsia="es-CR"/>
        </w:rPr>
      </w:pPr>
    </w:p>
    <w:p w14:paraId="674CFD27"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 xml:space="preserve">En el Juzgado Contravencional de </w:t>
      </w:r>
      <w:proofErr w:type="spellStart"/>
      <w:r w:rsidRPr="00CF7396">
        <w:rPr>
          <w:color w:val="000000" w:themeColor="text1"/>
          <w:lang w:val="es-CR" w:eastAsia="es-CR"/>
        </w:rPr>
        <w:t>Bribrí</w:t>
      </w:r>
      <w:proofErr w:type="spellEnd"/>
      <w:r w:rsidRPr="00CF7396">
        <w:rPr>
          <w:color w:val="000000" w:themeColor="text1"/>
          <w:lang w:val="es-CR" w:eastAsia="es-CR"/>
        </w:rPr>
        <w:t xml:space="preserve">, durante el 2021 se apoyó con un total de 15 planes de trabajo de los cuales 6 de ellos fueron con una persona juzgadora supernumeraria para el dictado de sentencia en materia de Pensiones Alimentarias, de enero a marzo, del 1 al 15 de junio, en setiembre y diciembre del 2021. Al finalizar diciembre del 2020 el plazo de espera para el dictado de sentencia en materia de Pensiones Alimentarias fue de 23 días, y al concluir diciembre 2021 fue de 99 días, aumentando en un 77%; la anterior afectación en dicho Indicador es producto a que la persona juzgadora titular forma parte del Programa de Facilitadores, realiza audiencias in situ en reservas indígenas, es representante de los facilitadores a nivel nacional, debe reunirse con la Comisión de Justicia Abierta, forma parte de la estrategia itinerante, una vez al mes realiza giras para dar reuniones, charlas, capacitaciones, entre otros a Facilitadores Judiciales, forma parte de la Red de la Violencia Doméstica, es integrante del Comité Local para la Atención Inmediata y Seguimiento de casos de alto riesgo por violencia contra la mujer (CLAIS) y también realiza recepción de denuncias en zonas indígenas. </w:t>
      </w:r>
    </w:p>
    <w:p w14:paraId="0F98AD25" w14:textId="77777777" w:rsidR="00CF7396" w:rsidRPr="00CF7396" w:rsidRDefault="00CF7396" w:rsidP="00CF7396">
      <w:pPr>
        <w:ind w:left="851" w:right="851" w:firstLine="709"/>
        <w:jc w:val="both"/>
        <w:rPr>
          <w:color w:val="000000" w:themeColor="text1"/>
          <w:lang w:val="es-CR" w:eastAsia="es-CR"/>
        </w:rPr>
      </w:pPr>
    </w:p>
    <w:p w14:paraId="6F370E19"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Por otra parte, se realizaron 3 planes de trabajo para sustituir el puesto de Manifestación, para que la titular realizara el inventario de expedientes, depuración de expedientes, discos de compacto y ampos, durante junio, setiembre y del 1 al 9 de noviembre del 2021. Así como 2 planes de trabajo para la depuración de expedientes y actualización de la agenda cronos del 1 al 13 de julio y por agosto del 2021.</w:t>
      </w:r>
    </w:p>
    <w:p w14:paraId="2E24D4FC" w14:textId="77777777" w:rsidR="00CF7396" w:rsidRPr="00CF7396" w:rsidRDefault="00CF7396" w:rsidP="00CF7396">
      <w:pPr>
        <w:ind w:left="851" w:right="851" w:firstLine="709"/>
        <w:jc w:val="both"/>
        <w:rPr>
          <w:color w:val="000000" w:themeColor="text1"/>
          <w:lang w:val="es-CR" w:eastAsia="es-CR"/>
        </w:rPr>
      </w:pPr>
    </w:p>
    <w:p w14:paraId="560BA3C8"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En apremios judiciales, actualización de tarjetas en el Sistema de Depósitos Judiciales y atención de llamadas telefónicas, se formuló un plan de trabajo con una persona técnica supernumeraria en enero y diciembre del 2021.</w:t>
      </w:r>
    </w:p>
    <w:p w14:paraId="17972080" w14:textId="77777777" w:rsidR="00CF7396" w:rsidRPr="00CF7396" w:rsidRDefault="00CF7396" w:rsidP="00CF7396">
      <w:pPr>
        <w:ind w:left="851" w:right="851" w:firstLine="709"/>
        <w:jc w:val="both"/>
        <w:rPr>
          <w:color w:val="000000" w:themeColor="text1"/>
          <w:lang w:val="es-CR" w:eastAsia="es-CR"/>
        </w:rPr>
      </w:pPr>
    </w:p>
    <w:p w14:paraId="1BC6971C"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 xml:space="preserve">Del 10 al 30 de noviembre del 2021, una técnica supernumeraria ayudó con la toma de denuncias y en trámite de expedientes del 13 al 31 de octubre del 2021 para que la persona técnica titular realizara la depuración de expedientes. </w:t>
      </w:r>
    </w:p>
    <w:p w14:paraId="2C9FC106" w14:textId="77777777" w:rsidR="00CF7396" w:rsidRPr="00CF7396" w:rsidRDefault="00CF7396" w:rsidP="00CF7396">
      <w:pPr>
        <w:ind w:left="720"/>
        <w:jc w:val="both"/>
        <w:rPr>
          <w:color w:val="000000" w:themeColor="text1"/>
          <w:lang w:val="es-CR" w:eastAsia="es-CR"/>
        </w:rPr>
      </w:pPr>
    </w:p>
    <w:p w14:paraId="07BCD155" w14:textId="77777777" w:rsidR="00CF7396" w:rsidRPr="00CF7396" w:rsidRDefault="00CF7396" w:rsidP="00CF7396">
      <w:pPr>
        <w:numPr>
          <w:ilvl w:val="0"/>
          <w:numId w:val="54"/>
        </w:numPr>
        <w:jc w:val="both"/>
        <w:rPr>
          <w:b/>
          <w:bCs/>
          <w:color w:val="000000" w:themeColor="text1"/>
          <w:lang w:val="es-CR" w:eastAsia="es-CR"/>
        </w:rPr>
      </w:pPr>
      <w:r w:rsidRPr="00CF7396">
        <w:rPr>
          <w:b/>
          <w:bCs/>
          <w:color w:val="000000" w:themeColor="text1"/>
          <w:lang w:val="es-CR" w:eastAsia="es-CR"/>
        </w:rPr>
        <w:t>Juzgado Contravencional de Matina:</w:t>
      </w:r>
    </w:p>
    <w:p w14:paraId="71B76EA9" w14:textId="77777777" w:rsidR="00CF7396" w:rsidRPr="00CF7396" w:rsidRDefault="00CF7396" w:rsidP="00CF7396">
      <w:pPr>
        <w:ind w:left="720"/>
        <w:jc w:val="both"/>
        <w:rPr>
          <w:b/>
          <w:bCs/>
          <w:color w:val="000000" w:themeColor="text1"/>
          <w:lang w:val="es-CR" w:eastAsia="es-CR"/>
        </w:rPr>
      </w:pPr>
    </w:p>
    <w:tbl>
      <w:tblPr>
        <w:tblStyle w:val="Tablaconcuadrcula"/>
        <w:tblW w:w="8926" w:type="dxa"/>
        <w:jc w:val="center"/>
        <w:tblLook w:val="04A0" w:firstRow="1" w:lastRow="0" w:firstColumn="1" w:lastColumn="0" w:noHBand="0" w:noVBand="1"/>
      </w:tblPr>
      <w:tblGrid>
        <w:gridCol w:w="2943"/>
        <w:gridCol w:w="5983"/>
      </w:tblGrid>
      <w:tr w:rsidR="00CF7396" w:rsidRPr="00CF7396" w14:paraId="7F916515" w14:textId="77777777" w:rsidTr="00AF369B">
        <w:trPr>
          <w:jc w:val="center"/>
        </w:trPr>
        <w:tc>
          <w:tcPr>
            <w:tcW w:w="2943" w:type="dxa"/>
            <w:shd w:val="clear" w:color="auto" w:fill="244061" w:themeFill="accent1" w:themeFillShade="80"/>
          </w:tcPr>
          <w:p w14:paraId="251D3FDC" w14:textId="77777777" w:rsidR="00CF7396" w:rsidRPr="00CF7396" w:rsidRDefault="00CF7396" w:rsidP="00CF7396">
            <w:pPr>
              <w:jc w:val="center"/>
              <w:rPr>
                <w:b/>
                <w:bCs/>
                <w:color w:val="000000" w:themeColor="text1"/>
              </w:rPr>
            </w:pPr>
            <w:r w:rsidRPr="00CF7396">
              <w:rPr>
                <w:b/>
                <w:bCs/>
                <w:color w:val="000000" w:themeColor="text1"/>
              </w:rPr>
              <w:t>Cantidad de planes de trabajo</w:t>
            </w:r>
          </w:p>
        </w:tc>
        <w:tc>
          <w:tcPr>
            <w:tcW w:w="5983" w:type="dxa"/>
            <w:shd w:val="clear" w:color="auto" w:fill="244061" w:themeFill="accent1" w:themeFillShade="80"/>
          </w:tcPr>
          <w:p w14:paraId="6E279523" w14:textId="77777777" w:rsidR="00CF7396" w:rsidRPr="00CF7396" w:rsidRDefault="00CF7396" w:rsidP="00CF7396">
            <w:pPr>
              <w:jc w:val="center"/>
              <w:rPr>
                <w:b/>
                <w:bCs/>
                <w:color w:val="000000" w:themeColor="text1"/>
              </w:rPr>
            </w:pPr>
            <w:r w:rsidRPr="00CF7396">
              <w:rPr>
                <w:b/>
                <w:bCs/>
                <w:color w:val="000000" w:themeColor="text1"/>
              </w:rPr>
              <w:t>Tipo de Plan de Trabajo</w:t>
            </w:r>
          </w:p>
        </w:tc>
      </w:tr>
      <w:tr w:rsidR="00CF7396" w:rsidRPr="00CF7396" w14:paraId="20B47C27" w14:textId="77777777" w:rsidTr="00AF369B">
        <w:trPr>
          <w:jc w:val="center"/>
        </w:trPr>
        <w:tc>
          <w:tcPr>
            <w:tcW w:w="2943" w:type="dxa"/>
          </w:tcPr>
          <w:p w14:paraId="07DFE320" w14:textId="77777777" w:rsidR="00CF7396" w:rsidRPr="00CF7396" w:rsidRDefault="00CF7396" w:rsidP="00CF7396">
            <w:pPr>
              <w:jc w:val="center"/>
              <w:rPr>
                <w:color w:val="000000" w:themeColor="text1"/>
              </w:rPr>
            </w:pPr>
            <w:r w:rsidRPr="00CF7396">
              <w:rPr>
                <w:color w:val="000000" w:themeColor="text1"/>
              </w:rPr>
              <w:t>15 planes de trabajo (con supernumerarios)</w:t>
            </w:r>
          </w:p>
          <w:p w14:paraId="3318E5EB" w14:textId="77777777" w:rsidR="00CF7396" w:rsidRPr="00CF7396" w:rsidRDefault="00CF7396" w:rsidP="00CF7396">
            <w:pPr>
              <w:jc w:val="center"/>
              <w:rPr>
                <w:color w:val="000000" w:themeColor="text1"/>
              </w:rPr>
            </w:pPr>
          </w:p>
        </w:tc>
        <w:tc>
          <w:tcPr>
            <w:tcW w:w="5983" w:type="dxa"/>
          </w:tcPr>
          <w:p w14:paraId="5D39310D"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5 planes para el dictado de sentencia</w:t>
            </w:r>
          </w:p>
          <w:p w14:paraId="761BA0E7"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5 planes para trámite</w:t>
            </w:r>
          </w:p>
          <w:p w14:paraId="1CF8AE50"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2 plan para la atención de apremios</w:t>
            </w:r>
          </w:p>
          <w:p w14:paraId="0B43F83A"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 plan para la atención de apremios, actualización de tarjetas en el Sistema de Depósitos Judiciales y atención de llamadas telefónicas.</w:t>
            </w:r>
          </w:p>
          <w:p w14:paraId="49966F49"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 plan para depuración de expedientes</w:t>
            </w:r>
          </w:p>
          <w:p w14:paraId="2B380F6C"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 plan para giros.</w:t>
            </w:r>
          </w:p>
        </w:tc>
      </w:tr>
    </w:tbl>
    <w:p w14:paraId="470B9672" w14:textId="77777777" w:rsidR="00CF7396" w:rsidRPr="00CF7396" w:rsidRDefault="00CF7396" w:rsidP="00CF7396">
      <w:pPr>
        <w:ind w:left="284" w:hanging="426"/>
        <w:jc w:val="both"/>
        <w:rPr>
          <w:color w:val="000000" w:themeColor="text1"/>
          <w:lang w:val="es-CR" w:eastAsia="es-CR"/>
        </w:rPr>
      </w:pPr>
      <w:r w:rsidRPr="00CF7396">
        <w:rPr>
          <w:b/>
          <w:bCs/>
          <w:color w:val="000000" w:themeColor="text1"/>
          <w:lang w:val="es-CR" w:eastAsia="es-CR"/>
        </w:rPr>
        <w:t>Fuente:</w:t>
      </w:r>
      <w:r w:rsidRPr="00CF7396">
        <w:rPr>
          <w:color w:val="000000" w:themeColor="text1"/>
          <w:lang w:val="es-CR" w:eastAsia="es-CR"/>
        </w:rPr>
        <w:t xml:space="preserve"> Datos obtenidos de la intranet de la Dirección de Planificación: </w:t>
      </w:r>
      <w:hyperlink r:id="rId46" w:history="1">
        <w:r w:rsidRPr="00CF7396">
          <w:rPr>
            <w:color w:val="000000" w:themeColor="text1"/>
            <w:u w:val="single"/>
            <w:lang w:val="es-CR"/>
          </w:rPr>
          <w:t>Modelo de Seguimiento y Sostenibilidad (poder-judicial.go.cr)</w:t>
        </w:r>
      </w:hyperlink>
    </w:p>
    <w:p w14:paraId="229768AF" w14:textId="77777777" w:rsidR="00CF7396" w:rsidRPr="00CF7396" w:rsidRDefault="00CF7396" w:rsidP="00CF7396">
      <w:pPr>
        <w:ind w:left="720"/>
        <w:jc w:val="both"/>
        <w:rPr>
          <w:b/>
          <w:bCs/>
          <w:color w:val="000000" w:themeColor="text1"/>
          <w:lang w:val="es-CR" w:eastAsia="es-CR"/>
        </w:rPr>
      </w:pPr>
    </w:p>
    <w:p w14:paraId="2597D02D"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Para el 2021 en el Juzgado Contravencional de Matina se elaboraron 15 planes de trabajo, 5 de ellos con una plaza juzgadora supernumeraria para el dictado de sentencia o fallo en Pensiones Alimentarias, de enero a marzo, en junio y del 1 al 19 de julio del 2021. El plazo de espera para el dictado de sentencia en dicha materia en diciembre del 2020 se encontró en 129 días, y al concluir julio arrojó 64 días; obteniendo un impacto positivo del 50% considerando tanto las labores realizadas por la persona juzgadora titular del despacho como la del plan de trabajo.</w:t>
      </w:r>
    </w:p>
    <w:p w14:paraId="4C1A1694" w14:textId="77777777" w:rsidR="00CF7396" w:rsidRPr="00CF7396" w:rsidRDefault="00CF7396" w:rsidP="00CF7396">
      <w:pPr>
        <w:ind w:left="851" w:right="851" w:firstLine="709"/>
        <w:jc w:val="both"/>
        <w:rPr>
          <w:color w:val="000000" w:themeColor="text1"/>
          <w:lang w:val="es-CR" w:eastAsia="es-CR"/>
        </w:rPr>
      </w:pPr>
    </w:p>
    <w:p w14:paraId="1FE10981"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Igualmente, se ejecutaron 5 planes de trabajo de una persona técnica supernumeraria para el trámite de expedientes, en enero del 2021 para el trámite de escritos en Pensiones Alimentarias, en agosto, setiembre y noviembre en sustitución del titular para efectuar depuración de expedientes, en octubre en sustitución del titular (plan de contingencia).</w:t>
      </w:r>
    </w:p>
    <w:p w14:paraId="17365642" w14:textId="77777777" w:rsidR="00CF7396" w:rsidRPr="00CF7396" w:rsidRDefault="00CF7396" w:rsidP="00CF7396">
      <w:pPr>
        <w:ind w:left="851" w:right="851" w:firstLine="709"/>
        <w:jc w:val="both"/>
        <w:rPr>
          <w:color w:val="000000" w:themeColor="text1"/>
          <w:lang w:val="es-CR" w:eastAsia="es-CR"/>
        </w:rPr>
      </w:pPr>
    </w:p>
    <w:p w14:paraId="1A97E4E4"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Por otra parte, se formularon 2 planes de trabajo asignando a una persona técnica supernumeraria para apoyar en apremios y traslados durante mayo y junio del 2021 y uno en diciembre adicionando atención telefónica y actualizaciones de tarjetas en el Sistema de Depósitos Judiciales.</w:t>
      </w:r>
    </w:p>
    <w:p w14:paraId="5034BA2C" w14:textId="77777777" w:rsidR="00CF7396" w:rsidRPr="00CF7396" w:rsidRDefault="00CF7396" w:rsidP="00CF7396">
      <w:pPr>
        <w:ind w:left="851" w:right="851" w:firstLine="709"/>
        <w:jc w:val="both"/>
        <w:rPr>
          <w:color w:val="000000" w:themeColor="text1"/>
          <w:lang w:val="es-CR" w:eastAsia="es-CR"/>
        </w:rPr>
      </w:pPr>
    </w:p>
    <w:p w14:paraId="11D6FE6F"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 xml:space="preserve">Finalmente, se elaboró un plan de trabajo para depuración de expedientes y otro para giros en julio y diciembre, respectivamente. </w:t>
      </w:r>
    </w:p>
    <w:p w14:paraId="7FEB90A2" w14:textId="77777777" w:rsidR="00CF7396" w:rsidRPr="00CF7396" w:rsidRDefault="00CF7396" w:rsidP="00CF7396">
      <w:pPr>
        <w:ind w:left="720"/>
        <w:jc w:val="both"/>
        <w:rPr>
          <w:b/>
          <w:bCs/>
          <w:color w:val="000000" w:themeColor="text1"/>
          <w:lang w:val="es-CR" w:eastAsia="es-CR"/>
        </w:rPr>
      </w:pPr>
    </w:p>
    <w:p w14:paraId="0B188C6B" w14:textId="77777777" w:rsidR="00CF7396" w:rsidRPr="00CF7396" w:rsidRDefault="00CF7396" w:rsidP="00CF7396">
      <w:pPr>
        <w:numPr>
          <w:ilvl w:val="0"/>
          <w:numId w:val="54"/>
        </w:numPr>
        <w:jc w:val="both"/>
        <w:rPr>
          <w:b/>
          <w:bCs/>
          <w:color w:val="000000" w:themeColor="text1"/>
          <w:lang w:val="es-CR" w:eastAsia="es-CR"/>
        </w:rPr>
      </w:pPr>
      <w:r w:rsidRPr="00CF7396">
        <w:rPr>
          <w:b/>
          <w:bCs/>
          <w:color w:val="000000" w:themeColor="text1"/>
          <w:lang w:val="es-CR" w:eastAsia="es-CR"/>
        </w:rPr>
        <w:t>Juzgado Civil del Primer Circuito Judicial de la Zona Atlántica:</w:t>
      </w:r>
    </w:p>
    <w:p w14:paraId="47CF9832" w14:textId="77777777" w:rsidR="00CF7396" w:rsidRPr="00CF7396" w:rsidRDefault="00CF7396" w:rsidP="00CF7396">
      <w:pPr>
        <w:ind w:left="720"/>
        <w:jc w:val="both"/>
        <w:rPr>
          <w:b/>
          <w:bCs/>
          <w:color w:val="000000" w:themeColor="text1"/>
          <w:lang w:val="es-CR" w:eastAsia="es-CR"/>
        </w:rPr>
      </w:pPr>
    </w:p>
    <w:tbl>
      <w:tblPr>
        <w:tblStyle w:val="Tablaconcuadrcula"/>
        <w:tblW w:w="7508" w:type="dxa"/>
        <w:jc w:val="center"/>
        <w:tblLook w:val="04A0" w:firstRow="1" w:lastRow="0" w:firstColumn="1" w:lastColumn="0" w:noHBand="0" w:noVBand="1"/>
      </w:tblPr>
      <w:tblGrid>
        <w:gridCol w:w="2943"/>
        <w:gridCol w:w="4565"/>
      </w:tblGrid>
      <w:tr w:rsidR="00CF7396" w:rsidRPr="00CF7396" w14:paraId="23031CF0" w14:textId="77777777" w:rsidTr="00AF369B">
        <w:trPr>
          <w:jc w:val="center"/>
        </w:trPr>
        <w:tc>
          <w:tcPr>
            <w:tcW w:w="2943" w:type="dxa"/>
            <w:shd w:val="clear" w:color="auto" w:fill="244061" w:themeFill="accent1" w:themeFillShade="80"/>
          </w:tcPr>
          <w:p w14:paraId="020EA044" w14:textId="77777777" w:rsidR="00CF7396" w:rsidRPr="00CF7396" w:rsidRDefault="00CF7396" w:rsidP="00CF7396">
            <w:pPr>
              <w:jc w:val="center"/>
              <w:rPr>
                <w:b/>
                <w:bCs/>
                <w:color w:val="000000" w:themeColor="text1"/>
              </w:rPr>
            </w:pPr>
            <w:r w:rsidRPr="00CF7396">
              <w:rPr>
                <w:b/>
                <w:bCs/>
                <w:color w:val="000000" w:themeColor="text1"/>
              </w:rPr>
              <w:t>Cantidad de planes de trabajo</w:t>
            </w:r>
          </w:p>
        </w:tc>
        <w:tc>
          <w:tcPr>
            <w:tcW w:w="4565" w:type="dxa"/>
            <w:shd w:val="clear" w:color="auto" w:fill="244061" w:themeFill="accent1" w:themeFillShade="80"/>
          </w:tcPr>
          <w:p w14:paraId="06270BFA" w14:textId="77777777" w:rsidR="00CF7396" w:rsidRPr="00CF7396" w:rsidRDefault="00CF7396" w:rsidP="00CF7396">
            <w:pPr>
              <w:jc w:val="center"/>
              <w:rPr>
                <w:b/>
                <w:bCs/>
                <w:color w:val="000000" w:themeColor="text1"/>
              </w:rPr>
            </w:pPr>
            <w:r w:rsidRPr="00CF7396">
              <w:rPr>
                <w:b/>
                <w:bCs/>
                <w:color w:val="000000" w:themeColor="text1"/>
              </w:rPr>
              <w:t>Tipo de Plan de Trabajo</w:t>
            </w:r>
          </w:p>
        </w:tc>
      </w:tr>
      <w:tr w:rsidR="00CF7396" w:rsidRPr="00CF7396" w14:paraId="218F5DEB" w14:textId="77777777" w:rsidTr="00AF369B">
        <w:trPr>
          <w:jc w:val="center"/>
        </w:trPr>
        <w:tc>
          <w:tcPr>
            <w:tcW w:w="2943" w:type="dxa"/>
          </w:tcPr>
          <w:p w14:paraId="4979E69D" w14:textId="77777777" w:rsidR="00CF7396" w:rsidRPr="00CF7396" w:rsidRDefault="00CF7396" w:rsidP="00CF7396">
            <w:pPr>
              <w:jc w:val="center"/>
              <w:rPr>
                <w:color w:val="000000" w:themeColor="text1"/>
              </w:rPr>
            </w:pPr>
            <w:r w:rsidRPr="00CF7396">
              <w:rPr>
                <w:color w:val="000000" w:themeColor="text1"/>
              </w:rPr>
              <w:t>7 planes de trabajo (con supernumerarios)</w:t>
            </w:r>
          </w:p>
          <w:p w14:paraId="6490F1E8" w14:textId="77777777" w:rsidR="00CF7396" w:rsidRPr="00CF7396" w:rsidRDefault="00CF7396" w:rsidP="00CF7396">
            <w:pPr>
              <w:jc w:val="center"/>
              <w:rPr>
                <w:color w:val="000000" w:themeColor="text1"/>
              </w:rPr>
            </w:pPr>
            <w:r w:rsidRPr="00CF7396">
              <w:rPr>
                <w:color w:val="000000" w:themeColor="text1"/>
              </w:rPr>
              <w:t>1 plan remedial</w:t>
            </w:r>
          </w:p>
          <w:p w14:paraId="279D43C6" w14:textId="77777777" w:rsidR="00CF7396" w:rsidRPr="00CF7396" w:rsidRDefault="00CF7396" w:rsidP="00CF7396">
            <w:pPr>
              <w:jc w:val="center"/>
              <w:rPr>
                <w:color w:val="000000" w:themeColor="text1"/>
              </w:rPr>
            </w:pPr>
          </w:p>
        </w:tc>
        <w:tc>
          <w:tcPr>
            <w:tcW w:w="4565" w:type="dxa"/>
          </w:tcPr>
          <w:p w14:paraId="573DCB62"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7 planes para dictado de sentencia</w:t>
            </w:r>
          </w:p>
          <w:p w14:paraId="78B0613D"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 atención de llamadas telefónicas</w:t>
            </w:r>
          </w:p>
        </w:tc>
      </w:tr>
    </w:tbl>
    <w:p w14:paraId="1412C47C" w14:textId="77777777" w:rsidR="00CF7396" w:rsidRPr="00CF7396" w:rsidRDefault="00CF7396" w:rsidP="00CF7396">
      <w:pPr>
        <w:ind w:left="709" w:right="760"/>
        <w:jc w:val="both"/>
        <w:rPr>
          <w:color w:val="000000" w:themeColor="text1"/>
          <w:lang w:val="es-CR" w:eastAsia="es-CR"/>
        </w:rPr>
      </w:pPr>
      <w:r w:rsidRPr="00CF7396">
        <w:rPr>
          <w:b/>
          <w:bCs/>
          <w:color w:val="000000" w:themeColor="text1"/>
          <w:lang w:val="es-CR" w:eastAsia="es-CR"/>
        </w:rPr>
        <w:t>Fuente:</w:t>
      </w:r>
      <w:r w:rsidRPr="00CF7396">
        <w:rPr>
          <w:color w:val="000000" w:themeColor="text1"/>
          <w:lang w:val="es-CR" w:eastAsia="es-CR"/>
        </w:rPr>
        <w:t xml:space="preserve"> Datos obtenidos de la intranet de la Dirección de Planificación: </w:t>
      </w:r>
      <w:hyperlink r:id="rId47" w:history="1">
        <w:r w:rsidRPr="00CF7396">
          <w:rPr>
            <w:color w:val="000000" w:themeColor="text1"/>
            <w:u w:val="single"/>
            <w:lang w:val="es-CR"/>
          </w:rPr>
          <w:t>Modelo de Seguimiento y Sostenibilidad (poder-judicial.go.cr)</w:t>
        </w:r>
      </w:hyperlink>
    </w:p>
    <w:p w14:paraId="2F0880CB" w14:textId="77777777" w:rsidR="00CF7396" w:rsidRPr="00CF7396" w:rsidRDefault="00CF7396" w:rsidP="00CF7396">
      <w:pPr>
        <w:ind w:left="720"/>
        <w:jc w:val="both"/>
        <w:rPr>
          <w:b/>
          <w:bCs/>
          <w:color w:val="000000" w:themeColor="text1"/>
          <w:lang w:val="es-CR" w:eastAsia="es-CR"/>
        </w:rPr>
      </w:pPr>
    </w:p>
    <w:p w14:paraId="7441CAFA"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Para el Juzgado Civil del Primer Circuito Judicial de la Zona Atlántica, se realizaron 7 planes de trabajo y un plan remedial durante el 2021. En marzo, abril, agosto, octubre, noviembre y diciembre del 2021, se colaboró con una persona juzgadora supernumeraria con 7 planes de trabajo para el dictado de sentencia o fallo, con la excepción del plan de marzo en donde la persona juzgadora titular debería de fallar expedientes pendientes de fallo antiguos. El plazo de espera para dictado de sentencia en febrero del 2021 se encontró en 155 días y para diciembre del 2021 disminuyó a 45 días, por lo que tanto la labor realizada por la persona juzgadora titular, así como los planes de trabajo efectuados tuvieron un impacto afirmativo del 71%.</w:t>
      </w:r>
    </w:p>
    <w:p w14:paraId="1B14D3DB" w14:textId="77777777" w:rsidR="00CF7396" w:rsidRPr="00CF7396" w:rsidRDefault="00CF7396" w:rsidP="00CF7396">
      <w:pPr>
        <w:ind w:left="851" w:right="851" w:firstLine="709"/>
        <w:jc w:val="both"/>
        <w:rPr>
          <w:color w:val="000000" w:themeColor="text1"/>
          <w:lang w:val="es-CR" w:eastAsia="es-CR"/>
        </w:rPr>
      </w:pPr>
    </w:p>
    <w:p w14:paraId="091035EE"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El 17 de noviembre del 2021 inició el plan de trabajo cobro-civil según informe 720-PLA-EV-2021, por lo que se reforzó con un plan de trabajo con una persona técnica supernumeraria parcialmente en la atención de llamadas telefónicas.</w:t>
      </w:r>
    </w:p>
    <w:p w14:paraId="4DF195DF" w14:textId="77777777" w:rsidR="00CF7396" w:rsidRPr="00CF7396" w:rsidRDefault="00CF7396" w:rsidP="00CF7396">
      <w:pPr>
        <w:rPr>
          <w:b/>
          <w:bCs/>
          <w:color w:val="000000" w:themeColor="text1"/>
          <w:lang w:val="es-CR" w:eastAsia="es-CR"/>
        </w:rPr>
      </w:pPr>
    </w:p>
    <w:p w14:paraId="480F5E82" w14:textId="77777777" w:rsidR="00CF7396" w:rsidRPr="00CF7396" w:rsidRDefault="00CF7396" w:rsidP="00CF7396">
      <w:pPr>
        <w:rPr>
          <w:b/>
          <w:bCs/>
          <w:color w:val="000000" w:themeColor="text1"/>
          <w:lang w:val="es-CR" w:eastAsia="es-CR"/>
        </w:rPr>
      </w:pPr>
      <w:r w:rsidRPr="00CF7396">
        <w:rPr>
          <w:b/>
          <w:bCs/>
          <w:color w:val="000000" w:themeColor="text1"/>
          <w:lang w:val="es-CR" w:eastAsia="es-CR"/>
        </w:rPr>
        <w:t>Juzgado de Pensiones Alimentarias del Primer Circuito Judicial de la Zona Atlántica:</w:t>
      </w:r>
    </w:p>
    <w:p w14:paraId="10A97A8B" w14:textId="77777777" w:rsidR="00CF7396" w:rsidRPr="00CF7396" w:rsidRDefault="00CF7396" w:rsidP="00CF7396">
      <w:pPr>
        <w:ind w:left="720"/>
        <w:jc w:val="both"/>
        <w:rPr>
          <w:b/>
          <w:bCs/>
          <w:color w:val="000000" w:themeColor="text1"/>
          <w:lang w:val="es-CR" w:eastAsia="es-CR"/>
        </w:rPr>
      </w:pPr>
    </w:p>
    <w:tbl>
      <w:tblPr>
        <w:tblStyle w:val="Tablaconcuadrcula"/>
        <w:tblW w:w="7508" w:type="dxa"/>
        <w:jc w:val="center"/>
        <w:tblLook w:val="04A0" w:firstRow="1" w:lastRow="0" w:firstColumn="1" w:lastColumn="0" w:noHBand="0" w:noVBand="1"/>
      </w:tblPr>
      <w:tblGrid>
        <w:gridCol w:w="2943"/>
        <w:gridCol w:w="4565"/>
      </w:tblGrid>
      <w:tr w:rsidR="00CF7396" w:rsidRPr="00CF7396" w14:paraId="358EB984" w14:textId="77777777" w:rsidTr="00AF369B">
        <w:trPr>
          <w:jc w:val="center"/>
        </w:trPr>
        <w:tc>
          <w:tcPr>
            <w:tcW w:w="2943" w:type="dxa"/>
            <w:shd w:val="clear" w:color="auto" w:fill="244061" w:themeFill="accent1" w:themeFillShade="80"/>
          </w:tcPr>
          <w:p w14:paraId="50CEEDC1" w14:textId="77777777" w:rsidR="00CF7396" w:rsidRPr="00CF7396" w:rsidRDefault="00CF7396" w:rsidP="00CF7396">
            <w:pPr>
              <w:jc w:val="center"/>
              <w:rPr>
                <w:b/>
                <w:bCs/>
                <w:color w:val="000000" w:themeColor="text1"/>
              </w:rPr>
            </w:pPr>
            <w:r w:rsidRPr="00CF7396">
              <w:rPr>
                <w:b/>
                <w:bCs/>
                <w:color w:val="000000" w:themeColor="text1"/>
              </w:rPr>
              <w:t>Cantidad de planes de trabajo</w:t>
            </w:r>
          </w:p>
        </w:tc>
        <w:tc>
          <w:tcPr>
            <w:tcW w:w="4565" w:type="dxa"/>
            <w:shd w:val="clear" w:color="auto" w:fill="244061" w:themeFill="accent1" w:themeFillShade="80"/>
          </w:tcPr>
          <w:p w14:paraId="2D83D4FD" w14:textId="77777777" w:rsidR="00CF7396" w:rsidRPr="00CF7396" w:rsidRDefault="00CF7396" w:rsidP="00CF7396">
            <w:pPr>
              <w:jc w:val="center"/>
              <w:rPr>
                <w:b/>
                <w:bCs/>
                <w:color w:val="000000" w:themeColor="text1"/>
              </w:rPr>
            </w:pPr>
            <w:r w:rsidRPr="00CF7396">
              <w:rPr>
                <w:b/>
                <w:bCs/>
                <w:color w:val="000000" w:themeColor="text1"/>
              </w:rPr>
              <w:t>Tipo de Plan de Trabajo</w:t>
            </w:r>
          </w:p>
        </w:tc>
      </w:tr>
      <w:tr w:rsidR="00CF7396" w:rsidRPr="00CF7396" w14:paraId="38A878C4" w14:textId="77777777" w:rsidTr="00AF369B">
        <w:trPr>
          <w:jc w:val="center"/>
        </w:trPr>
        <w:tc>
          <w:tcPr>
            <w:tcW w:w="2943" w:type="dxa"/>
          </w:tcPr>
          <w:p w14:paraId="3F6FBAFE" w14:textId="77777777" w:rsidR="00CF7396" w:rsidRPr="00CF7396" w:rsidRDefault="00CF7396" w:rsidP="00CF7396">
            <w:pPr>
              <w:jc w:val="center"/>
              <w:rPr>
                <w:color w:val="000000" w:themeColor="text1"/>
              </w:rPr>
            </w:pPr>
            <w:r w:rsidRPr="00CF7396">
              <w:rPr>
                <w:color w:val="000000" w:themeColor="text1"/>
              </w:rPr>
              <w:t>9 planes de trabajo (con supernumerarios)</w:t>
            </w:r>
          </w:p>
          <w:p w14:paraId="3C658B66" w14:textId="77777777" w:rsidR="00CF7396" w:rsidRPr="00CF7396" w:rsidRDefault="00CF7396" w:rsidP="00CF7396">
            <w:pPr>
              <w:jc w:val="center"/>
              <w:rPr>
                <w:color w:val="000000" w:themeColor="text1"/>
              </w:rPr>
            </w:pPr>
          </w:p>
        </w:tc>
        <w:tc>
          <w:tcPr>
            <w:tcW w:w="4565" w:type="dxa"/>
          </w:tcPr>
          <w:p w14:paraId="1EA19BD4"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6 planes para dictado de sentencia</w:t>
            </w:r>
          </w:p>
          <w:p w14:paraId="38E3CA57"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 plan para realización de audiencia</w:t>
            </w:r>
          </w:p>
          <w:p w14:paraId="15D63989"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 plan para el puesto de manifestación para que el titular realice inventario de expedientes</w:t>
            </w:r>
          </w:p>
          <w:p w14:paraId="5669ECA6"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 plan para el remesado de expedientes</w:t>
            </w:r>
          </w:p>
        </w:tc>
      </w:tr>
    </w:tbl>
    <w:p w14:paraId="322DD697" w14:textId="77777777" w:rsidR="00CF7396" w:rsidRPr="00CF7396" w:rsidRDefault="00CF7396" w:rsidP="00CF7396">
      <w:pPr>
        <w:ind w:left="709" w:right="618"/>
        <w:jc w:val="both"/>
        <w:rPr>
          <w:color w:val="000000" w:themeColor="text1"/>
          <w:lang w:val="es-CR" w:eastAsia="es-CR"/>
        </w:rPr>
      </w:pPr>
      <w:r w:rsidRPr="00CF7396">
        <w:rPr>
          <w:b/>
          <w:bCs/>
          <w:color w:val="000000" w:themeColor="text1"/>
          <w:lang w:val="es-CR" w:eastAsia="es-CR"/>
        </w:rPr>
        <w:t>Fuente:</w:t>
      </w:r>
      <w:r w:rsidRPr="00CF7396">
        <w:rPr>
          <w:color w:val="000000" w:themeColor="text1"/>
          <w:lang w:val="es-CR" w:eastAsia="es-CR"/>
        </w:rPr>
        <w:t xml:space="preserve"> Datos obtenidos de la intranet de la Dirección de Planificación: </w:t>
      </w:r>
      <w:hyperlink r:id="rId48" w:history="1">
        <w:r w:rsidRPr="00CF7396">
          <w:rPr>
            <w:color w:val="000000" w:themeColor="text1"/>
            <w:u w:val="single"/>
            <w:lang w:val="es-CR"/>
          </w:rPr>
          <w:t>Modelo de Seguimiento y Sostenibilidad (poder-judicial.go.cr)</w:t>
        </w:r>
      </w:hyperlink>
    </w:p>
    <w:p w14:paraId="238E1B1A" w14:textId="77777777" w:rsidR="00CF7396" w:rsidRPr="00CF7396" w:rsidRDefault="00CF7396" w:rsidP="00CF7396">
      <w:pPr>
        <w:ind w:left="720"/>
        <w:jc w:val="both"/>
        <w:rPr>
          <w:b/>
          <w:bCs/>
          <w:color w:val="000000" w:themeColor="text1"/>
          <w:lang w:val="es-CR" w:eastAsia="es-CR"/>
        </w:rPr>
      </w:pPr>
    </w:p>
    <w:p w14:paraId="1DB2696C"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En el Juzgado de Pensiones Alimentarias del Primer Circuito Judicial de la Zona Atlántica se formularon 9 planes de trabajo, de los cuales 6 fueron para el dictado de sentencia o fallo, durante febrero a marzo, de mayo a junio, agosto y octubre del 2021. El plazo de espera de dictado de sentencia en enero del 2021 se encontró en 19 días, y al concluir octubre arrojó 22 días; si bien es cierto el plan de trabajo no tuvo un impacto significativo, se hace ver que de no colaborar al despacho muy probable el plazo de espera de dictado de sentencia fuera mayor al concluir octubre del 2021. Aunado a lo anterior, la persona juzgadora supernumeraria conformaba parte del plan de contingencia para atender suplencias, por lo que no se encontraba de forma exclusiva al 100% en el despacho.</w:t>
      </w:r>
    </w:p>
    <w:p w14:paraId="608317D1" w14:textId="77777777" w:rsidR="00CF7396" w:rsidRPr="00CF7396" w:rsidRDefault="00CF7396" w:rsidP="00CF7396">
      <w:pPr>
        <w:ind w:left="851" w:right="851" w:firstLine="709"/>
        <w:jc w:val="both"/>
        <w:rPr>
          <w:color w:val="000000" w:themeColor="text1"/>
          <w:lang w:val="es-CR" w:eastAsia="es-CR"/>
        </w:rPr>
      </w:pPr>
    </w:p>
    <w:p w14:paraId="2035A6FC"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Por otro lado, del 11 al 31 de octubre del 2021, se apoyó con una persona juzgadora supernumeraria para la realización de audiencias debido a que al 27 de setiembre del 2021 contaban con 84 audiencias pendientes por realizar. Según informe de labores de la persona juzgadora supernumeraria realizó 35 audiencias de los cuales dictaron 29 sentencias, por lo que obtuvo un impacto positivo del 42%.</w:t>
      </w:r>
    </w:p>
    <w:p w14:paraId="4553E744" w14:textId="77777777" w:rsidR="00CF7396" w:rsidRPr="00CF7396" w:rsidRDefault="00CF7396" w:rsidP="00CF7396">
      <w:pPr>
        <w:ind w:left="851" w:right="851" w:firstLine="709"/>
        <w:jc w:val="both"/>
        <w:rPr>
          <w:color w:val="000000" w:themeColor="text1"/>
          <w:lang w:val="es-CR" w:eastAsia="es-CR"/>
        </w:rPr>
      </w:pPr>
    </w:p>
    <w:p w14:paraId="3EDBEDC0"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En enero del 2021 se realizó un plan de trabajo para que una persona técnica supernumeraria colaborara con el remesado de expedientes y en marzo del 2021, se apoyó con una persona técnica supernumeraria para el puesto de Manifestación para que la titular realizara el inventario de expedientes.</w:t>
      </w:r>
    </w:p>
    <w:p w14:paraId="163CB49F" w14:textId="77777777" w:rsidR="00CF7396" w:rsidRPr="00CF7396" w:rsidRDefault="00CF7396" w:rsidP="00CF7396">
      <w:pPr>
        <w:ind w:left="720"/>
        <w:jc w:val="both"/>
        <w:rPr>
          <w:color w:val="000000" w:themeColor="text1"/>
          <w:lang w:val="es-CR" w:eastAsia="es-CR"/>
        </w:rPr>
      </w:pPr>
      <w:r w:rsidRPr="00CF7396">
        <w:rPr>
          <w:color w:val="000000" w:themeColor="text1"/>
          <w:lang w:val="es-CR" w:eastAsia="es-CR"/>
        </w:rPr>
        <w:t xml:space="preserve"> </w:t>
      </w:r>
    </w:p>
    <w:p w14:paraId="31E9F162" w14:textId="77777777" w:rsidR="00CF7396" w:rsidRPr="00CF7396" w:rsidRDefault="00CF7396" w:rsidP="00CF7396">
      <w:pPr>
        <w:ind w:left="720"/>
        <w:jc w:val="both"/>
        <w:rPr>
          <w:color w:val="000000" w:themeColor="text1"/>
          <w:lang w:val="es-CR" w:eastAsia="es-CR"/>
        </w:rPr>
      </w:pPr>
    </w:p>
    <w:p w14:paraId="76DE0A39" w14:textId="77777777" w:rsidR="00CF7396" w:rsidRPr="00CF7396" w:rsidRDefault="00CF7396" w:rsidP="00CF7396">
      <w:pPr>
        <w:numPr>
          <w:ilvl w:val="0"/>
          <w:numId w:val="54"/>
        </w:numPr>
        <w:jc w:val="both"/>
        <w:rPr>
          <w:b/>
          <w:bCs/>
          <w:color w:val="000000" w:themeColor="text1"/>
          <w:lang w:val="es-CR" w:eastAsia="es-CR"/>
        </w:rPr>
      </w:pPr>
      <w:r w:rsidRPr="00CF7396">
        <w:rPr>
          <w:b/>
          <w:bCs/>
          <w:color w:val="000000" w:themeColor="text1"/>
          <w:lang w:val="es-CR" w:eastAsia="es-CR"/>
        </w:rPr>
        <w:t xml:space="preserve">Juzgado Penal de </w:t>
      </w:r>
      <w:proofErr w:type="spellStart"/>
      <w:r w:rsidRPr="00CF7396">
        <w:rPr>
          <w:b/>
          <w:bCs/>
          <w:color w:val="000000" w:themeColor="text1"/>
          <w:lang w:val="es-CR" w:eastAsia="es-CR"/>
        </w:rPr>
        <w:t>Bribrí</w:t>
      </w:r>
      <w:proofErr w:type="spellEnd"/>
      <w:r w:rsidRPr="00CF7396">
        <w:rPr>
          <w:b/>
          <w:bCs/>
          <w:color w:val="000000" w:themeColor="text1"/>
          <w:lang w:val="es-CR" w:eastAsia="es-CR"/>
        </w:rPr>
        <w:t>:</w:t>
      </w:r>
    </w:p>
    <w:p w14:paraId="3F3B33CE" w14:textId="77777777" w:rsidR="00CF7396" w:rsidRPr="00CF7396" w:rsidRDefault="00CF7396" w:rsidP="00CF7396">
      <w:pPr>
        <w:ind w:left="720"/>
        <w:jc w:val="both"/>
        <w:rPr>
          <w:b/>
          <w:bCs/>
          <w:color w:val="000000" w:themeColor="text1"/>
          <w:lang w:val="es-CR" w:eastAsia="es-CR"/>
        </w:rPr>
      </w:pPr>
    </w:p>
    <w:tbl>
      <w:tblPr>
        <w:tblStyle w:val="Tablaconcuadrcula"/>
        <w:tblW w:w="7508" w:type="dxa"/>
        <w:jc w:val="center"/>
        <w:tblLook w:val="04A0" w:firstRow="1" w:lastRow="0" w:firstColumn="1" w:lastColumn="0" w:noHBand="0" w:noVBand="1"/>
      </w:tblPr>
      <w:tblGrid>
        <w:gridCol w:w="2943"/>
        <w:gridCol w:w="4565"/>
      </w:tblGrid>
      <w:tr w:rsidR="00CF7396" w:rsidRPr="00CF7396" w14:paraId="5B2960B2" w14:textId="77777777" w:rsidTr="00AF369B">
        <w:trPr>
          <w:jc w:val="center"/>
        </w:trPr>
        <w:tc>
          <w:tcPr>
            <w:tcW w:w="2943" w:type="dxa"/>
            <w:shd w:val="clear" w:color="auto" w:fill="244061" w:themeFill="accent1" w:themeFillShade="80"/>
          </w:tcPr>
          <w:p w14:paraId="5D3F2C7E" w14:textId="77777777" w:rsidR="00CF7396" w:rsidRPr="00CF7396" w:rsidRDefault="00CF7396" w:rsidP="00CF7396">
            <w:pPr>
              <w:jc w:val="center"/>
              <w:rPr>
                <w:b/>
                <w:bCs/>
                <w:color w:val="000000" w:themeColor="text1"/>
              </w:rPr>
            </w:pPr>
            <w:r w:rsidRPr="00CF7396">
              <w:rPr>
                <w:b/>
                <w:bCs/>
                <w:color w:val="000000" w:themeColor="text1"/>
              </w:rPr>
              <w:t>Cantidad de planes de trabajo</w:t>
            </w:r>
          </w:p>
        </w:tc>
        <w:tc>
          <w:tcPr>
            <w:tcW w:w="4565" w:type="dxa"/>
            <w:shd w:val="clear" w:color="auto" w:fill="244061" w:themeFill="accent1" w:themeFillShade="80"/>
          </w:tcPr>
          <w:p w14:paraId="5B9AC2A0" w14:textId="77777777" w:rsidR="00CF7396" w:rsidRPr="00CF7396" w:rsidRDefault="00CF7396" w:rsidP="00CF7396">
            <w:pPr>
              <w:jc w:val="center"/>
              <w:rPr>
                <w:b/>
                <w:bCs/>
                <w:color w:val="000000" w:themeColor="text1"/>
              </w:rPr>
            </w:pPr>
            <w:r w:rsidRPr="00CF7396">
              <w:rPr>
                <w:b/>
                <w:bCs/>
                <w:color w:val="000000" w:themeColor="text1"/>
              </w:rPr>
              <w:t>Tipo de Plan de Trabajo</w:t>
            </w:r>
          </w:p>
        </w:tc>
      </w:tr>
      <w:tr w:rsidR="00CF7396" w:rsidRPr="00CF7396" w14:paraId="0099DD5D" w14:textId="77777777" w:rsidTr="00AF369B">
        <w:trPr>
          <w:jc w:val="center"/>
        </w:trPr>
        <w:tc>
          <w:tcPr>
            <w:tcW w:w="2943" w:type="dxa"/>
          </w:tcPr>
          <w:p w14:paraId="5D6F6E12" w14:textId="77777777" w:rsidR="00CF7396" w:rsidRPr="00CF7396" w:rsidRDefault="00CF7396" w:rsidP="00CF7396">
            <w:pPr>
              <w:jc w:val="center"/>
              <w:rPr>
                <w:color w:val="000000" w:themeColor="text1"/>
              </w:rPr>
            </w:pPr>
            <w:r w:rsidRPr="00CF7396">
              <w:rPr>
                <w:color w:val="000000" w:themeColor="text1"/>
              </w:rPr>
              <w:t>6 planes de trabajo (con supernumerarios)</w:t>
            </w:r>
          </w:p>
          <w:p w14:paraId="16DE877A" w14:textId="77777777" w:rsidR="00CF7396" w:rsidRPr="00CF7396" w:rsidRDefault="00CF7396" w:rsidP="00CF7396">
            <w:pPr>
              <w:jc w:val="center"/>
              <w:rPr>
                <w:color w:val="000000" w:themeColor="text1"/>
              </w:rPr>
            </w:pPr>
          </w:p>
        </w:tc>
        <w:tc>
          <w:tcPr>
            <w:tcW w:w="4565" w:type="dxa"/>
          </w:tcPr>
          <w:p w14:paraId="72000C1D"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5 planes para el trámite de expedientes</w:t>
            </w:r>
          </w:p>
          <w:p w14:paraId="06DDA89A"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 plan para remesado de expedientes</w:t>
            </w:r>
          </w:p>
        </w:tc>
      </w:tr>
    </w:tbl>
    <w:p w14:paraId="29CDDBDA" w14:textId="77777777" w:rsidR="00CF7396" w:rsidRPr="00CF7396" w:rsidRDefault="00CF7396" w:rsidP="00CF7396">
      <w:pPr>
        <w:ind w:left="709" w:right="760"/>
        <w:jc w:val="both"/>
        <w:rPr>
          <w:color w:val="000000" w:themeColor="text1"/>
          <w:lang w:val="es-CR" w:eastAsia="es-CR"/>
        </w:rPr>
      </w:pPr>
      <w:r w:rsidRPr="00CF7396">
        <w:rPr>
          <w:b/>
          <w:bCs/>
          <w:color w:val="000000" w:themeColor="text1"/>
          <w:lang w:val="es-CR" w:eastAsia="es-CR"/>
        </w:rPr>
        <w:t>Fuente:</w:t>
      </w:r>
      <w:r w:rsidRPr="00CF7396">
        <w:rPr>
          <w:color w:val="000000" w:themeColor="text1"/>
          <w:lang w:val="es-CR" w:eastAsia="es-CR"/>
        </w:rPr>
        <w:t xml:space="preserve"> Datos obtenidos de la intranet de la Dirección de Planificación: </w:t>
      </w:r>
      <w:hyperlink r:id="rId49" w:history="1">
        <w:r w:rsidRPr="00CF7396">
          <w:rPr>
            <w:color w:val="000000" w:themeColor="text1"/>
            <w:u w:val="single"/>
            <w:lang w:val="es-CR"/>
          </w:rPr>
          <w:t>Modelo de Seguimiento y Sostenibilidad (poder-judicial.go.cr)</w:t>
        </w:r>
      </w:hyperlink>
    </w:p>
    <w:p w14:paraId="59781456" w14:textId="77777777" w:rsidR="00CF7396" w:rsidRPr="00CF7396" w:rsidRDefault="00CF7396" w:rsidP="00CF7396">
      <w:pPr>
        <w:ind w:left="720"/>
        <w:jc w:val="both"/>
        <w:rPr>
          <w:b/>
          <w:bCs/>
          <w:color w:val="000000" w:themeColor="text1"/>
          <w:lang w:val="es-CR" w:eastAsia="es-CR"/>
        </w:rPr>
      </w:pPr>
    </w:p>
    <w:p w14:paraId="6EB0F9EC"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 xml:space="preserve">En el Juzgado Penal de </w:t>
      </w:r>
      <w:proofErr w:type="spellStart"/>
      <w:r w:rsidRPr="00CF7396">
        <w:rPr>
          <w:color w:val="000000" w:themeColor="text1"/>
          <w:lang w:val="es-CR" w:eastAsia="es-CR"/>
        </w:rPr>
        <w:t>Bribrí</w:t>
      </w:r>
      <w:proofErr w:type="spellEnd"/>
      <w:r w:rsidRPr="00CF7396">
        <w:rPr>
          <w:color w:val="000000" w:themeColor="text1"/>
          <w:lang w:val="es-CR" w:eastAsia="es-CR"/>
        </w:rPr>
        <w:t xml:space="preserve"> se formularon 6 planes de trabajo durante el 2021. En febrero y mayo del 2021 se apoyó con una persona técnica supernumeraria en el trámite de expedientes, reforzando al personal técnico titular. Del 22 al 30 de noviembre y del 1 al 12 de octubre del 2021 se colaboró con una persona técnica supernumeraria para el trámite de expedientes para que la titular del puesto realizara depuración de expedientes. </w:t>
      </w:r>
    </w:p>
    <w:p w14:paraId="1670D09E" w14:textId="77777777" w:rsidR="00CF7396" w:rsidRPr="00CF7396" w:rsidRDefault="00CF7396" w:rsidP="00CF7396">
      <w:pPr>
        <w:ind w:left="851" w:right="851" w:firstLine="709"/>
        <w:jc w:val="both"/>
        <w:rPr>
          <w:color w:val="000000" w:themeColor="text1"/>
          <w:lang w:val="es-CR" w:eastAsia="es-CR"/>
        </w:rPr>
      </w:pPr>
    </w:p>
    <w:p w14:paraId="00FFF6DF"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En mayo del 2021 se formuló un plan de trabajo para el remesado de expedientes.</w:t>
      </w:r>
    </w:p>
    <w:p w14:paraId="76AE88B3" w14:textId="77777777" w:rsidR="00CF7396" w:rsidRPr="00CF7396" w:rsidRDefault="00CF7396" w:rsidP="00CF7396">
      <w:pPr>
        <w:ind w:left="720"/>
        <w:jc w:val="both"/>
        <w:rPr>
          <w:color w:val="000000" w:themeColor="text1"/>
          <w:lang w:val="es-CR" w:eastAsia="es-CR"/>
        </w:rPr>
      </w:pPr>
    </w:p>
    <w:p w14:paraId="20BF2401" w14:textId="77777777" w:rsidR="00CF7396" w:rsidRPr="00CF7396" w:rsidRDefault="00CF7396" w:rsidP="00CF7396">
      <w:pPr>
        <w:numPr>
          <w:ilvl w:val="0"/>
          <w:numId w:val="54"/>
        </w:numPr>
        <w:jc w:val="both"/>
        <w:rPr>
          <w:b/>
          <w:bCs/>
          <w:color w:val="000000" w:themeColor="text1"/>
          <w:lang w:val="es-CR" w:eastAsia="es-CR"/>
        </w:rPr>
      </w:pPr>
      <w:r w:rsidRPr="00CF7396">
        <w:rPr>
          <w:b/>
          <w:bCs/>
          <w:color w:val="000000" w:themeColor="text1"/>
          <w:lang w:val="es-CR" w:eastAsia="es-CR"/>
        </w:rPr>
        <w:t>Juzgado Agrario del Primer Circuito Judicial de la Zona Atlántica:</w:t>
      </w:r>
    </w:p>
    <w:p w14:paraId="5FD50BCF" w14:textId="77777777" w:rsidR="00CF7396" w:rsidRPr="00CF7396" w:rsidRDefault="00CF7396" w:rsidP="00CF7396">
      <w:pPr>
        <w:ind w:left="720"/>
        <w:jc w:val="both"/>
        <w:rPr>
          <w:b/>
          <w:bCs/>
          <w:color w:val="000000" w:themeColor="text1"/>
          <w:lang w:val="es-CR" w:eastAsia="es-CR"/>
        </w:rPr>
      </w:pPr>
    </w:p>
    <w:tbl>
      <w:tblPr>
        <w:tblStyle w:val="Tablaconcuadrcula"/>
        <w:tblW w:w="7508" w:type="dxa"/>
        <w:jc w:val="center"/>
        <w:tblLook w:val="04A0" w:firstRow="1" w:lastRow="0" w:firstColumn="1" w:lastColumn="0" w:noHBand="0" w:noVBand="1"/>
      </w:tblPr>
      <w:tblGrid>
        <w:gridCol w:w="2943"/>
        <w:gridCol w:w="4565"/>
      </w:tblGrid>
      <w:tr w:rsidR="00CF7396" w:rsidRPr="00CF7396" w14:paraId="529829E8" w14:textId="77777777" w:rsidTr="00AF369B">
        <w:trPr>
          <w:jc w:val="center"/>
        </w:trPr>
        <w:tc>
          <w:tcPr>
            <w:tcW w:w="2943" w:type="dxa"/>
            <w:shd w:val="clear" w:color="auto" w:fill="244061" w:themeFill="accent1" w:themeFillShade="80"/>
          </w:tcPr>
          <w:p w14:paraId="0B32EF0D" w14:textId="77777777" w:rsidR="00CF7396" w:rsidRPr="00CF7396" w:rsidRDefault="00CF7396" w:rsidP="00CF7396">
            <w:pPr>
              <w:jc w:val="center"/>
              <w:rPr>
                <w:b/>
                <w:bCs/>
                <w:color w:val="000000" w:themeColor="text1"/>
              </w:rPr>
            </w:pPr>
            <w:r w:rsidRPr="00CF7396">
              <w:rPr>
                <w:b/>
                <w:bCs/>
                <w:color w:val="000000" w:themeColor="text1"/>
              </w:rPr>
              <w:t>Cantidad de planes de trabajo</w:t>
            </w:r>
          </w:p>
        </w:tc>
        <w:tc>
          <w:tcPr>
            <w:tcW w:w="4565" w:type="dxa"/>
            <w:shd w:val="clear" w:color="auto" w:fill="244061" w:themeFill="accent1" w:themeFillShade="80"/>
          </w:tcPr>
          <w:p w14:paraId="3C0979F3" w14:textId="77777777" w:rsidR="00CF7396" w:rsidRPr="00CF7396" w:rsidRDefault="00CF7396" w:rsidP="00CF7396">
            <w:pPr>
              <w:jc w:val="center"/>
              <w:rPr>
                <w:b/>
                <w:bCs/>
                <w:color w:val="000000" w:themeColor="text1"/>
              </w:rPr>
            </w:pPr>
            <w:r w:rsidRPr="00CF7396">
              <w:rPr>
                <w:b/>
                <w:bCs/>
                <w:color w:val="000000" w:themeColor="text1"/>
              </w:rPr>
              <w:t>Tipo de Plan de Trabajo</w:t>
            </w:r>
          </w:p>
        </w:tc>
      </w:tr>
      <w:tr w:rsidR="00CF7396" w:rsidRPr="00CF7396" w14:paraId="663A9CD2" w14:textId="77777777" w:rsidTr="00AF369B">
        <w:trPr>
          <w:jc w:val="center"/>
        </w:trPr>
        <w:tc>
          <w:tcPr>
            <w:tcW w:w="2943" w:type="dxa"/>
          </w:tcPr>
          <w:p w14:paraId="328C7FD3" w14:textId="77777777" w:rsidR="00CF7396" w:rsidRPr="00CF7396" w:rsidRDefault="00CF7396" w:rsidP="00CF7396">
            <w:pPr>
              <w:jc w:val="center"/>
              <w:rPr>
                <w:color w:val="000000" w:themeColor="text1"/>
              </w:rPr>
            </w:pPr>
            <w:r w:rsidRPr="00CF7396">
              <w:rPr>
                <w:color w:val="000000" w:themeColor="text1"/>
              </w:rPr>
              <w:t>5 planes de trabajo (con supernumerarios)</w:t>
            </w:r>
          </w:p>
          <w:p w14:paraId="531093A0" w14:textId="77777777" w:rsidR="00CF7396" w:rsidRPr="00CF7396" w:rsidRDefault="00CF7396" w:rsidP="00CF7396">
            <w:pPr>
              <w:jc w:val="center"/>
              <w:rPr>
                <w:color w:val="000000" w:themeColor="text1"/>
              </w:rPr>
            </w:pPr>
          </w:p>
        </w:tc>
        <w:tc>
          <w:tcPr>
            <w:tcW w:w="4565" w:type="dxa"/>
          </w:tcPr>
          <w:p w14:paraId="3DFC3006"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2 planes para capacitación del personal técnico supernumerario</w:t>
            </w:r>
          </w:p>
          <w:p w14:paraId="0ECB3A4A"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2 planes para dictado de sentencia</w:t>
            </w:r>
          </w:p>
          <w:p w14:paraId="2587CFC6"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1 plan para el puesto de manifestación en sustitución del titular para el inventario de expedientes.</w:t>
            </w:r>
          </w:p>
        </w:tc>
      </w:tr>
    </w:tbl>
    <w:p w14:paraId="719EFF79" w14:textId="77777777" w:rsidR="00CF7396" w:rsidRPr="00CF7396" w:rsidRDefault="00CF7396" w:rsidP="00CF7396">
      <w:pPr>
        <w:ind w:left="709" w:right="618"/>
        <w:jc w:val="both"/>
        <w:rPr>
          <w:color w:val="000000" w:themeColor="text1"/>
          <w:lang w:val="es-CR" w:eastAsia="es-CR"/>
        </w:rPr>
      </w:pPr>
      <w:r w:rsidRPr="00CF7396">
        <w:rPr>
          <w:b/>
          <w:bCs/>
          <w:color w:val="000000" w:themeColor="text1"/>
          <w:lang w:val="es-CR" w:eastAsia="es-CR"/>
        </w:rPr>
        <w:t>Fuente:</w:t>
      </w:r>
      <w:r w:rsidRPr="00CF7396">
        <w:rPr>
          <w:color w:val="000000" w:themeColor="text1"/>
          <w:lang w:val="es-CR" w:eastAsia="es-CR"/>
        </w:rPr>
        <w:t xml:space="preserve"> Datos obtenidos de la intranet de la Dirección de Planificación: </w:t>
      </w:r>
      <w:hyperlink r:id="rId50" w:history="1">
        <w:r w:rsidRPr="00CF7396">
          <w:rPr>
            <w:color w:val="000000" w:themeColor="text1"/>
            <w:u w:val="single"/>
            <w:lang w:val="es-CR"/>
          </w:rPr>
          <w:t>Modelo de Seguimiento y Sostenibilidad (poder-judicial.go.cr)</w:t>
        </w:r>
      </w:hyperlink>
    </w:p>
    <w:p w14:paraId="7BBBC754" w14:textId="77777777" w:rsidR="00CF7396" w:rsidRPr="00CF7396" w:rsidRDefault="00CF7396" w:rsidP="00CF7396">
      <w:pPr>
        <w:ind w:left="720"/>
        <w:jc w:val="both"/>
        <w:rPr>
          <w:b/>
          <w:bCs/>
          <w:color w:val="000000" w:themeColor="text1"/>
          <w:lang w:val="es-CR" w:eastAsia="es-CR"/>
        </w:rPr>
      </w:pPr>
    </w:p>
    <w:p w14:paraId="6DDAE3D0"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 xml:space="preserve">En el Juzgado Agrario del Primer Circuito Judicial de la zona Atlántica, para el 2021 se confeccionaron 5 planes de trabajo, de los cuales 2 planes de trabajo fueron para que capacitar a una persona técnica judicial en materia agraria, en agosto y setiembre del 2021. </w:t>
      </w:r>
    </w:p>
    <w:p w14:paraId="01629DF9" w14:textId="77777777" w:rsidR="00CF7396" w:rsidRPr="00CF7396" w:rsidRDefault="00CF7396" w:rsidP="00CF7396">
      <w:pPr>
        <w:ind w:left="851" w:right="851" w:firstLine="709"/>
        <w:jc w:val="both"/>
        <w:rPr>
          <w:color w:val="000000" w:themeColor="text1"/>
          <w:lang w:val="es-CR" w:eastAsia="es-CR"/>
        </w:rPr>
      </w:pPr>
    </w:p>
    <w:p w14:paraId="3F53133A"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Se apoyó con un plan de trabajo de una persona juzgadora supernumeraria para el fallo de expedientes, en agosto y setiembre del 2021. Al 29 de julio del 2021 el despacho tenía 70 expedientes pendientes de fallo, y al concluir setiembre del 2021 disminuyó a 60 expedientes pendientes de fallo, por lo que el impacto del plan fue de un 14%, entre el personal juzgador titular más el apoyo de la persona juzgadora supernumeraria.</w:t>
      </w:r>
    </w:p>
    <w:p w14:paraId="711573A2" w14:textId="77777777" w:rsidR="00CF7396" w:rsidRPr="00CF7396" w:rsidRDefault="00CF7396" w:rsidP="00CF7396">
      <w:pPr>
        <w:ind w:left="851" w:right="851" w:firstLine="709"/>
        <w:jc w:val="both"/>
        <w:rPr>
          <w:color w:val="000000" w:themeColor="text1"/>
          <w:lang w:val="es-CR" w:eastAsia="es-CR"/>
        </w:rPr>
      </w:pPr>
    </w:p>
    <w:p w14:paraId="5F01F1CE"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En julio se elaboró un plan para que la técnica judicial supernumeraria realizara el puesto de Manifestación en sustitución de la titular para que efectuara el inventario de expedientes.</w:t>
      </w:r>
    </w:p>
    <w:p w14:paraId="68A651A9" w14:textId="77777777" w:rsidR="00CF7396" w:rsidRPr="00CF7396" w:rsidRDefault="00CF7396" w:rsidP="00CF7396">
      <w:pPr>
        <w:ind w:left="720"/>
        <w:jc w:val="both"/>
        <w:rPr>
          <w:color w:val="000000" w:themeColor="text1"/>
          <w:lang w:val="es-CR" w:eastAsia="es-CR"/>
        </w:rPr>
      </w:pPr>
    </w:p>
    <w:p w14:paraId="4F97BAD4" w14:textId="77777777" w:rsidR="00CF7396" w:rsidRPr="00CF7396" w:rsidRDefault="00CF7396" w:rsidP="00CF7396">
      <w:pPr>
        <w:numPr>
          <w:ilvl w:val="0"/>
          <w:numId w:val="54"/>
        </w:numPr>
        <w:jc w:val="both"/>
        <w:rPr>
          <w:b/>
          <w:bCs/>
          <w:color w:val="000000" w:themeColor="text1"/>
          <w:lang w:val="es-CR" w:eastAsia="es-CR"/>
        </w:rPr>
      </w:pPr>
      <w:r w:rsidRPr="00CF7396">
        <w:rPr>
          <w:b/>
          <w:bCs/>
          <w:color w:val="000000" w:themeColor="text1"/>
          <w:lang w:val="es-CR" w:eastAsia="es-CR"/>
        </w:rPr>
        <w:t>Administración Regional del Primer Circuito Judicial de la Zona Atlántica:</w:t>
      </w:r>
    </w:p>
    <w:p w14:paraId="0AE72937" w14:textId="77777777" w:rsidR="00CF7396" w:rsidRPr="00CF7396" w:rsidRDefault="00CF7396" w:rsidP="00CF7396">
      <w:pPr>
        <w:ind w:left="720"/>
        <w:jc w:val="both"/>
        <w:rPr>
          <w:b/>
          <w:bCs/>
          <w:color w:val="000000" w:themeColor="text1"/>
          <w:lang w:val="es-CR" w:eastAsia="es-CR"/>
        </w:rPr>
      </w:pPr>
    </w:p>
    <w:tbl>
      <w:tblPr>
        <w:tblStyle w:val="Tablaconcuadrcula"/>
        <w:tblW w:w="7508" w:type="dxa"/>
        <w:jc w:val="center"/>
        <w:tblLook w:val="04A0" w:firstRow="1" w:lastRow="0" w:firstColumn="1" w:lastColumn="0" w:noHBand="0" w:noVBand="1"/>
      </w:tblPr>
      <w:tblGrid>
        <w:gridCol w:w="2943"/>
        <w:gridCol w:w="4565"/>
      </w:tblGrid>
      <w:tr w:rsidR="00CF7396" w:rsidRPr="00CF7396" w14:paraId="62F55332" w14:textId="77777777" w:rsidTr="00AF369B">
        <w:trPr>
          <w:jc w:val="center"/>
        </w:trPr>
        <w:tc>
          <w:tcPr>
            <w:tcW w:w="2943" w:type="dxa"/>
            <w:shd w:val="clear" w:color="auto" w:fill="244061" w:themeFill="accent1" w:themeFillShade="80"/>
          </w:tcPr>
          <w:p w14:paraId="6124E06C" w14:textId="77777777" w:rsidR="00CF7396" w:rsidRPr="00CF7396" w:rsidRDefault="00CF7396" w:rsidP="00CF7396">
            <w:pPr>
              <w:jc w:val="center"/>
              <w:rPr>
                <w:b/>
                <w:bCs/>
                <w:color w:val="000000" w:themeColor="text1"/>
              </w:rPr>
            </w:pPr>
            <w:r w:rsidRPr="00CF7396">
              <w:rPr>
                <w:b/>
                <w:bCs/>
                <w:color w:val="000000" w:themeColor="text1"/>
              </w:rPr>
              <w:t>Cantidad de planes de trabajo</w:t>
            </w:r>
          </w:p>
        </w:tc>
        <w:tc>
          <w:tcPr>
            <w:tcW w:w="4565" w:type="dxa"/>
            <w:shd w:val="clear" w:color="auto" w:fill="244061" w:themeFill="accent1" w:themeFillShade="80"/>
          </w:tcPr>
          <w:p w14:paraId="5EC266F9" w14:textId="77777777" w:rsidR="00CF7396" w:rsidRPr="00CF7396" w:rsidRDefault="00CF7396" w:rsidP="00CF7396">
            <w:pPr>
              <w:jc w:val="center"/>
              <w:rPr>
                <w:b/>
                <w:bCs/>
                <w:color w:val="000000" w:themeColor="text1"/>
              </w:rPr>
            </w:pPr>
            <w:r w:rsidRPr="00CF7396">
              <w:rPr>
                <w:b/>
                <w:bCs/>
                <w:color w:val="000000" w:themeColor="text1"/>
              </w:rPr>
              <w:t>Tipo de Plan de Trabajo</w:t>
            </w:r>
          </w:p>
        </w:tc>
      </w:tr>
      <w:tr w:rsidR="00CF7396" w:rsidRPr="00CF7396" w14:paraId="2F3BDE37" w14:textId="77777777" w:rsidTr="00AF369B">
        <w:trPr>
          <w:jc w:val="center"/>
        </w:trPr>
        <w:tc>
          <w:tcPr>
            <w:tcW w:w="2943" w:type="dxa"/>
          </w:tcPr>
          <w:p w14:paraId="78857EDA" w14:textId="77777777" w:rsidR="00CF7396" w:rsidRPr="00CF7396" w:rsidRDefault="00CF7396" w:rsidP="00CF7396">
            <w:pPr>
              <w:jc w:val="center"/>
              <w:rPr>
                <w:color w:val="000000" w:themeColor="text1"/>
              </w:rPr>
            </w:pPr>
            <w:r w:rsidRPr="00CF7396">
              <w:rPr>
                <w:color w:val="000000" w:themeColor="text1"/>
              </w:rPr>
              <w:t>2 planes de trabajo (con supernumerarios)</w:t>
            </w:r>
          </w:p>
          <w:p w14:paraId="34605B4B" w14:textId="77777777" w:rsidR="00CF7396" w:rsidRPr="00CF7396" w:rsidRDefault="00CF7396" w:rsidP="00CF7396">
            <w:pPr>
              <w:jc w:val="center"/>
              <w:rPr>
                <w:color w:val="000000" w:themeColor="text1"/>
              </w:rPr>
            </w:pPr>
          </w:p>
        </w:tc>
        <w:tc>
          <w:tcPr>
            <w:tcW w:w="4565" w:type="dxa"/>
          </w:tcPr>
          <w:p w14:paraId="6F9B2DE0" w14:textId="77777777" w:rsidR="00CF7396" w:rsidRPr="00CF7396" w:rsidRDefault="00CF7396" w:rsidP="00CF7396">
            <w:pPr>
              <w:numPr>
                <w:ilvl w:val="0"/>
                <w:numId w:val="48"/>
              </w:numPr>
              <w:suppressAutoHyphens w:val="0"/>
              <w:ind w:left="345"/>
              <w:rPr>
                <w:color w:val="000000" w:themeColor="text1"/>
              </w:rPr>
            </w:pPr>
            <w:r w:rsidRPr="00CF7396">
              <w:rPr>
                <w:color w:val="000000" w:themeColor="text1"/>
              </w:rPr>
              <w:t>2 planes para manifestación por temas de inventario de expedientes</w:t>
            </w:r>
          </w:p>
        </w:tc>
      </w:tr>
    </w:tbl>
    <w:p w14:paraId="26C8B6EE" w14:textId="77777777" w:rsidR="00CF7396" w:rsidRPr="00CF7396" w:rsidRDefault="00CF7396" w:rsidP="00CF7396">
      <w:pPr>
        <w:ind w:left="709" w:right="618"/>
        <w:jc w:val="both"/>
        <w:rPr>
          <w:color w:val="000000" w:themeColor="text1"/>
          <w:lang w:val="es-CR" w:eastAsia="es-CR"/>
        </w:rPr>
      </w:pPr>
      <w:r w:rsidRPr="00CF7396">
        <w:rPr>
          <w:b/>
          <w:bCs/>
          <w:color w:val="000000" w:themeColor="text1"/>
          <w:lang w:val="es-CR" w:eastAsia="es-CR"/>
        </w:rPr>
        <w:t>Fuente:</w:t>
      </w:r>
      <w:r w:rsidRPr="00CF7396">
        <w:rPr>
          <w:color w:val="000000" w:themeColor="text1"/>
          <w:lang w:val="es-CR" w:eastAsia="es-CR"/>
        </w:rPr>
        <w:t xml:space="preserve"> Datos obtenidos de la intranet de la Dirección de Planificación: </w:t>
      </w:r>
      <w:hyperlink r:id="rId51" w:history="1">
        <w:r w:rsidRPr="00CF7396">
          <w:rPr>
            <w:color w:val="000000" w:themeColor="text1"/>
            <w:u w:val="single"/>
            <w:lang w:val="es-CR"/>
          </w:rPr>
          <w:t>Modelo de Seguimiento y Sostenibilidad (poder-judicial.go.cr)</w:t>
        </w:r>
      </w:hyperlink>
    </w:p>
    <w:p w14:paraId="7D1E7EDB" w14:textId="77777777" w:rsidR="00CF7396" w:rsidRPr="00CF7396" w:rsidRDefault="00CF7396" w:rsidP="00CF7396">
      <w:pPr>
        <w:ind w:left="851" w:right="851" w:firstLine="709"/>
        <w:jc w:val="both"/>
        <w:rPr>
          <w:b/>
          <w:bCs/>
          <w:color w:val="000000" w:themeColor="text1"/>
          <w:lang w:val="es-CR" w:eastAsia="es-CR"/>
        </w:rPr>
      </w:pPr>
    </w:p>
    <w:p w14:paraId="15F592D2"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lang w:val="es-CR" w:eastAsia="es-CR"/>
        </w:rPr>
        <w:t>En mayo y junio la Administración Regional del Primer Circuito Judicial de la Zona Atlántica tenía que colaborar a los despachos con el inventario anual de expedientes, por lo que mantuvo en mayo del 2021 a una persona técnica supernumeraria y en junio a dos personas, para que las mismas realizaran funciones en los puestos de manifestación según cada despacho que tenían programados los inventarios, a fin de que la persona titular del puesto se abocara al inventario.</w:t>
      </w:r>
    </w:p>
    <w:p w14:paraId="090E2E20" w14:textId="77777777" w:rsidR="00CF7396" w:rsidRPr="00CF7396" w:rsidRDefault="00CF7396" w:rsidP="00CF7396">
      <w:pPr>
        <w:ind w:left="851" w:right="851" w:firstLine="709"/>
        <w:jc w:val="both"/>
        <w:rPr>
          <w:color w:val="000000" w:themeColor="text1"/>
          <w:lang w:val="es-CR" w:eastAsia="es-CR"/>
        </w:rPr>
      </w:pPr>
    </w:p>
    <w:p w14:paraId="000C3F12" w14:textId="77777777" w:rsidR="00CF7396" w:rsidRPr="00CF7396" w:rsidRDefault="00CF7396" w:rsidP="00CF7396">
      <w:pPr>
        <w:ind w:left="851" w:right="851" w:firstLine="709"/>
        <w:jc w:val="both"/>
        <w:rPr>
          <w:b/>
          <w:bCs/>
          <w:color w:val="000000" w:themeColor="text1"/>
          <w:lang w:val="es-CR"/>
        </w:rPr>
      </w:pPr>
      <w:r w:rsidRPr="00CF7396">
        <w:rPr>
          <w:b/>
          <w:bCs/>
          <w:color w:val="000000" w:themeColor="text1"/>
          <w:lang w:val="es-CR"/>
        </w:rPr>
        <w:t>7. Sostenibilidad a los Rediseños de procesos en los Circuitos Judiciales, a través de la operacionalización de las tareas afines al Modelo de Sostenibilidad judicial, para lograr la efectiva optimización de la gestión judicial.</w:t>
      </w:r>
    </w:p>
    <w:p w14:paraId="70DC46EA" w14:textId="77777777" w:rsidR="00CF7396" w:rsidRPr="00CF7396" w:rsidRDefault="00CF7396" w:rsidP="00CF7396">
      <w:pPr>
        <w:ind w:left="851" w:right="851" w:firstLine="709"/>
        <w:rPr>
          <w:color w:val="000000" w:themeColor="text1"/>
          <w:lang w:val="es-CR"/>
        </w:rPr>
      </w:pPr>
    </w:p>
    <w:p w14:paraId="4D9973BF" w14:textId="77777777" w:rsidR="00CF7396" w:rsidRPr="00CF7396" w:rsidRDefault="00CF7396" w:rsidP="00CF7396">
      <w:pPr>
        <w:ind w:left="851" w:right="851" w:firstLine="709"/>
        <w:jc w:val="both"/>
        <w:textAlignment w:val="baseline"/>
        <w:rPr>
          <w:color w:val="000000" w:themeColor="text1"/>
          <w:lang w:val="es-CR" w:eastAsia="es-CR"/>
        </w:rPr>
      </w:pPr>
      <w:r w:rsidRPr="00CF7396">
        <w:rPr>
          <w:color w:val="000000" w:themeColor="text1"/>
          <w:lang w:val="es-CR" w:eastAsia="es-CR"/>
        </w:rPr>
        <w:t>El Plan Anual Operativo de la Dirección de Planificación para el 2021, contempla como meta uno la Sostenibilidad a los Rediseños de procesos en los Circuito Judiciales, a través de la operacionalización de las tareas afines al Modelo de Sostenibilidad Judicial, para lograr la efectiva optimización de la gestión judicial. Debido a lo anterior, se incluyó en el cronograma de trabajo del 2021 diversas tareas para dar cumplimiento a dicha meta; a continuación, se citan brevemente:</w:t>
      </w:r>
    </w:p>
    <w:p w14:paraId="12FA4DDE" w14:textId="77777777" w:rsidR="00CF7396" w:rsidRPr="00CF7396" w:rsidRDefault="00CF7396" w:rsidP="00CF7396">
      <w:pPr>
        <w:ind w:left="851" w:right="851" w:firstLine="709"/>
        <w:jc w:val="both"/>
        <w:textAlignment w:val="baseline"/>
        <w:rPr>
          <w:color w:val="000000" w:themeColor="text1"/>
          <w:lang w:val="es-CR" w:eastAsia="es-CR"/>
        </w:rPr>
      </w:pPr>
    </w:p>
    <w:p w14:paraId="2789EB35" w14:textId="77777777" w:rsidR="00CF7396" w:rsidRPr="00CF7396" w:rsidRDefault="00CF7396" w:rsidP="00CF7396">
      <w:pPr>
        <w:numPr>
          <w:ilvl w:val="0"/>
          <w:numId w:val="44"/>
        </w:numPr>
        <w:ind w:left="851" w:right="851" w:firstLine="709"/>
        <w:jc w:val="both"/>
        <w:textAlignment w:val="baseline"/>
        <w:rPr>
          <w:color w:val="000000" w:themeColor="text1"/>
          <w:lang w:val="es-CR" w:eastAsia="es-CR"/>
        </w:rPr>
      </w:pPr>
      <w:r w:rsidRPr="00CF7396">
        <w:rPr>
          <w:color w:val="000000" w:themeColor="text1"/>
          <w:lang w:val="es-CR" w:eastAsia="es-CR"/>
        </w:rPr>
        <w:t>Informe definitivo 702-PLA-EV-2021 del 29 de junio del 2021: Se elaboró el plan de trabajo de cobro-civil, para que las personas técnicas judiciales del Juzgado Civil del Primer Circuito Judicial de la Zona Atlántica realizaran demandas nuevas en materia cobratoria. Lo anterior fue aprobado por el Consejo Superior en sesión 95-2021 del 4 de noviembre del 2021, artículo XXXIII.</w:t>
      </w:r>
    </w:p>
    <w:p w14:paraId="71111483" w14:textId="77777777" w:rsidR="00CF7396" w:rsidRPr="00CF7396" w:rsidRDefault="00CF7396" w:rsidP="00CF7396">
      <w:pPr>
        <w:numPr>
          <w:ilvl w:val="0"/>
          <w:numId w:val="44"/>
        </w:numPr>
        <w:ind w:left="851" w:right="851" w:firstLine="709"/>
        <w:jc w:val="both"/>
        <w:textAlignment w:val="baseline"/>
        <w:rPr>
          <w:color w:val="000000" w:themeColor="text1"/>
          <w:lang w:val="es-CR" w:eastAsia="es-CR"/>
        </w:rPr>
      </w:pPr>
      <w:r w:rsidRPr="00CF7396">
        <w:rPr>
          <w:color w:val="000000" w:themeColor="text1"/>
          <w:lang w:val="es-CR" w:eastAsia="es-CR"/>
        </w:rPr>
        <w:t>Informe preliminar 803-PLA-EV-MI-2021 del 16 de julio del 2021: Corresponde al plan de descongestionamiento del Tribunal Penal del Primer Circuito Judicial de la Zona Atlántica, el mismo se encuentra pendiente de elaborar el oficio definitivo, conforme fue informado al Consejo Superior mediante oficio 1146-PLA-EV-MI-2021 del 8 de octubre del 2021 que en lo conducente dice:</w:t>
      </w:r>
    </w:p>
    <w:p w14:paraId="374CD1A3" w14:textId="77777777" w:rsidR="00CF7396" w:rsidRPr="00CF7396" w:rsidRDefault="00CF7396" w:rsidP="00CF7396">
      <w:pPr>
        <w:ind w:left="851" w:right="851" w:firstLine="709"/>
        <w:rPr>
          <w:color w:val="000000" w:themeColor="text1"/>
          <w:lang w:val="es-CR" w:eastAsia="es-CR"/>
        </w:rPr>
      </w:pPr>
    </w:p>
    <w:p w14:paraId="1913315C" w14:textId="77777777" w:rsidR="00CF7396" w:rsidRPr="00CF7396" w:rsidRDefault="00CF7396" w:rsidP="00CF7396">
      <w:pPr>
        <w:ind w:left="851" w:right="851" w:firstLine="709"/>
        <w:jc w:val="both"/>
        <w:rPr>
          <w:i/>
          <w:iCs/>
          <w:color w:val="000000" w:themeColor="text1"/>
          <w:lang w:val="es-CR"/>
        </w:rPr>
      </w:pPr>
      <w:r w:rsidRPr="00CF7396">
        <w:rPr>
          <w:i/>
          <w:iCs/>
          <w:color w:val="000000" w:themeColor="text1"/>
          <w:lang w:val="es-CR"/>
        </w:rPr>
        <w:t xml:space="preserve">“En el citado acuerdo se conoce el oficio 20-CNFG-2021 y se indica que la Dirección de Planificación trabaja en un plan de descongestionamiento al Tribunal Penal, lo cual se tiene aún en elaboración y mediante oficio 803-PLA-EV-MI-2021 fue puesto en conocimiento del Tribunal Penal del Primer Circuito Judicial de la Zona Atlántica, a la Sección de Flagrancia de dicho Circuito, a la Comisión de la Jurisdicción Penal, a la Comisión Nacional de Flagrancia, Consejo de Administración del mencionado Circuito, Fiscalía General de la República, Fiscalía Adjunta del Primer Circuito Judicial de la Zona Atlántica, Defensa Pública, Defensa Pública del Primer Circuito Judicial de la Zona Atlántica, Organismo de Investigación Judicial, Administración Regional del Primer Circuito Judicial de la Zona Atlántica para que manifestaran sus observaciones. </w:t>
      </w:r>
    </w:p>
    <w:p w14:paraId="1059536B" w14:textId="77777777" w:rsidR="00CF7396" w:rsidRPr="00CF7396" w:rsidRDefault="00CF7396" w:rsidP="00CF7396">
      <w:pPr>
        <w:ind w:left="851" w:right="851" w:firstLine="709"/>
        <w:jc w:val="both"/>
        <w:rPr>
          <w:i/>
          <w:iCs/>
          <w:color w:val="000000" w:themeColor="text1"/>
          <w:lang w:val="es-CR"/>
        </w:rPr>
      </w:pPr>
    </w:p>
    <w:p w14:paraId="4DE1DDCD" w14:textId="77777777" w:rsidR="00CF7396" w:rsidRPr="00CF7396" w:rsidRDefault="00CF7396" w:rsidP="00CF7396">
      <w:pPr>
        <w:ind w:left="851" w:right="851" w:firstLine="709"/>
        <w:jc w:val="both"/>
        <w:rPr>
          <w:i/>
          <w:iCs/>
          <w:color w:val="000000" w:themeColor="text1"/>
          <w:lang w:val="es-CR"/>
        </w:rPr>
      </w:pPr>
      <w:r w:rsidRPr="00CF7396">
        <w:rPr>
          <w:i/>
          <w:iCs/>
          <w:color w:val="000000" w:themeColor="text1"/>
          <w:lang w:val="es-CR"/>
        </w:rPr>
        <w:t xml:space="preserve">Actualmente esta Dirección aún sigue trabajando en la elaboración de la versión definitiva de dicho plan de descongestionamiento del Tribunal Penal del Primer Circuito Judicial de la Zona Atlántica, para lo cual se hace necesario llevar a cabo una serie de tareas previas de manera coordinada entre diferentes Subprocesos de esta Dirección, de manera que se logre atender de manera integral la necesidad existente en dicho despacho, inclusive implica la aplicación de un instrumento de medición del tamizaje de asuntos de flagrancia en la Fiscalía de dicha zona  </w:t>
      </w:r>
    </w:p>
    <w:p w14:paraId="6D06E892" w14:textId="77777777" w:rsidR="00CF7396" w:rsidRPr="00CF7396" w:rsidRDefault="00CF7396" w:rsidP="00CF7396">
      <w:pPr>
        <w:ind w:left="851" w:right="851" w:firstLine="709"/>
        <w:jc w:val="both"/>
        <w:rPr>
          <w:i/>
          <w:iCs/>
          <w:color w:val="000000" w:themeColor="text1"/>
          <w:lang w:val="es-CR"/>
        </w:rPr>
      </w:pPr>
    </w:p>
    <w:p w14:paraId="3D1526D8" w14:textId="77777777" w:rsidR="00CF7396" w:rsidRPr="00CF7396" w:rsidRDefault="00CF7396" w:rsidP="00CF7396">
      <w:pPr>
        <w:ind w:left="851" w:right="851" w:firstLine="709"/>
        <w:jc w:val="both"/>
        <w:rPr>
          <w:i/>
          <w:iCs/>
          <w:color w:val="000000" w:themeColor="text1"/>
          <w:lang w:val="es-CR"/>
        </w:rPr>
      </w:pPr>
      <w:r w:rsidRPr="00CF7396">
        <w:rPr>
          <w:i/>
          <w:iCs/>
          <w:color w:val="000000" w:themeColor="text1"/>
          <w:lang w:val="es-CR"/>
        </w:rPr>
        <w:t>Por lo tanto, para dar cumplimiento a lo acordado en la sesión del Consejo Superior 56-2021 celebrada el 6 de julio del 2021, artículo XLIV, relacionado con los puntos 2 y 4 del acuerdo, donde se solicita específicamente a la Dirección de Planificación realizar un seguimiento sobre el cumplimiento del plan de trabajo e informar al Consejo Superior y a la Comisión Nacional de Flagrancia sobre los resultados obtenidos, se comunica que dicho informe de seguimiento, quedaría sujeto a la implementación del nuevo plan de trabajo, el cual ya fue puesto en consulta a los interesados con oficio 803-PLA-EV-MI-2021 y está en elaboración del informe definitivo, el cual posteriormente debe presentar y esperar la aprobación del mismo, por los órganos superiores, para poder llevar a cabo el seguimiento solicitado por Consejo Superior en dicha sesión.”.</w:t>
      </w:r>
    </w:p>
    <w:p w14:paraId="6F800568" w14:textId="77777777" w:rsidR="00CF7396" w:rsidRPr="00CF7396" w:rsidRDefault="00CF7396" w:rsidP="00CF7396">
      <w:pPr>
        <w:ind w:left="851" w:right="851" w:firstLine="709"/>
        <w:jc w:val="both"/>
        <w:rPr>
          <w:i/>
          <w:iCs/>
          <w:color w:val="000000" w:themeColor="text1"/>
          <w:lang w:val="es-CR"/>
        </w:rPr>
      </w:pPr>
    </w:p>
    <w:p w14:paraId="1D5C57ED" w14:textId="77777777" w:rsidR="00CF7396" w:rsidRPr="00CF7396" w:rsidRDefault="00CF7396" w:rsidP="00CF7396">
      <w:pPr>
        <w:ind w:left="851" w:right="851" w:firstLine="709"/>
        <w:jc w:val="center"/>
        <w:rPr>
          <w:color w:val="000000" w:themeColor="text1"/>
          <w:lang w:val="es-CR"/>
        </w:rPr>
      </w:pPr>
      <w:r w:rsidRPr="00CF7396">
        <w:rPr>
          <w:color w:val="000000" w:themeColor="text1"/>
          <w:lang w:val="es-CR"/>
        </w:rPr>
        <w:t>-0-</w:t>
      </w:r>
    </w:p>
    <w:p w14:paraId="7AA5DD5C" w14:textId="77777777" w:rsidR="00CF7396" w:rsidRPr="00CF7396" w:rsidRDefault="00CF7396" w:rsidP="00CF7396">
      <w:pPr>
        <w:ind w:left="851" w:right="851" w:firstLine="709"/>
        <w:jc w:val="both"/>
        <w:rPr>
          <w:b/>
          <w:bCs/>
          <w:color w:val="000000" w:themeColor="text1"/>
          <w:lang w:val="es-CR"/>
        </w:rPr>
      </w:pPr>
    </w:p>
    <w:p w14:paraId="482A1073" w14:textId="77777777" w:rsidR="00CF7396" w:rsidRPr="00CF7396" w:rsidRDefault="00CF7396" w:rsidP="00CF7396">
      <w:pPr>
        <w:ind w:left="851" w:right="851" w:firstLine="709"/>
        <w:jc w:val="both"/>
        <w:rPr>
          <w:i/>
          <w:iCs/>
          <w:color w:val="000000" w:themeColor="text1"/>
          <w:lang w:val="es-CR"/>
        </w:rPr>
      </w:pPr>
      <w:r w:rsidRPr="00CF7396">
        <w:rPr>
          <w:b/>
          <w:bCs/>
          <w:i/>
          <w:iCs/>
          <w:color w:val="000000" w:themeColor="text1"/>
          <w:lang w:val="es-CR"/>
        </w:rPr>
        <w:t>Se acordó:</w:t>
      </w:r>
      <w:r w:rsidRPr="00CF7396">
        <w:rPr>
          <w:i/>
          <w:iCs/>
          <w:color w:val="000000" w:themeColor="text1"/>
          <w:lang w:val="es-CR"/>
        </w:rPr>
        <w:t xml:space="preserve"> Tomar nota de lo indicado por la Dirección de Planificación mediante oficio </w:t>
      </w:r>
      <w:proofErr w:type="spellStart"/>
      <w:r w:rsidRPr="00CF7396">
        <w:rPr>
          <w:i/>
          <w:iCs/>
          <w:color w:val="000000" w:themeColor="text1"/>
          <w:lang w:val="es-CR"/>
        </w:rPr>
        <w:t>N°</w:t>
      </w:r>
      <w:proofErr w:type="spellEnd"/>
      <w:r w:rsidRPr="00CF7396">
        <w:rPr>
          <w:i/>
          <w:iCs/>
          <w:color w:val="000000" w:themeColor="text1"/>
          <w:lang w:val="es-CR"/>
        </w:rPr>
        <w:t xml:space="preserve"> 1146-PLA-EV-MI-2021 del 08 de octubre de 2021, respecto al seguimiento sobre el cumplimiento del plan de descongestionamiento, para la Sección de Flagrancias del Primer Circuito Judicial de la Zona Atlántica y estar a la espera del informe definitivo el cual queda sujeto a la implementación del nuevo plan de trabajo, asimismo, esperar su aprobación”.</w:t>
      </w:r>
    </w:p>
    <w:p w14:paraId="10C5F9B3" w14:textId="77777777" w:rsidR="00CF7396" w:rsidRPr="00CF7396" w:rsidRDefault="00CF7396" w:rsidP="00CF7396">
      <w:pPr>
        <w:ind w:left="851" w:right="851" w:firstLine="709"/>
        <w:jc w:val="both"/>
        <w:rPr>
          <w:i/>
          <w:iCs/>
          <w:color w:val="000000" w:themeColor="text1"/>
          <w:lang w:val="es-CR"/>
        </w:rPr>
      </w:pPr>
    </w:p>
    <w:p w14:paraId="16090D6A"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En relación con dicho informe se hace del conocimiento las tareas que se han efectuado posterior al acuerdo. El Subproceso de Estadística realizó de forma conjunta con el despacho una depuración o inventario de expedientes en el Tribunal Penal; al 27 de mayo del 2022 aún el Subproceso tiene pendiente de revisar y enviar inconsistencias al despacho. Aunado a lo anterior se efectuó un muestreo en la Fiscalía Adjunta del Circuito para aquellos asuntos que corresponden a Flagrancia; dicho muestreo también fue realizado en el Tribunal Penal y Juzgado Penal del Circuito, así como en el Juzgado Penal de Batán y </w:t>
      </w:r>
      <w:proofErr w:type="spellStart"/>
      <w:r w:rsidRPr="00CF7396">
        <w:rPr>
          <w:color w:val="000000" w:themeColor="text1"/>
          <w:lang w:val="es-CR"/>
        </w:rPr>
        <w:t>Bribrí</w:t>
      </w:r>
      <w:proofErr w:type="spellEnd"/>
      <w:r w:rsidRPr="00CF7396">
        <w:rPr>
          <w:color w:val="000000" w:themeColor="text1"/>
          <w:lang w:val="es-CR"/>
        </w:rPr>
        <w:t>. Por lo que se encuentra a la espera de los resultados del inventario y del muestreo, y continuar con la elaboración del informe según cronograma de trabajo de la Profesional de Planificación.</w:t>
      </w:r>
    </w:p>
    <w:p w14:paraId="745456A0" w14:textId="77777777" w:rsidR="00CF7396" w:rsidRPr="00CF7396" w:rsidRDefault="00CF7396" w:rsidP="00CF7396">
      <w:pPr>
        <w:ind w:left="851" w:right="851" w:firstLine="709"/>
        <w:jc w:val="both"/>
        <w:textAlignment w:val="baseline"/>
        <w:rPr>
          <w:color w:val="000000" w:themeColor="text1"/>
          <w:lang w:val="es-CR" w:eastAsia="es-CR"/>
        </w:rPr>
      </w:pPr>
    </w:p>
    <w:p w14:paraId="628C1E07" w14:textId="77777777" w:rsidR="00CF7396" w:rsidRPr="00CF7396" w:rsidRDefault="00CF7396" w:rsidP="00CF7396">
      <w:pPr>
        <w:numPr>
          <w:ilvl w:val="0"/>
          <w:numId w:val="55"/>
        </w:numPr>
        <w:ind w:left="851" w:right="851" w:firstLine="709"/>
        <w:jc w:val="both"/>
        <w:textAlignment w:val="baseline"/>
        <w:rPr>
          <w:color w:val="000000" w:themeColor="text1"/>
          <w:bdr w:val="none" w:sz="0" w:space="0" w:color="auto" w:frame="1"/>
          <w:lang w:val="es-CR" w:eastAsia="es-CR"/>
        </w:rPr>
      </w:pPr>
      <w:r w:rsidRPr="00CF7396">
        <w:rPr>
          <w:color w:val="000000" w:themeColor="text1"/>
          <w:lang w:val="es-CR" w:eastAsia="es-CR"/>
        </w:rPr>
        <w:t xml:space="preserve">Plan de trabajo en audiencias anticipadas en materia agraria: En el 2021 y por iniciativa del Centro de Conciliación del Circuito, se desarrolló reunión mediante minuta 957-PLA-EV-MNTA-2021 del 18 de octubre del 2021, para realizar audiencias anticipadas en materia agraria con el Juzgado Agrario del Circuito. El plan fue conocido por la </w:t>
      </w:r>
      <w:r w:rsidRPr="00CF7396">
        <w:rPr>
          <w:color w:val="000000" w:themeColor="text1"/>
          <w:bdr w:val="none" w:sz="0" w:space="0" w:color="auto" w:frame="1"/>
          <w:lang w:val="es-CR" w:eastAsia="es-CR"/>
        </w:rPr>
        <w:t xml:space="preserve">Comisión de la Jurisdicción Agraria, en sesión 07-2021 del 16 de julio del 2021, artículo XIX. </w:t>
      </w:r>
      <w:proofErr w:type="gramStart"/>
      <w:r w:rsidRPr="00CF7396">
        <w:rPr>
          <w:color w:val="000000" w:themeColor="text1"/>
          <w:bdr w:val="none" w:sz="0" w:space="0" w:color="auto" w:frame="1"/>
          <w:lang w:val="es-CR" w:eastAsia="es-CR"/>
        </w:rPr>
        <w:t>Indicar</w:t>
      </w:r>
      <w:proofErr w:type="gramEnd"/>
      <w:r w:rsidRPr="00CF7396">
        <w:rPr>
          <w:color w:val="000000" w:themeColor="text1"/>
          <w:bdr w:val="none" w:sz="0" w:space="0" w:color="auto" w:frame="1"/>
          <w:lang w:val="es-CR" w:eastAsia="es-CR"/>
        </w:rPr>
        <w:t xml:space="preserve"> que el Centro de Conciliación con dicha propuesta obtuvo un reconocimiento de Buena Práctica.</w:t>
      </w:r>
    </w:p>
    <w:p w14:paraId="3468CD95" w14:textId="77777777" w:rsidR="00CF7396" w:rsidRPr="00CF7396" w:rsidRDefault="00CF7396" w:rsidP="00CF7396">
      <w:pPr>
        <w:ind w:left="851" w:right="851" w:firstLine="709"/>
        <w:rPr>
          <w:color w:val="000000" w:themeColor="text1"/>
          <w:bdr w:val="none" w:sz="0" w:space="0" w:color="auto" w:frame="1"/>
          <w:lang w:val="es-CR" w:eastAsia="es-CR"/>
        </w:rPr>
      </w:pPr>
    </w:p>
    <w:p w14:paraId="33A39B35" w14:textId="77777777" w:rsidR="00CF7396" w:rsidRPr="00CF7396" w:rsidRDefault="00CF7396" w:rsidP="00CF7396">
      <w:pPr>
        <w:numPr>
          <w:ilvl w:val="0"/>
          <w:numId w:val="55"/>
        </w:numPr>
        <w:ind w:left="851" w:right="851" w:firstLine="709"/>
        <w:jc w:val="both"/>
        <w:textAlignment w:val="baseline"/>
        <w:rPr>
          <w:color w:val="000000" w:themeColor="text1"/>
          <w:bdr w:val="none" w:sz="0" w:space="0" w:color="auto" w:frame="1"/>
          <w:lang w:val="es-CR" w:eastAsia="es-CR"/>
        </w:rPr>
      </w:pPr>
      <w:r w:rsidRPr="00CF7396">
        <w:rPr>
          <w:color w:val="000000" w:themeColor="text1"/>
          <w:bdr w:val="none" w:sz="0" w:space="0" w:color="auto" w:frame="1"/>
          <w:lang w:val="es-CR" w:eastAsia="es-CR"/>
        </w:rPr>
        <w:t>Informe 262-PLA-EV-MI-2021: Referente a realizar juicios en cierres colectivo 2020-2021 por parte de la Sección de Flagrancia del Primer Circuito Judicial de la Zona Atlántica, el mismo fue conocido por la Comisión Nacional de Flagrancia en sesión 3-2021 del 12 de marzo del 2021, artículo I. Y el acuerdo de la Comisión lo atendió el Consejo Superior en sesión 22-2021 del 16 de marzo del 2021, artículo LVI.</w:t>
      </w:r>
    </w:p>
    <w:p w14:paraId="2685FE12" w14:textId="77777777" w:rsidR="00CF7396" w:rsidRPr="00CF7396" w:rsidRDefault="00CF7396" w:rsidP="00CF7396">
      <w:pPr>
        <w:ind w:left="851" w:right="851" w:firstLine="709"/>
        <w:rPr>
          <w:color w:val="000000" w:themeColor="text1"/>
          <w:bdr w:val="none" w:sz="0" w:space="0" w:color="auto" w:frame="1"/>
          <w:lang w:val="es-CR" w:eastAsia="es-CR"/>
        </w:rPr>
      </w:pPr>
    </w:p>
    <w:p w14:paraId="7D70CCC1" w14:textId="77777777" w:rsidR="00CF7396" w:rsidRPr="00CF7396" w:rsidRDefault="00CF7396" w:rsidP="00CF7396">
      <w:pPr>
        <w:numPr>
          <w:ilvl w:val="0"/>
          <w:numId w:val="55"/>
        </w:numPr>
        <w:ind w:left="851" w:right="851" w:firstLine="709"/>
        <w:jc w:val="both"/>
        <w:textAlignment w:val="baseline"/>
        <w:rPr>
          <w:color w:val="000000" w:themeColor="text1"/>
          <w:bdr w:val="none" w:sz="0" w:space="0" w:color="auto" w:frame="1"/>
          <w:lang w:val="es-CR" w:eastAsia="es-CR"/>
        </w:rPr>
      </w:pPr>
      <w:r w:rsidRPr="00CF7396">
        <w:rPr>
          <w:color w:val="000000" w:themeColor="text1"/>
          <w:bdr w:val="none" w:sz="0" w:space="0" w:color="auto" w:frame="1"/>
          <w:lang w:val="es-CR" w:eastAsia="es-CR"/>
        </w:rPr>
        <w:t>Informe 539-PLA-EV-MI-2021: Seguimiento de la Sección de Flagrancia del Primer Circuito Judicial de la Zona Atlántica, en atención al acuerdo tomado por el Consejo Superior en sesión 26-2021 del 6 de abril del 2021, artículo LXXIX. Dicho informe fue conocido por el Consejo Superior en sesión 47-2021 del 8 de junio del 2021, artículo L.</w:t>
      </w:r>
    </w:p>
    <w:p w14:paraId="6B6C0E9B" w14:textId="77777777" w:rsidR="00CF7396" w:rsidRPr="00CF7396" w:rsidRDefault="00CF7396" w:rsidP="00CF7396">
      <w:pPr>
        <w:ind w:left="851" w:right="851" w:firstLine="709"/>
        <w:rPr>
          <w:color w:val="000000" w:themeColor="text1"/>
          <w:bdr w:val="none" w:sz="0" w:space="0" w:color="auto" w:frame="1"/>
          <w:lang w:val="es-CR" w:eastAsia="es-CR"/>
        </w:rPr>
      </w:pPr>
    </w:p>
    <w:p w14:paraId="2B795250" w14:textId="77777777" w:rsidR="00CF7396" w:rsidRPr="00CF7396" w:rsidRDefault="00CF7396" w:rsidP="00CF7396">
      <w:pPr>
        <w:ind w:left="851" w:right="851" w:firstLine="709"/>
        <w:jc w:val="both"/>
        <w:textAlignment w:val="baseline"/>
        <w:rPr>
          <w:color w:val="000000" w:themeColor="text1"/>
          <w:bdr w:val="none" w:sz="0" w:space="0" w:color="auto" w:frame="1"/>
          <w:lang w:val="es-CR" w:eastAsia="es-CR"/>
        </w:rPr>
      </w:pPr>
      <w:r w:rsidRPr="00CF7396">
        <w:rPr>
          <w:color w:val="000000" w:themeColor="text1"/>
          <w:bdr w:val="none" w:sz="0" w:space="0" w:color="auto" w:frame="1"/>
          <w:lang w:val="es-CR" w:eastAsia="es-CR"/>
        </w:rPr>
        <w:t>Aunado a lo anterior, también se estuvo laborando en otros temas que se indican a continuación:</w:t>
      </w:r>
    </w:p>
    <w:p w14:paraId="6857803B" w14:textId="77777777" w:rsidR="00CF7396" w:rsidRPr="00CF7396" w:rsidRDefault="00CF7396" w:rsidP="00CF7396">
      <w:pPr>
        <w:ind w:left="851" w:right="851" w:firstLine="709"/>
        <w:rPr>
          <w:color w:val="000000" w:themeColor="text1"/>
          <w:bdr w:val="none" w:sz="0" w:space="0" w:color="auto" w:frame="1"/>
          <w:lang w:val="es-CR" w:eastAsia="es-CR"/>
        </w:rPr>
      </w:pPr>
    </w:p>
    <w:p w14:paraId="7FDF47F9" w14:textId="77777777" w:rsidR="00CF7396" w:rsidRPr="00CF7396" w:rsidRDefault="00CF7396" w:rsidP="00CF7396">
      <w:pPr>
        <w:numPr>
          <w:ilvl w:val="0"/>
          <w:numId w:val="55"/>
        </w:numPr>
        <w:ind w:left="851" w:right="851" w:firstLine="709"/>
        <w:jc w:val="both"/>
        <w:textAlignment w:val="baseline"/>
        <w:rPr>
          <w:color w:val="000000" w:themeColor="text1"/>
          <w:lang w:val="es-CR" w:eastAsia="es-CR"/>
        </w:rPr>
      </w:pPr>
      <w:r w:rsidRPr="00CF7396">
        <w:rPr>
          <w:color w:val="000000" w:themeColor="text1"/>
          <w:lang w:val="es-CR" w:eastAsia="es-CR"/>
        </w:rPr>
        <w:t xml:space="preserve">Juzgado de Trabajo del Primer Circuito Judicial de la Zona Atlántica:  Durante el 2021 se realizaron varios seguimientos en el despacho enfocados a la depuración y actualización de la agenda cronos, por cuanto se logró identificar que existían meses incompletos con la cantidad mínima de señalamientos, </w:t>
      </w:r>
      <w:r w:rsidRPr="00CF7396">
        <w:rPr>
          <w:color w:val="000000" w:themeColor="text1"/>
          <w:lang w:val="es-CR" w:eastAsia="zh-CN"/>
        </w:rPr>
        <w:t xml:space="preserve">lo anterior, de conformidad con el nuevo ajuste de cuotas de trabajo aprobado por el Consejo Superior en sesión 49-2021 del 15 de junio del 2021, artículo XII </w:t>
      </w:r>
      <w:r w:rsidRPr="00CF7396">
        <w:rPr>
          <w:color w:val="000000" w:themeColor="text1"/>
          <w:lang w:val="es-CR" w:eastAsia="es-CR"/>
        </w:rPr>
        <w:t>(los correos electrónicos enviados se incluyeron en el Sistema Integrado de Correspondencia Interna de la Dirección de Planificación mediante documento 1967-PLA-EV-TR-2021).</w:t>
      </w:r>
    </w:p>
    <w:p w14:paraId="33D914EB" w14:textId="77777777" w:rsidR="00CF7396" w:rsidRPr="00CF7396" w:rsidRDefault="00CF7396" w:rsidP="00CF7396">
      <w:pPr>
        <w:ind w:left="851" w:right="851" w:firstLine="709"/>
        <w:jc w:val="both"/>
        <w:textAlignment w:val="baseline"/>
        <w:rPr>
          <w:color w:val="000000" w:themeColor="text1"/>
          <w:lang w:val="es-CR" w:eastAsia="es-CR"/>
        </w:rPr>
      </w:pPr>
    </w:p>
    <w:p w14:paraId="2A043FC8" w14:textId="77777777" w:rsidR="00CF7396" w:rsidRPr="00CF7396" w:rsidRDefault="00CF7396" w:rsidP="00CF7396">
      <w:pPr>
        <w:ind w:left="851" w:right="851" w:firstLine="709"/>
        <w:jc w:val="both"/>
        <w:textAlignment w:val="baseline"/>
        <w:rPr>
          <w:color w:val="000000" w:themeColor="text1"/>
          <w:lang w:val="es-CR" w:eastAsia="zh-CN"/>
        </w:rPr>
      </w:pPr>
      <w:r w:rsidRPr="00CF7396">
        <w:rPr>
          <w:color w:val="000000" w:themeColor="text1"/>
          <w:lang w:val="es-CR" w:eastAsia="es-CR"/>
        </w:rPr>
        <w:t xml:space="preserve">Adicionalmente mediante presentación 1958-PLA-EV-TR-2021 para el Consejo de Administración del Circuito e informe 299-PLA-EV-2021 del 11 de marzo del 2021, se elaboraron planes de trabajo con personal supernumerario, los cuales fueron aprobados por el Consejo Superior </w:t>
      </w:r>
      <w:r w:rsidRPr="00CF7396">
        <w:rPr>
          <w:color w:val="000000" w:themeColor="text1"/>
          <w:lang w:val="es-CR"/>
        </w:rPr>
        <w:t xml:space="preserve">sesión celebrada el 04 de marzo de 2021, artículo XIII, ante la negativa del plan por parte del personal juzgador supernumerario. </w:t>
      </w:r>
    </w:p>
    <w:p w14:paraId="000FAF48" w14:textId="77777777" w:rsidR="00CF7396" w:rsidRPr="00CF7396" w:rsidRDefault="00CF7396" w:rsidP="00CF7396">
      <w:pPr>
        <w:ind w:left="851" w:right="851" w:firstLine="709"/>
        <w:jc w:val="both"/>
        <w:textAlignment w:val="baseline"/>
        <w:rPr>
          <w:color w:val="000000" w:themeColor="text1"/>
          <w:lang w:val="es-CR" w:eastAsia="zh-CN"/>
        </w:rPr>
      </w:pPr>
    </w:p>
    <w:p w14:paraId="74C4058A" w14:textId="77777777" w:rsidR="00CF7396" w:rsidRPr="00CF7396" w:rsidRDefault="00CF7396" w:rsidP="00CF7396">
      <w:pPr>
        <w:ind w:left="851" w:right="851" w:firstLine="709"/>
        <w:jc w:val="both"/>
        <w:textAlignment w:val="baseline"/>
        <w:rPr>
          <w:color w:val="000000" w:themeColor="text1"/>
          <w:lang w:val="es-CR" w:eastAsia="es-CR"/>
        </w:rPr>
      </w:pPr>
      <w:r w:rsidRPr="00CF7396">
        <w:rPr>
          <w:color w:val="000000" w:themeColor="text1"/>
          <w:lang w:val="es-CR" w:eastAsia="zh-CN"/>
        </w:rPr>
        <w:t>Igualmente se dio seguimiento con los expedientes que tenían que enviar al Centro de Conciliación del Primer Circuito Judicial de la Zona Atlántica. Por otro lado, se había recomendado realizar un seguimiento semanal por parte del despacho al personal técnico judicial para mejorar los rendimientos.</w:t>
      </w:r>
    </w:p>
    <w:p w14:paraId="1F157BAB" w14:textId="77777777" w:rsidR="00CF7396" w:rsidRPr="00CF7396" w:rsidRDefault="00CF7396" w:rsidP="00CF7396">
      <w:pPr>
        <w:ind w:left="851" w:right="851" w:firstLine="709"/>
        <w:jc w:val="both"/>
        <w:textAlignment w:val="baseline"/>
        <w:rPr>
          <w:color w:val="000000" w:themeColor="text1"/>
          <w:lang w:val="es-CR" w:eastAsia="es-CR"/>
        </w:rPr>
      </w:pPr>
    </w:p>
    <w:p w14:paraId="16360C0A" w14:textId="77777777" w:rsidR="00CF7396" w:rsidRPr="00CF7396" w:rsidRDefault="00CF7396" w:rsidP="00CF7396">
      <w:pPr>
        <w:numPr>
          <w:ilvl w:val="0"/>
          <w:numId w:val="55"/>
        </w:numPr>
        <w:ind w:left="851" w:right="851" w:firstLine="709"/>
        <w:jc w:val="both"/>
        <w:textAlignment w:val="baseline"/>
        <w:rPr>
          <w:color w:val="000000" w:themeColor="text1"/>
          <w:lang w:val="es-CR" w:eastAsia="es-CR"/>
        </w:rPr>
      </w:pPr>
      <w:r w:rsidRPr="00CF7396">
        <w:rPr>
          <w:color w:val="000000" w:themeColor="text1"/>
          <w:lang w:val="es-CR"/>
        </w:rPr>
        <w:t>Implementación de módulo de pase a fallo, reparto y voto automático: Durante el 2021 se dio seguimiento para implementar en los despachos que aplicaba la implementación del módulo de pase a fallo, reparto y voto automático, por lo que los correos electrónicos correspondientes se incluyeron en el Sistema Integrado de Correspondencia Interna mediante documento 1971-PLA-EV-TR-2021.</w:t>
      </w:r>
    </w:p>
    <w:p w14:paraId="3278A8F6" w14:textId="77777777" w:rsidR="00CF7396" w:rsidRPr="00CF7396" w:rsidRDefault="00CF7396" w:rsidP="00CF7396">
      <w:pPr>
        <w:ind w:left="851" w:right="851" w:firstLine="709"/>
        <w:jc w:val="both"/>
        <w:textAlignment w:val="baseline"/>
        <w:rPr>
          <w:color w:val="000000" w:themeColor="text1"/>
          <w:bdr w:val="none" w:sz="0" w:space="0" w:color="auto" w:frame="1"/>
          <w:lang w:val="es-CR" w:eastAsia="es-CR"/>
        </w:rPr>
      </w:pPr>
    </w:p>
    <w:p w14:paraId="59F6AA3A" w14:textId="77777777" w:rsidR="00CF7396" w:rsidRPr="00CF7396" w:rsidRDefault="00CF7396" w:rsidP="00CF7396">
      <w:pPr>
        <w:numPr>
          <w:ilvl w:val="0"/>
          <w:numId w:val="55"/>
        </w:numPr>
        <w:ind w:left="851" w:right="851" w:firstLine="709"/>
        <w:jc w:val="both"/>
        <w:textAlignment w:val="baseline"/>
        <w:rPr>
          <w:color w:val="000000" w:themeColor="text1"/>
          <w:bdr w:val="none" w:sz="0" w:space="0" w:color="auto" w:frame="1"/>
          <w:lang w:val="es-CR" w:eastAsia="es-CR"/>
        </w:rPr>
      </w:pPr>
      <w:r w:rsidRPr="00CF7396">
        <w:rPr>
          <w:color w:val="000000" w:themeColor="text1"/>
          <w:bdr w:val="none" w:sz="0" w:space="0" w:color="auto" w:frame="1"/>
          <w:lang w:val="es-CR" w:eastAsia="es-CR"/>
        </w:rPr>
        <w:t xml:space="preserve">Tal como se indicó en el apartado 2.1., se realizaron diversas reuniones, así como coordinaciones y envió de correos electrónicos para la remisión de expedientes al Centro de Conciliación del Circuito. Para el Juzgado de Trabajo y el Juzgado Agrario del Primer Circuito Judicial de la Zona Atlántica, se coordinó la remisión de 10 expedientes todos los meses. En el Juzgado Contravencional de </w:t>
      </w:r>
      <w:proofErr w:type="spellStart"/>
      <w:r w:rsidRPr="00CF7396">
        <w:rPr>
          <w:color w:val="000000" w:themeColor="text1"/>
          <w:bdr w:val="none" w:sz="0" w:space="0" w:color="auto" w:frame="1"/>
          <w:lang w:val="es-CR" w:eastAsia="es-CR"/>
        </w:rPr>
        <w:t>Bribrí</w:t>
      </w:r>
      <w:proofErr w:type="spellEnd"/>
      <w:r w:rsidRPr="00CF7396">
        <w:rPr>
          <w:color w:val="000000" w:themeColor="text1"/>
          <w:bdr w:val="none" w:sz="0" w:space="0" w:color="auto" w:frame="1"/>
          <w:lang w:val="es-CR" w:eastAsia="es-CR"/>
        </w:rPr>
        <w:t xml:space="preserve"> y en el Juzgado Contravencional de Matina igualmente se coordinó </w:t>
      </w:r>
      <w:proofErr w:type="spellStart"/>
      <w:r w:rsidRPr="00CF7396">
        <w:rPr>
          <w:color w:val="000000" w:themeColor="text1"/>
          <w:bdr w:val="none" w:sz="0" w:space="0" w:color="auto" w:frame="1"/>
          <w:lang w:val="es-CR" w:eastAsia="es-CR"/>
        </w:rPr>
        <w:t>el</w:t>
      </w:r>
      <w:proofErr w:type="spellEnd"/>
      <w:r w:rsidRPr="00CF7396">
        <w:rPr>
          <w:color w:val="000000" w:themeColor="text1"/>
          <w:bdr w:val="none" w:sz="0" w:space="0" w:color="auto" w:frame="1"/>
          <w:lang w:val="es-CR" w:eastAsia="es-CR"/>
        </w:rPr>
        <w:t xml:space="preserve"> envió de expedientes, según capacidad del Centro de Conciliación (por cuanto ya tenían formulado el cronograma del 2021) este último de forma conjunta con la Contraloría de Servicios por cuanto se habían recibido inconformidades por las personas usuarias.</w:t>
      </w:r>
    </w:p>
    <w:p w14:paraId="66ED4A23" w14:textId="77777777" w:rsidR="00CF7396" w:rsidRPr="00CF7396" w:rsidRDefault="00CF7396" w:rsidP="00CF7396">
      <w:pPr>
        <w:ind w:left="851" w:right="851" w:firstLine="709"/>
        <w:rPr>
          <w:color w:val="000000" w:themeColor="text1"/>
          <w:bdr w:val="none" w:sz="0" w:space="0" w:color="auto" w:frame="1"/>
          <w:lang w:val="es-CR" w:eastAsia="es-CR"/>
        </w:rPr>
      </w:pPr>
    </w:p>
    <w:p w14:paraId="3841FD1A" w14:textId="77777777" w:rsidR="00CF7396" w:rsidRPr="00CF7396" w:rsidRDefault="00CF7396" w:rsidP="00CF7396">
      <w:pPr>
        <w:numPr>
          <w:ilvl w:val="0"/>
          <w:numId w:val="55"/>
        </w:numPr>
        <w:ind w:left="851" w:right="851" w:firstLine="709"/>
        <w:jc w:val="both"/>
        <w:textAlignment w:val="baseline"/>
        <w:rPr>
          <w:color w:val="000000" w:themeColor="text1"/>
          <w:bdr w:val="none" w:sz="0" w:space="0" w:color="auto" w:frame="1"/>
          <w:lang w:val="es-CR" w:eastAsia="es-CR"/>
        </w:rPr>
      </w:pPr>
      <w:r w:rsidRPr="00CF7396">
        <w:rPr>
          <w:color w:val="000000" w:themeColor="text1"/>
          <w:bdr w:val="none" w:sz="0" w:space="0" w:color="auto" w:frame="1"/>
          <w:lang w:val="es-CR" w:eastAsia="es-CR"/>
        </w:rPr>
        <w:t xml:space="preserve">Como se indicó en el apartado 2.1 se realizaron giras a </w:t>
      </w:r>
      <w:proofErr w:type="spellStart"/>
      <w:r w:rsidRPr="00CF7396">
        <w:rPr>
          <w:color w:val="000000" w:themeColor="text1"/>
          <w:bdr w:val="none" w:sz="0" w:space="0" w:color="auto" w:frame="1"/>
          <w:lang w:val="es-CR" w:eastAsia="es-CR"/>
        </w:rPr>
        <w:t>Bribrí</w:t>
      </w:r>
      <w:proofErr w:type="spellEnd"/>
      <w:r w:rsidRPr="00CF7396">
        <w:rPr>
          <w:color w:val="000000" w:themeColor="text1"/>
          <w:bdr w:val="none" w:sz="0" w:space="0" w:color="auto" w:frame="1"/>
          <w:lang w:val="es-CR" w:eastAsia="es-CR"/>
        </w:rPr>
        <w:t xml:space="preserve"> y Matina con el fin de identificar oportunidades de mejora para el Tribunal Penal del Primer Circuito Judicial de la Zona Atlántica, entre ellos relacionado con la hora de los señalamientos, por lo que se tomaron diversos acuerdos entre dicho despacho, Fiscalía Adjunta, Defensa Pública, Administración, Contraloría de Servicios y Organismo de Investigación Judicial de </w:t>
      </w:r>
      <w:proofErr w:type="spellStart"/>
      <w:r w:rsidRPr="00CF7396">
        <w:rPr>
          <w:color w:val="000000" w:themeColor="text1"/>
          <w:bdr w:val="none" w:sz="0" w:space="0" w:color="auto" w:frame="1"/>
          <w:lang w:val="es-CR" w:eastAsia="es-CR"/>
        </w:rPr>
        <w:t>Bribrí</w:t>
      </w:r>
      <w:proofErr w:type="spellEnd"/>
      <w:r w:rsidRPr="00CF7396">
        <w:rPr>
          <w:color w:val="000000" w:themeColor="text1"/>
          <w:bdr w:val="none" w:sz="0" w:space="0" w:color="auto" w:frame="1"/>
          <w:lang w:val="es-CR" w:eastAsia="es-CR"/>
        </w:rPr>
        <w:t xml:space="preserve"> y Matina.</w:t>
      </w:r>
    </w:p>
    <w:p w14:paraId="5697A6DC" w14:textId="77777777" w:rsidR="00CF7396" w:rsidRPr="00CF7396" w:rsidRDefault="00CF7396" w:rsidP="00CF7396">
      <w:pPr>
        <w:ind w:left="851" w:right="851" w:firstLine="709"/>
        <w:rPr>
          <w:color w:val="000000" w:themeColor="text1"/>
          <w:bdr w:val="none" w:sz="0" w:space="0" w:color="auto" w:frame="1"/>
          <w:lang w:val="es-CR" w:eastAsia="es-CR"/>
        </w:rPr>
      </w:pPr>
    </w:p>
    <w:p w14:paraId="12E92CA7" w14:textId="77777777" w:rsidR="00CF7396" w:rsidRPr="00CF7396" w:rsidRDefault="00CF7396" w:rsidP="00CF7396">
      <w:pPr>
        <w:numPr>
          <w:ilvl w:val="0"/>
          <w:numId w:val="55"/>
        </w:numPr>
        <w:ind w:left="851" w:right="851" w:firstLine="709"/>
        <w:jc w:val="both"/>
        <w:textAlignment w:val="baseline"/>
        <w:rPr>
          <w:color w:val="000000" w:themeColor="text1"/>
          <w:bdr w:val="none" w:sz="0" w:space="0" w:color="auto" w:frame="1"/>
          <w:lang w:val="es-CR" w:eastAsia="es-CR"/>
        </w:rPr>
      </w:pPr>
      <w:r w:rsidRPr="00CF7396">
        <w:rPr>
          <w:color w:val="000000" w:themeColor="text1"/>
          <w:bdr w:val="none" w:sz="0" w:space="0" w:color="auto" w:frame="1"/>
          <w:lang w:val="es-CR" w:eastAsia="es-CR"/>
        </w:rPr>
        <w:t xml:space="preserve">Se realizaron giras a </w:t>
      </w:r>
      <w:proofErr w:type="spellStart"/>
      <w:r w:rsidRPr="00CF7396">
        <w:rPr>
          <w:color w:val="000000" w:themeColor="text1"/>
          <w:bdr w:val="none" w:sz="0" w:space="0" w:color="auto" w:frame="1"/>
          <w:lang w:val="es-CR" w:eastAsia="es-CR"/>
        </w:rPr>
        <w:t>Bribrí</w:t>
      </w:r>
      <w:proofErr w:type="spellEnd"/>
      <w:r w:rsidRPr="00CF7396">
        <w:rPr>
          <w:color w:val="000000" w:themeColor="text1"/>
          <w:bdr w:val="none" w:sz="0" w:space="0" w:color="auto" w:frame="1"/>
          <w:lang w:val="es-CR" w:eastAsia="es-CR"/>
        </w:rPr>
        <w:t xml:space="preserve"> y Matina, de forma conjunta con la Administración Regional y Salud Ocupacional del Primer Circuito Judicial de la Zona Atlántica, para poder aplicar planes de trabajo con personal supernumerario en el Juzgado Contravencional de </w:t>
      </w:r>
      <w:proofErr w:type="spellStart"/>
      <w:r w:rsidRPr="00CF7396">
        <w:rPr>
          <w:color w:val="000000" w:themeColor="text1"/>
          <w:bdr w:val="none" w:sz="0" w:space="0" w:color="auto" w:frame="1"/>
          <w:lang w:val="es-CR" w:eastAsia="es-CR"/>
        </w:rPr>
        <w:t>Bribrí</w:t>
      </w:r>
      <w:proofErr w:type="spellEnd"/>
      <w:r w:rsidRPr="00CF7396">
        <w:rPr>
          <w:color w:val="000000" w:themeColor="text1"/>
          <w:bdr w:val="none" w:sz="0" w:space="0" w:color="auto" w:frame="1"/>
          <w:lang w:val="es-CR" w:eastAsia="es-CR"/>
        </w:rPr>
        <w:t xml:space="preserve"> y en el Juzgado Contravencional de Matina, a fin de que cumplieran con los lineamientos instituciones referentes al protocolo del COVID-19. En la gira de Matina se detectaron oportunidades de mejora para la Administración Regional, por lo que se programó una reunión mediante minuta de reunión 827-PLA-EV-MNTA-2021.</w:t>
      </w:r>
    </w:p>
    <w:p w14:paraId="1662B745" w14:textId="77777777" w:rsidR="00CF7396" w:rsidRPr="00CF7396" w:rsidRDefault="00CF7396" w:rsidP="00CF7396">
      <w:pPr>
        <w:ind w:left="851" w:right="851" w:firstLine="709"/>
        <w:rPr>
          <w:color w:val="000000" w:themeColor="text1"/>
          <w:bdr w:val="none" w:sz="0" w:space="0" w:color="auto" w:frame="1"/>
          <w:lang w:val="es-CR" w:eastAsia="es-CR"/>
        </w:rPr>
      </w:pPr>
    </w:p>
    <w:p w14:paraId="641D992C" w14:textId="77777777" w:rsidR="00CF7396" w:rsidRPr="00CF7396" w:rsidRDefault="00CF7396" w:rsidP="00CF7396">
      <w:pPr>
        <w:numPr>
          <w:ilvl w:val="0"/>
          <w:numId w:val="55"/>
        </w:numPr>
        <w:ind w:left="851" w:right="851" w:firstLine="709"/>
        <w:jc w:val="both"/>
        <w:textAlignment w:val="baseline"/>
        <w:rPr>
          <w:color w:val="000000" w:themeColor="text1"/>
          <w:bdr w:val="none" w:sz="0" w:space="0" w:color="auto" w:frame="1"/>
          <w:lang w:val="es-CR" w:eastAsia="es-CR"/>
        </w:rPr>
      </w:pPr>
      <w:r w:rsidRPr="00CF7396">
        <w:rPr>
          <w:color w:val="000000" w:themeColor="text1"/>
          <w:bdr w:val="none" w:sz="0" w:space="0" w:color="auto" w:frame="1"/>
          <w:lang w:val="es-CR" w:eastAsia="es-CR"/>
        </w:rPr>
        <w:t>Mediante minuta de reunión 970-PLA-EV-MNTA-2021 con la Administración Regional del Primer Circuito Judicial de la Zona Atlántica, se dio a conocer el protocolo de Salas de juicio implementando en Heredia, en caso de ser aplicado en el Circuito, por lo que se elaboró y brindó una herramienta para el control respectivo por parte de la Administración.</w:t>
      </w:r>
    </w:p>
    <w:p w14:paraId="5E8A1548" w14:textId="77777777" w:rsidR="00CF7396" w:rsidRPr="00CF7396" w:rsidRDefault="00CF7396" w:rsidP="00CF7396">
      <w:pPr>
        <w:ind w:left="851" w:right="851" w:firstLine="709"/>
        <w:rPr>
          <w:color w:val="000000" w:themeColor="text1"/>
          <w:bdr w:val="none" w:sz="0" w:space="0" w:color="auto" w:frame="1"/>
          <w:lang w:val="es-CR" w:eastAsia="es-CR"/>
        </w:rPr>
      </w:pPr>
    </w:p>
    <w:p w14:paraId="725F655D" w14:textId="77777777" w:rsidR="00CF7396" w:rsidRPr="00CF7396" w:rsidRDefault="00CF7396" w:rsidP="00CF7396">
      <w:pPr>
        <w:ind w:left="851" w:right="851" w:firstLine="709"/>
        <w:rPr>
          <w:b/>
          <w:bCs/>
          <w:color w:val="000000" w:themeColor="text1"/>
          <w:highlight w:val="yellow"/>
          <w:lang w:val="es-CR"/>
        </w:rPr>
      </w:pPr>
      <w:r w:rsidRPr="00CF7396">
        <w:rPr>
          <w:b/>
          <w:bCs/>
          <w:color w:val="000000" w:themeColor="text1"/>
          <w:highlight w:val="yellow"/>
          <w:lang w:val="es-CR"/>
        </w:rPr>
        <w:t>8. Recomendaciones:</w:t>
      </w:r>
    </w:p>
    <w:p w14:paraId="50C08470" w14:textId="77777777" w:rsidR="00CF7396" w:rsidRPr="00CF7396" w:rsidRDefault="00CF7396" w:rsidP="00CF7396">
      <w:pPr>
        <w:ind w:left="851" w:right="851" w:firstLine="709"/>
        <w:rPr>
          <w:color w:val="000000" w:themeColor="text1"/>
          <w:highlight w:val="yellow"/>
          <w:lang w:val="es-CR"/>
        </w:rPr>
      </w:pPr>
    </w:p>
    <w:bookmarkEnd w:id="14"/>
    <w:p w14:paraId="04A5AD02" w14:textId="77777777" w:rsidR="00CF7396" w:rsidRPr="00CF7396" w:rsidRDefault="00CF7396" w:rsidP="00CF7396">
      <w:pPr>
        <w:ind w:left="851" w:right="851" w:firstLine="709"/>
        <w:rPr>
          <w:b/>
          <w:bCs/>
          <w:color w:val="000000" w:themeColor="text1"/>
          <w:lang w:val="es-CR"/>
        </w:rPr>
      </w:pPr>
      <w:r w:rsidRPr="00CF7396">
        <w:rPr>
          <w:b/>
          <w:bCs/>
          <w:color w:val="000000" w:themeColor="text1"/>
          <w:highlight w:val="yellow"/>
          <w:lang w:val="es-CR"/>
        </w:rPr>
        <w:t>Al Consejo Superior</w:t>
      </w:r>
    </w:p>
    <w:p w14:paraId="62EAE3EA" w14:textId="77777777" w:rsidR="00CF7396" w:rsidRPr="00CF7396" w:rsidRDefault="00CF7396" w:rsidP="00CF7396">
      <w:pPr>
        <w:ind w:left="851" w:right="851" w:firstLine="709"/>
        <w:rPr>
          <w:b/>
          <w:bCs/>
          <w:color w:val="000000" w:themeColor="text1"/>
          <w:lang w:val="es-CR"/>
        </w:rPr>
      </w:pPr>
    </w:p>
    <w:p w14:paraId="68367F11"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8.1 Aprobar el presente informe que contiene los resultados de la aplicación del Modelo de Seguimiento y Sostenibilidad del Primer Circuito Judicial de la Zona Atlántica y las recomendaciones emitidas para cada oficina o despacho involucrado.</w:t>
      </w:r>
    </w:p>
    <w:p w14:paraId="0DB5A112" w14:textId="77777777" w:rsidR="00CF7396" w:rsidRPr="00CF7396" w:rsidRDefault="00CF7396" w:rsidP="00CF7396">
      <w:pPr>
        <w:ind w:left="851" w:right="851" w:firstLine="709"/>
        <w:jc w:val="both"/>
        <w:rPr>
          <w:color w:val="000000" w:themeColor="text1"/>
          <w:lang w:val="es-CR"/>
        </w:rPr>
      </w:pPr>
    </w:p>
    <w:p w14:paraId="0BF0E69D"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8.2 Reiterar a los  Tribunales y Juzgados del país, para que atiendan los lineamientos institucionales referentes a dar prioridad para que las personas juzgadoras fallen los expedientes y las personas técnicas judiciales tramiten los escritos por orden de antigüedad, con el fin de atacar la mora judicial, así como dar prioridad aquellos asuntos vinculados con poblaciones en situación de vulnerabilidad (personas adultas mayores, población indígena, población afrodescendiente, migrantes, niñas y niños, desplazados por motivos ambientales, entre otros). Lo anterior en el entendido que prioriza los plazos o atención de Ley según cada materia. Y en el caso de los despachos y oficinas judiciales que conforman el Modelo de Seguimiento y Sostenibilidad, deberán de justificar en la minuta de reunión cuando fallan algún expediente de fecha más reciente al orden de antigüedad e igualmente la persona técnica judicial deberá de justificar en la minuta de reunión al tener escritos por tramitar pendientes de vieja data.</w:t>
      </w:r>
    </w:p>
    <w:p w14:paraId="33CBDBEB" w14:textId="77777777" w:rsidR="00CF7396" w:rsidRPr="00CF7396" w:rsidRDefault="00CF7396" w:rsidP="00CF7396">
      <w:pPr>
        <w:ind w:left="851" w:right="851" w:firstLine="709"/>
        <w:jc w:val="both"/>
        <w:rPr>
          <w:color w:val="000000" w:themeColor="text1"/>
          <w:lang w:val="es-CR"/>
        </w:rPr>
      </w:pPr>
    </w:p>
    <w:p w14:paraId="2EC099C5"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8.3 Recordar a todos los Tribunales y Juzgados del país, que para cada materia y despacho existe una cantidad mínima de señalamientos en la agenda cronos</w:t>
      </w:r>
      <w:proofErr w:type="gramStart"/>
      <w:r w:rsidRPr="00CF7396">
        <w:rPr>
          <w:color w:val="000000" w:themeColor="text1"/>
          <w:lang w:val="es-CR"/>
        </w:rPr>
        <w:t>, ;</w:t>
      </w:r>
      <w:proofErr w:type="gramEnd"/>
      <w:r w:rsidRPr="00CF7396">
        <w:rPr>
          <w:color w:val="000000" w:themeColor="text1"/>
          <w:lang w:val="es-CR"/>
        </w:rPr>
        <w:t xml:space="preserve"> por lo que deberán de hacer un uso correcto de la misma, en el sentido que se agende por orden de antigüedad y evitando dejar espacios en la misma, por lo que se debe de completar el mes  con la cantidad mínima de señalamientos para continuar agendando en los siguientes meses. Para los despachos que conforman el Modelo de Seguimiento y Sostenibilidad, en caso de que por alguna situación en particular no se cumpla lo anterior, deberán de justificar lo correspondiente en la minuta de reunión. </w:t>
      </w:r>
    </w:p>
    <w:p w14:paraId="2DD7D46A" w14:textId="77777777" w:rsidR="00CF7396" w:rsidRPr="00CF7396" w:rsidRDefault="00CF7396" w:rsidP="00CF7396">
      <w:pPr>
        <w:ind w:left="851" w:right="851" w:firstLine="709"/>
        <w:jc w:val="both"/>
        <w:rPr>
          <w:color w:val="000000" w:themeColor="text1"/>
          <w:lang w:val="es-CR"/>
        </w:rPr>
      </w:pPr>
    </w:p>
    <w:p w14:paraId="4BFCA2AD"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8.4 Reiterar a los despachos y oficinas judiciales que conforman el Modelo de Seguimiento y Sostenibilidad, para que incluyan en las minutas de reunión:</w:t>
      </w:r>
    </w:p>
    <w:p w14:paraId="35F99B38" w14:textId="77777777" w:rsidR="00CF7396" w:rsidRPr="00CF7396" w:rsidRDefault="00CF7396" w:rsidP="00CF7396">
      <w:pPr>
        <w:ind w:left="851" w:right="851" w:firstLine="709"/>
        <w:jc w:val="both"/>
        <w:rPr>
          <w:color w:val="000000" w:themeColor="text1"/>
          <w:lang w:val="es-CR"/>
        </w:rPr>
      </w:pPr>
    </w:p>
    <w:p w14:paraId="43C47B0D" w14:textId="77777777" w:rsidR="00CF7396" w:rsidRPr="00CF7396" w:rsidRDefault="00CF7396" w:rsidP="00CF7396">
      <w:pPr>
        <w:numPr>
          <w:ilvl w:val="0"/>
          <w:numId w:val="56"/>
        </w:numPr>
        <w:ind w:left="851" w:right="851" w:firstLine="709"/>
        <w:jc w:val="both"/>
        <w:rPr>
          <w:color w:val="000000" w:themeColor="text1"/>
          <w:lang w:val="es-CR"/>
        </w:rPr>
      </w:pPr>
      <w:r w:rsidRPr="00CF7396">
        <w:rPr>
          <w:color w:val="000000" w:themeColor="text1"/>
          <w:lang w:val="es-CR"/>
        </w:rPr>
        <w:t>Justificar las razones por las cuales los Indicadores de gestión se encuentran críticos.</w:t>
      </w:r>
    </w:p>
    <w:p w14:paraId="63B1750B" w14:textId="77777777" w:rsidR="00CF7396" w:rsidRPr="00CF7396" w:rsidRDefault="00CF7396" w:rsidP="00CF7396">
      <w:pPr>
        <w:numPr>
          <w:ilvl w:val="0"/>
          <w:numId w:val="56"/>
        </w:numPr>
        <w:ind w:left="851" w:right="851" w:firstLine="709"/>
        <w:jc w:val="both"/>
        <w:rPr>
          <w:color w:val="000000" w:themeColor="text1"/>
          <w:lang w:val="es-CR"/>
        </w:rPr>
      </w:pPr>
      <w:r w:rsidRPr="00CF7396">
        <w:rPr>
          <w:color w:val="000000" w:themeColor="text1"/>
          <w:lang w:val="es-CR"/>
        </w:rPr>
        <w:t>Incluir justificaciones que tienen relación con los rendimientos de las personas judiciales y que no son considerados dentro de los tiempos o cuotas de trabajo según la circular 187-2022 y 38-2022 como son: capacitaciones, reuniones, problemas con los sistemas, entre otros; indicando el tiempo total del mes que tienen dichas justificaciones por cada plaza cuando sea necesario.</w:t>
      </w:r>
    </w:p>
    <w:p w14:paraId="29E4003D" w14:textId="77777777" w:rsidR="00CF7396" w:rsidRPr="00CF7396" w:rsidRDefault="00CF7396" w:rsidP="00CF7396">
      <w:pPr>
        <w:numPr>
          <w:ilvl w:val="0"/>
          <w:numId w:val="56"/>
        </w:numPr>
        <w:ind w:left="851" w:right="851" w:firstLine="709"/>
        <w:jc w:val="both"/>
        <w:rPr>
          <w:color w:val="000000" w:themeColor="text1"/>
          <w:lang w:val="es-CR"/>
        </w:rPr>
      </w:pPr>
      <w:r w:rsidRPr="00CF7396">
        <w:rPr>
          <w:color w:val="000000" w:themeColor="text1"/>
          <w:lang w:val="es-CR"/>
        </w:rPr>
        <w:t>Citar si contaron con plan de trabajo por parte de personal supernumerario de la Administración Regional o del Centro de Apoyo, Coordinación y Mejoramiento de la Función Jurisdiccional e indicar brevemente en qué consistía el apoyo.</w:t>
      </w:r>
    </w:p>
    <w:p w14:paraId="2AE9E473" w14:textId="77777777" w:rsidR="00CF7396" w:rsidRPr="00CF7396" w:rsidRDefault="00CF7396" w:rsidP="00CF7396">
      <w:pPr>
        <w:ind w:left="851" w:right="851" w:firstLine="709"/>
        <w:rPr>
          <w:color w:val="000000" w:themeColor="text1"/>
          <w:lang w:val="es-CR"/>
        </w:rPr>
      </w:pPr>
    </w:p>
    <w:p w14:paraId="69EDE3C5" w14:textId="77777777" w:rsidR="00CF7396" w:rsidRPr="00CF7396" w:rsidRDefault="00CF7396" w:rsidP="00CF7396">
      <w:pPr>
        <w:ind w:left="851" w:right="851" w:firstLine="709"/>
        <w:rPr>
          <w:b/>
          <w:bCs/>
          <w:color w:val="000000" w:themeColor="text1"/>
          <w:lang w:val="es-CR"/>
        </w:rPr>
      </w:pPr>
      <w:r w:rsidRPr="00CF7396">
        <w:rPr>
          <w:b/>
          <w:bCs/>
          <w:color w:val="000000" w:themeColor="text1"/>
          <w:lang w:val="es-CR"/>
        </w:rPr>
        <w:t>Al Consejo de Administración del Primer Circuito Judicial Zona Atlántica</w:t>
      </w:r>
    </w:p>
    <w:p w14:paraId="6647EE28" w14:textId="77777777" w:rsidR="00CF7396" w:rsidRPr="00CF7396" w:rsidRDefault="00CF7396" w:rsidP="00CF7396">
      <w:pPr>
        <w:ind w:left="851" w:right="851" w:firstLine="709"/>
        <w:rPr>
          <w:b/>
          <w:bCs/>
          <w:i/>
          <w:iCs/>
          <w:color w:val="000000" w:themeColor="text1"/>
          <w:lang w:val="es-CR"/>
        </w:rPr>
      </w:pPr>
    </w:p>
    <w:p w14:paraId="70885C74"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8.5 Mantener la buena práctica, de tomar como insumo la realimentación mensual por parte del Profesional de la Dirección de Planificación a cargo del Modelo de Seguimiento y Sostenibilidad para aprobar posibles planes de trabajo; así como, acciones en busca de mejorar el servicio de la persona usuaria interna/externa del Primer Circuito Judicial de la Zona Atlántica.</w:t>
      </w:r>
    </w:p>
    <w:p w14:paraId="3A4FCBDF" w14:textId="77777777" w:rsidR="00CF7396" w:rsidRPr="00CF7396" w:rsidRDefault="00CF7396" w:rsidP="00CF7396">
      <w:pPr>
        <w:ind w:left="851" w:right="851" w:firstLine="709"/>
        <w:jc w:val="both"/>
        <w:rPr>
          <w:color w:val="000000" w:themeColor="text1"/>
          <w:lang w:val="es-CR"/>
        </w:rPr>
      </w:pPr>
    </w:p>
    <w:p w14:paraId="224CFC0F"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8.6 Mantener la buena práctica de publicar las actas aprobadas del Consejo de Administración en la intranet del Poder Judicial. </w:t>
      </w:r>
    </w:p>
    <w:p w14:paraId="7E6EA150" w14:textId="77777777" w:rsidR="00CF7396" w:rsidRPr="00CF7396" w:rsidRDefault="00CF7396" w:rsidP="00CF7396">
      <w:pPr>
        <w:ind w:left="851" w:right="851" w:firstLine="709"/>
        <w:jc w:val="both"/>
        <w:rPr>
          <w:color w:val="000000" w:themeColor="text1"/>
          <w:lang w:val="es-CR"/>
        </w:rPr>
      </w:pPr>
    </w:p>
    <w:p w14:paraId="752F8068"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8.7 Mantener la buena práctica de comunicar los acuerdos de las sesiones del Consejo de Circuito; así como, solicitar información o en su defecto convocar a sesiones del respetable Consejo al personal profesional de la Dirección de Planificación, de la Dirección de Tecnología de la Información, del Centro de Apoyo, Coordinación, y Mejoramiento de la Función Jurisdiccional o representantes de otros entes de control responsables de estudios y/o abordajes que impacten en la gestión operativa del Circuito.</w:t>
      </w:r>
    </w:p>
    <w:p w14:paraId="3A5E09D9" w14:textId="77777777" w:rsidR="00CF7396" w:rsidRPr="00CF7396" w:rsidRDefault="00CF7396" w:rsidP="00CF7396">
      <w:pPr>
        <w:ind w:left="851" w:right="851" w:firstLine="709"/>
        <w:jc w:val="both"/>
        <w:rPr>
          <w:color w:val="000000" w:themeColor="text1"/>
          <w:lang w:val="es-CR"/>
        </w:rPr>
      </w:pPr>
    </w:p>
    <w:p w14:paraId="44AC8B3F"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8.8 Mantener la buena práctica de elevar ante el Consejo Superior o Corte Plena, incumplimientos por parte de los despachos sobre acuerdos emitidos por el Consejo de Administración, para que el Consejo Superior resuelva lo que corresponda, lo anterior según artículo 12 del Reglamento de los Consejos de Administración de Circuito.</w:t>
      </w:r>
    </w:p>
    <w:p w14:paraId="2A66B951" w14:textId="77777777" w:rsidR="00CF7396" w:rsidRPr="00CF7396" w:rsidRDefault="00CF7396" w:rsidP="00CF7396">
      <w:pPr>
        <w:ind w:left="851" w:right="851" w:firstLine="709"/>
        <w:jc w:val="both"/>
        <w:rPr>
          <w:color w:val="000000" w:themeColor="text1"/>
          <w:lang w:val="es-CR"/>
        </w:rPr>
      </w:pPr>
    </w:p>
    <w:p w14:paraId="41E03291"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8.9 Mantener la buena práctica de informar al personal Coordinador responsable de oficina o despacho a la cual se emita observaciones o comunicados para la ejecución de acciones en caso de identificarse incumplimiento de funciones por parte de los servidores judiciales de la oficina a cargo.</w:t>
      </w:r>
    </w:p>
    <w:p w14:paraId="5100ABDB" w14:textId="77777777" w:rsidR="00CF7396" w:rsidRPr="00CF7396" w:rsidRDefault="00CF7396" w:rsidP="00CF7396">
      <w:pPr>
        <w:ind w:left="851" w:right="851" w:firstLine="709"/>
        <w:jc w:val="both"/>
        <w:rPr>
          <w:color w:val="000000" w:themeColor="text1"/>
          <w:lang w:val="es-CR"/>
        </w:rPr>
      </w:pPr>
    </w:p>
    <w:p w14:paraId="21CDDFD4"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8.10 Reiterar mediante circular a los despachos judiciales las recomendaciones dirigidas al fortalecimiento del Sistema de Control Interno Institucional [1] las cuales fueron acogidas por Consejo Superior del Poder Judicial en sesión 1-2021, artículo XXXVIII donde se destaca, entre las actividades de control de manera textual lo siguiente: </w:t>
      </w:r>
    </w:p>
    <w:p w14:paraId="721097BD" w14:textId="77777777" w:rsidR="00CF7396" w:rsidRPr="00CF7396" w:rsidRDefault="00CF7396" w:rsidP="00CF7396">
      <w:pPr>
        <w:ind w:left="851" w:right="851" w:firstLine="709"/>
        <w:rPr>
          <w:color w:val="000000" w:themeColor="text1"/>
          <w:lang w:val="es-CR"/>
        </w:rPr>
      </w:pPr>
    </w:p>
    <w:p w14:paraId="019A11B2" w14:textId="77777777" w:rsidR="00CF7396" w:rsidRPr="00CF7396" w:rsidRDefault="00CF7396" w:rsidP="00CF7396">
      <w:pPr>
        <w:ind w:left="851" w:right="851" w:firstLine="709"/>
        <w:jc w:val="both"/>
        <w:rPr>
          <w:color w:val="000000" w:themeColor="text1"/>
          <w:lang w:val="es-CR" w:eastAsia="es-CR"/>
        </w:rPr>
      </w:pPr>
      <w:r w:rsidRPr="00CF7396">
        <w:rPr>
          <w:b/>
          <w:bCs/>
          <w:i/>
          <w:iCs/>
          <w:color w:val="000000" w:themeColor="text1"/>
          <w:lang w:val="es-CR" w:eastAsia="es-CR"/>
        </w:rPr>
        <w:t>“Mejoras en la Administración de las Salas de Juicio</w:t>
      </w:r>
    </w:p>
    <w:p w14:paraId="0EA579A9" w14:textId="77777777" w:rsidR="00CF7396" w:rsidRPr="00CF7396" w:rsidRDefault="00CF7396" w:rsidP="00CF7396">
      <w:pPr>
        <w:ind w:left="851" w:right="851" w:firstLine="709"/>
        <w:jc w:val="both"/>
        <w:rPr>
          <w:i/>
          <w:iCs/>
          <w:color w:val="000000" w:themeColor="text1"/>
          <w:lang w:val="es-CR" w:eastAsia="es-CR"/>
        </w:rPr>
      </w:pPr>
    </w:p>
    <w:p w14:paraId="7D39115F" w14:textId="77777777" w:rsidR="00CF7396" w:rsidRPr="00CF7396" w:rsidRDefault="00CF7396" w:rsidP="00CF7396">
      <w:pPr>
        <w:ind w:left="851" w:right="851" w:firstLine="709"/>
        <w:jc w:val="both"/>
        <w:rPr>
          <w:color w:val="000000" w:themeColor="text1"/>
          <w:lang w:val="es-CR" w:eastAsia="es-CR"/>
        </w:rPr>
      </w:pPr>
      <w:r w:rsidRPr="00CF7396">
        <w:rPr>
          <w:i/>
          <w:iCs/>
          <w:color w:val="000000" w:themeColor="text1"/>
          <w:lang w:val="es-CR" w:eastAsia="es-CR"/>
        </w:rPr>
        <w:t>Se plantean mejoras para la utilización adecuada y la organización de las salas de juicio, para lograr una optimización del recurso estableciendo roles y un uso adecuado de la agenda cronos.</w:t>
      </w:r>
    </w:p>
    <w:p w14:paraId="115C7212" w14:textId="77777777" w:rsidR="00CF7396" w:rsidRPr="00CF7396" w:rsidRDefault="00CF7396" w:rsidP="00CF7396">
      <w:pPr>
        <w:ind w:left="851" w:right="851" w:firstLine="709"/>
        <w:jc w:val="both"/>
        <w:rPr>
          <w:b/>
          <w:bCs/>
          <w:i/>
          <w:iCs/>
          <w:color w:val="000000" w:themeColor="text1"/>
          <w:lang w:val="es-CR" w:eastAsia="es-CR"/>
        </w:rPr>
      </w:pPr>
    </w:p>
    <w:p w14:paraId="2290E4D9" w14:textId="77777777" w:rsidR="00CF7396" w:rsidRPr="00CF7396" w:rsidRDefault="00CF7396" w:rsidP="00CF7396">
      <w:pPr>
        <w:ind w:left="851" w:right="851" w:firstLine="709"/>
        <w:jc w:val="both"/>
        <w:rPr>
          <w:b/>
          <w:bCs/>
          <w:i/>
          <w:iCs/>
          <w:color w:val="000000" w:themeColor="text1"/>
          <w:lang w:val="es-CR" w:eastAsia="es-CR"/>
        </w:rPr>
      </w:pPr>
      <w:r w:rsidRPr="00CF7396">
        <w:rPr>
          <w:b/>
          <w:bCs/>
          <w:i/>
          <w:iCs/>
          <w:color w:val="000000" w:themeColor="text1"/>
          <w:lang w:val="es-CR" w:eastAsia="es-CR"/>
        </w:rPr>
        <w:t>Modelo de Sostenibilidad de los Proyectos de Rediseño (Indicadores).</w:t>
      </w:r>
    </w:p>
    <w:p w14:paraId="2BA8172D" w14:textId="77777777" w:rsidR="00CF7396" w:rsidRPr="00CF7396" w:rsidRDefault="00CF7396" w:rsidP="00CF7396">
      <w:pPr>
        <w:ind w:left="851" w:right="851" w:firstLine="709"/>
        <w:jc w:val="both"/>
        <w:rPr>
          <w:color w:val="000000" w:themeColor="text1"/>
          <w:lang w:val="es-CR" w:eastAsia="es-CR"/>
        </w:rPr>
      </w:pPr>
    </w:p>
    <w:p w14:paraId="6A8DD19E" w14:textId="77777777" w:rsidR="00CF7396" w:rsidRPr="00CF7396" w:rsidRDefault="00CF7396" w:rsidP="00CF7396">
      <w:pPr>
        <w:ind w:left="851" w:right="851" w:firstLine="709"/>
        <w:jc w:val="both"/>
        <w:rPr>
          <w:i/>
          <w:iCs/>
          <w:color w:val="000000" w:themeColor="text1"/>
          <w:lang w:val="es-CR" w:eastAsia="es-CR"/>
        </w:rPr>
      </w:pPr>
      <w:r w:rsidRPr="00CF7396">
        <w:rPr>
          <w:i/>
          <w:iCs/>
          <w:color w:val="000000" w:themeColor="text1"/>
          <w:lang w:val="es-CR" w:eastAsia="es-CR"/>
        </w:rPr>
        <w:t xml:space="preserve">Mejorar el servicio público de la Administración de Justicia, a través del cambio en los procesos de trabajo, la organización y aplicación de nuevas tecnologías de forma sostenible y accesible, ante la necesidad de llevar un seguimiento constante de los Indicadores de gestión, planteando oportunamente los planes remediales. </w:t>
      </w:r>
      <w:r w:rsidRPr="00CF7396">
        <w:rPr>
          <w:b/>
          <w:bCs/>
          <w:i/>
          <w:iCs/>
          <w:color w:val="000000" w:themeColor="text1"/>
          <w:lang w:val="es-CR" w:eastAsia="es-CR"/>
        </w:rPr>
        <w:t>Además de potencializar los seguimientos con acompañamiento del personal profesional de la Dirección de Planificación</w:t>
      </w:r>
      <w:r w:rsidRPr="00CF7396">
        <w:rPr>
          <w:i/>
          <w:iCs/>
          <w:color w:val="000000" w:themeColor="text1"/>
          <w:lang w:val="es-CR" w:eastAsia="es-CR"/>
        </w:rPr>
        <w:t>.</w:t>
      </w:r>
    </w:p>
    <w:p w14:paraId="5DAF840C" w14:textId="77777777" w:rsidR="00CF7396" w:rsidRPr="00CF7396" w:rsidRDefault="00CF7396" w:rsidP="00CF7396">
      <w:pPr>
        <w:ind w:left="851" w:right="851" w:firstLine="709"/>
        <w:jc w:val="both"/>
        <w:rPr>
          <w:color w:val="000000" w:themeColor="text1"/>
          <w:lang w:val="es-CR" w:eastAsia="es-CR"/>
        </w:rPr>
      </w:pPr>
    </w:p>
    <w:p w14:paraId="31699E8C" w14:textId="77777777" w:rsidR="00CF7396" w:rsidRPr="00CF7396" w:rsidRDefault="00CF7396" w:rsidP="00CF7396">
      <w:pPr>
        <w:ind w:left="851" w:right="851" w:firstLine="709"/>
        <w:rPr>
          <w:b/>
          <w:bCs/>
          <w:i/>
          <w:iCs/>
          <w:color w:val="000000" w:themeColor="text1"/>
          <w:lang w:val="es-CR" w:eastAsia="es-CR"/>
        </w:rPr>
      </w:pPr>
      <w:r w:rsidRPr="00CF7396">
        <w:rPr>
          <w:b/>
          <w:bCs/>
          <w:i/>
          <w:iCs/>
          <w:color w:val="000000" w:themeColor="text1"/>
          <w:lang w:val="es-CR" w:eastAsia="es-CR"/>
        </w:rPr>
        <w:t>Disminuir el Retraso Judicial</w:t>
      </w:r>
    </w:p>
    <w:p w14:paraId="3BF420B3" w14:textId="77777777" w:rsidR="00CF7396" w:rsidRPr="00CF7396" w:rsidRDefault="00CF7396" w:rsidP="00CF7396">
      <w:pPr>
        <w:ind w:left="851" w:right="851" w:firstLine="709"/>
        <w:rPr>
          <w:color w:val="000000" w:themeColor="text1"/>
          <w:lang w:val="es-CR" w:eastAsia="es-CR"/>
        </w:rPr>
      </w:pPr>
    </w:p>
    <w:p w14:paraId="1F974394" w14:textId="77777777" w:rsidR="00CF7396" w:rsidRPr="00CF7396" w:rsidRDefault="00CF7396" w:rsidP="00CF7396">
      <w:pPr>
        <w:ind w:left="851" w:right="851" w:firstLine="709"/>
        <w:jc w:val="both"/>
        <w:rPr>
          <w:color w:val="000000" w:themeColor="text1"/>
          <w:lang w:val="es-CR" w:eastAsia="es-CR"/>
        </w:rPr>
      </w:pPr>
      <w:r w:rsidRPr="00CF7396">
        <w:rPr>
          <w:i/>
          <w:iCs/>
          <w:color w:val="000000" w:themeColor="text1"/>
          <w:lang w:val="es-CR" w:eastAsia="es-CR"/>
        </w:rPr>
        <w:t xml:space="preserve">Se visibiliza la necesidad de promover la aplicación de medidas alternas para la finalización de los procesos, esto con el fin de disminuir de forma más rápida y efectiva el circulante del despacho, el uso de la conciliación es la propuesta ante esta preocupación.” </w:t>
      </w:r>
      <w:r w:rsidRPr="00CF7396">
        <w:rPr>
          <w:b/>
          <w:bCs/>
          <w:color w:val="000000" w:themeColor="text1"/>
          <w:lang w:val="es-CR" w:eastAsia="es-CR"/>
        </w:rPr>
        <w:t>(El resaltado no es del texto original)</w:t>
      </w:r>
    </w:p>
    <w:p w14:paraId="0908425C" w14:textId="77777777" w:rsidR="00CF7396" w:rsidRPr="00CF7396" w:rsidRDefault="00000000" w:rsidP="00CF7396">
      <w:pPr>
        <w:ind w:left="851" w:right="851" w:firstLine="709"/>
        <w:rPr>
          <w:color w:val="000000" w:themeColor="text1"/>
          <w:lang w:val="es-CR" w:eastAsia="es-CR"/>
        </w:rPr>
      </w:pPr>
      <w:r>
        <w:rPr>
          <w:color w:val="000000" w:themeColor="text1"/>
          <w:lang w:val="es-CR" w:eastAsia="es-CR"/>
        </w:rPr>
        <w:pict w14:anchorId="0B11FA8A">
          <v:rect id="_x0000_i1025" style="width:145.85pt;height:.5pt" o:hrpct="330" o:hrstd="t" o:hr="t" fillcolor="#a0a0a0" stroked="f"/>
        </w:pict>
      </w:r>
    </w:p>
    <w:p w14:paraId="1CE682BD" w14:textId="77777777" w:rsidR="00CF7396" w:rsidRPr="00CF7396" w:rsidRDefault="00CF7396" w:rsidP="00CF7396">
      <w:pPr>
        <w:ind w:left="851" w:right="851" w:firstLine="709"/>
        <w:jc w:val="both"/>
        <w:rPr>
          <w:color w:val="000000" w:themeColor="text1"/>
          <w:lang w:val="es-CR" w:eastAsia="es-CR"/>
        </w:rPr>
      </w:pPr>
      <w:r w:rsidRPr="00CF7396">
        <w:rPr>
          <w:color w:val="000000" w:themeColor="text1"/>
          <w:vertAlign w:val="superscript"/>
          <w:lang w:val="es-CR" w:eastAsia="es-CR"/>
        </w:rPr>
        <w:t>[1]</w:t>
      </w:r>
      <w:r w:rsidRPr="00CF7396">
        <w:rPr>
          <w:color w:val="000000" w:themeColor="text1"/>
          <w:lang w:val="es-CR" w:eastAsia="es-CR"/>
        </w:rPr>
        <w:t xml:space="preserve"> Mediante Circular 936-2021 del 29 de enero de 2021 se transcribe el acuerdo 1-2021, artículo XXXVIII del Consejo Superior del Poder Judicial donde se acordó </w:t>
      </w:r>
      <w:r w:rsidRPr="00CF7396">
        <w:rPr>
          <w:i/>
          <w:iCs/>
          <w:color w:val="000000" w:themeColor="text1"/>
          <w:lang w:val="es-CR" w:eastAsia="es-CR"/>
        </w:rPr>
        <w:t>tener por recibido el informe del máster Hugo Hernández Alfaro, jefe de la Oficina de Control Interno, en oficio N°204-CI-2020 del 4 de diciembre de 2020 y acoger las recomendaciones</w:t>
      </w:r>
    </w:p>
    <w:p w14:paraId="523252CB" w14:textId="77777777" w:rsidR="00CF7396" w:rsidRPr="00CF7396" w:rsidRDefault="00CF7396" w:rsidP="00CF7396">
      <w:pPr>
        <w:ind w:left="851" w:right="851" w:firstLine="709"/>
        <w:rPr>
          <w:b/>
          <w:bCs/>
          <w:color w:val="000000" w:themeColor="text1"/>
          <w:lang w:val="es-CR"/>
        </w:rPr>
      </w:pPr>
    </w:p>
    <w:p w14:paraId="6F9F102F" w14:textId="77777777" w:rsidR="00CF7396" w:rsidRPr="00CF7396" w:rsidRDefault="00CF7396" w:rsidP="00CF7396">
      <w:pPr>
        <w:ind w:left="851" w:right="851" w:firstLine="709"/>
        <w:jc w:val="both"/>
        <w:rPr>
          <w:b/>
          <w:bCs/>
          <w:color w:val="000000" w:themeColor="text1"/>
          <w:lang w:val="es-CR"/>
        </w:rPr>
      </w:pPr>
      <w:r w:rsidRPr="00CF7396">
        <w:rPr>
          <w:b/>
          <w:bCs/>
          <w:color w:val="000000" w:themeColor="text1"/>
          <w:lang w:val="es-CR"/>
        </w:rPr>
        <w:t>A la Administración Regional del Primer Circuito Judicial de la Zona Atlántica</w:t>
      </w:r>
    </w:p>
    <w:p w14:paraId="443CBE21" w14:textId="77777777" w:rsidR="00CF7396" w:rsidRPr="00CF7396" w:rsidRDefault="00CF7396" w:rsidP="00CF7396">
      <w:pPr>
        <w:ind w:left="851" w:right="851" w:firstLine="709"/>
        <w:jc w:val="both"/>
        <w:rPr>
          <w:color w:val="000000" w:themeColor="text1"/>
          <w:lang w:val="es-CR"/>
        </w:rPr>
      </w:pPr>
    </w:p>
    <w:p w14:paraId="6956D6EC"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8.11 Informar a la Profesional de la Dirección de Planificación del Modelo el acta y acuerdo que tomó el Consejo de Administración en relación con las recomendaciones dadas en los Indicadores de noviembre y diciembre del 2020 que en lo conducente dice: </w:t>
      </w:r>
    </w:p>
    <w:p w14:paraId="437FFAE5" w14:textId="77777777" w:rsidR="00CF7396" w:rsidRPr="00CF7396" w:rsidRDefault="00CF7396" w:rsidP="00CF7396">
      <w:pPr>
        <w:ind w:left="851" w:right="851" w:firstLine="709"/>
        <w:jc w:val="both"/>
        <w:rPr>
          <w:color w:val="000000" w:themeColor="text1"/>
          <w:lang w:val="es-CR"/>
        </w:rPr>
      </w:pPr>
    </w:p>
    <w:p w14:paraId="1FC8F0E5" w14:textId="77777777" w:rsidR="00CF7396" w:rsidRPr="00CF7396" w:rsidRDefault="00CF7396" w:rsidP="00CF7396">
      <w:pPr>
        <w:ind w:left="851" w:right="851" w:firstLine="709"/>
        <w:jc w:val="both"/>
        <w:rPr>
          <w:i/>
          <w:iCs/>
          <w:color w:val="000000" w:themeColor="text1"/>
          <w:lang w:val="es-CR"/>
        </w:rPr>
      </w:pPr>
      <w:r w:rsidRPr="00CF7396">
        <w:rPr>
          <w:color w:val="000000" w:themeColor="text1"/>
          <w:lang w:val="es-CR"/>
        </w:rPr>
        <w:t xml:space="preserve">“1) </w:t>
      </w:r>
      <w:r w:rsidRPr="00CF7396">
        <w:rPr>
          <w:i/>
          <w:iCs/>
          <w:color w:val="000000" w:themeColor="text1"/>
          <w:lang w:val="es-CR"/>
        </w:rPr>
        <w:t xml:space="preserve">Recordar a las oficinas del circuito que cuando se les asigne recursos con personal técnico y juzgador supernumerario, deberán de aprovechar al máximo la colaboración brindada según el plan de trabajo efectuado por la Dirección de Planificación y realizar cualquier coordinación previa con suficiente antelación.  Por lo que en caso de incumplimiento se suspenderá la colaboración por parte de la Administración Regional. </w:t>
      </w:r>
    </w:p>
    <w:p w14:paraId="7ACE4287" w14:textId="77777777" w:rsidR="00CF7396" w:rsidRPr="00CF7396" w:rsidRDefault="00CF7396" w:rsidP="00CF7396">
      <w:pPr>
        <w:ind w:left="851" w:right="851" w:firstLine="709"/>
        <w:jc w:val="both"/>
        <w:rPr>
          <w:i/>
          <w:iCs/>
          <w:color w:val="000000" w:themeColor="text1"/>
          <w:lang w:val="es-CR"/>
        </w:rPr>
      </w:pPr>
    </w:p>
    <w:p w14:paraId="55DB1DDE" w14:textId="77777777" w:rsidR="00CF7396" w:rsidRPr="00CF7396" w:rsidRDefault="00CF7396" w:rsidP="00CF7396">
      <w:pPr>
        <w:ind w:left="851" w:right="851" w:firstLine="709"/>
        <w:jc w:val="both"/>
        <w:rPr>
          <w:i/>
          <w:iCs/>
          <w:color w:val="000000" w:themeColor="text1"/>
          <w:lang w:val="es-CR"/>
        </w:rPr>
      </w:pPr>
      <w:r w:rsidRPr="00CF7396">
        <w:rPr>
          <w:i/>
          <w:iCs/>
          <w:color w:val="000000" w:themeColor="text1"/>
          <w:lang w:val="es-CR"/>
        </w:rPr>
        <w:t>2) Autorizar a la Coordinadora de Unidad que realiza los seguimientos de Indicadores, para que tenga los permisos de auditora en el Escritorio Virtual y Sistema de Gestión de las oficinas del Circuito, lo anterior para poder validar la información brindada por los despachos mensualmente, así como los informes de labores del personal supernumerario”.</w:t>
      </w:r>
    </w:p>
    <w:p w14:paraId="5215ABFB" w14:textId="77777777" w:rsidR="00CF7396" w:rsidRPr="00CF7396" w:rsidRDefault="00CF7396" w:rsidP="00CF7396">
      <w:pPr>
        <w:ind w:left="851" w:right="851" w:firstLine="709"/>
        <w:jc w:val="both"/>
        <w:rPr>
          <w:color w:val="000000" w:themeColor="text1"/>
          <w:lang w:val="es-CR"/>
        </w:rPr>
      </w:pPr>
    </w:p>
    <w:p w14:paraId="2473B053"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8.12 Enviar a la persona Profesional de Planificación y al Consejo de Administración del Circuito, el informe de los resultados obtenidos de los seguimientos mensuales del personal supernumerario, solicitados en los planes de trabajo, a más tardar la segunda semana de cada mes.</w:t>
      </w:r>
    </w:p>
    <w:p w14:paraId="05402876" w14:textId="77777777" w:rsidR="00CF7396" w:rsidRPr="00CF7396" w:rsidRDefault="00CF7396" w:rsidP="00CF7396">
      <w:pPr>
        <w:ind w:left="851" w:right="851" w:firstLine="709"/>
        <w:jc w:val="both"/>
        <w:rPr>
          <w:color w:val="000000" w:themeColor="text1"/>
          <w:lang w:val="es-CR"/>
        </w:rPr>
      </w:pPr>
    </w:p>
    <w:p w14:paraId="095CF536"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8.13 Revisar y verificar posibles inconsistencias en los documentos enviados por los despachos concernientes a matriz de Indicadores, planes remediales y minutas (por ejemplo, métricas negativas, celdas vacías, minutas y planes remediales incompletas) y coordinar con los despachos las correcciones correspondientes.</w:t>
      </w:r>
    </w:p>
    <w:p w14:paraId="4E37D0E3" w14:textId="77777777" w:rsidR="00CF7396" w:rsidRPr="00CF7396" w:rsidRDefault="00CF7396" w:rsidP="00CF7396">
      <w:pPr>
        <w:ind w:left="851" w:right="851" w:firstLine="709"/>
        <w:jc w:val="both"/>
        <w:rPr>
          <w:color w:val="000000" w:themeColor="text1"/>
          <w:lang w:val="es-CR"/>
        </w:rPr>
      </w:pPr>
    </w:p>
    <w:p w14:paraId="4E557E1D"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8.14 Informar al Consejo de Administración del Primer Circuito Judicial de la Zona Atlántica las acciones realizadas para dar cumplimiento a la recomendación conocida por ese Consejo en sesión 17-2021 del 26 de agosto del 2021, que en lo conducente dice: “La Administración Regional valorará si con recurso de la oficina pueden brindarle apoyo a la Coordinadora Shirley, tal como lo había recomendado la Dirección de Planificación en la reunión realizada a inicios de año para que valorarán en conformar un equipo de mejora con recursos de la Administración e informará a este Consejo para la siguiente sesión”. </w:t>
      </w:r>
    </w:p>
    <w:p w14:paraId="40D3FCB8" w14:textId="77777777" w:rsidR="00CF7396" w:rsidRPr="00CF7396" w:rsidRDefault="00CF7396" w:rsidP="00CF7396">
      <w:pPr>
        <w:ind w:left="851" w:right="851" w:firstLine="709"/>
        <w:jc w:val="both"/>
        <w:rPr>
          <w:color w:val="000000" w:themeColor="text1"/>
          <w:lang w:val="es-CR"/>
        </w:rPr>
      </w:pPr>
    </w:p>
    <w:p w14:paraId="1F93050C"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8.15 Utilizar el control del cumplimiento en la operativa por parte de las oficinas del Modelo de Seguimiento y Sostenibilidad facilitado por la Profesional de Planificación, en dónde se logre identificar si enviaron la documentación en el tiempo establecido, así como la remisión de la matriz de Indicadores, minuta reunión y planes remediales, con la única excepción que la fotografía de la pizarra no es obligatoria; por cuanto es requerido para futuros informes anuales del Modelo.</w:t>
      </w:r>
    </w:p>
    <w:p w14:paraId="66356DE8" w14:textId="77777777" w:rsidR="00CF7396" w:rsidRPr="00CF7396" w:rsidRDefault="00CF7396" w:rsidP="00CF7396">
      <w:pPr>
        <w:ind w:left="851" w:right="851" w:firstLine="709"/>
        <w:rPr>
          <w:bCs/>
          <w:i/>
          <w:iCs/>
          <w:color w:val="000000" w:themeColor="text1"/>
          <w:lang w:val="es-CR"/>
        </w:rPr>
      </w:pPr>
    </w:p>
    <w:p w14:paraId="2AC6413D" w14:textId="77777777" w:rsidR="00CF7396" w:rsidRPr="00CF7396" w:rsidRDefault="00CF7396" w:rsidP="00CF7396">
      <w:pPr>
        <w:ind w:left="851" w:right="851" w:firstLine="709"/>
        <w:rPr>
          <w:b/>
          <w:i/>
          <w:color w:val="000000" w:themeColor="text1"/>
          <w:lang w:val="es-CR"/>
        </w:rPr>
      </w:pPr>
      <w:bookmarkStart w:id="15" w:name="_Toc80772450"/>
      <w:r w:rsidRPr="00CF7396">
        <w:rPr>
          <w:b/>
          <w:bCs/>
          <w:color w:val="000000" w:themeColor="text1"/>
          <w:lang w:val="es-CR"/>
        </w:rPr>
        <w:t>Al Centro de Apoyo, Coordinación y Mejoramiento de la Función Jurisdiccional</w:t>
      </w:r>
      <w:bookmarkEnd w:id="15"/>
    </w:p>
    <w:p w14:paraId="12C1807A" w14:textId="77777777" w:rsidR="00CF7396" w:rsidRPr="00CF7396" w:rsidRDefault="00CF7396" w:rsidP="00CF7396">
      <w:pPr>
        <w:tabs>
          <w:tab w:val="left" w:pos="993"/>
        </w:tabs>
        <w:ind w:left="851" w:right="851" w:firstLine="709"/>
        <w:jc w:val="both"/>
        <w:rPr>
          <w:color w:val="000000" w:themeColor="text1"/>
          <w:lang w:val="es-CR" w:eastAsia="es-CR"/>
        </w:rPr>
      </w:pPr>
    </w:p>
    <w:p w14:paraId="246A8E75"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8.16 Aplicar en su totalidad la recomendación emitida en el informe 1274-PLA-EV-2021 del Modelo de Seguimiento y Sostenibilidad del 2020, la cual fue aprobada por  el Consejo Superior en sesión 103-2021 del 1 de diciembre del 2021, artículo XLVI, : “Coordinar en conjunto con la Administración Regional del Circuito y la persona Profesional de la Dirección de Planificación a cargo del Modelo de Seguimiento y Sostenibilidad sobre los eventuales planes de trabajo y/o de descongestionamiento que se realicen o programen en los despachos u oficinas del Circuito, con el fin de que se genere una retroalimentación sobre las principales necesidades detectadas”. Lo anterior por cuanto dicha recomendación, en el 2021 fue aplicada parcialmente, dado que en algunos despachos el Centro de Apoyo inicia la elaboración de los planes de trabajo y/o descongestionamiento sin la coordinación previa con la profesional de la Dirección de Planificación, a fin de maximizar el aprovechamiento del personal supernumerario y evitar duplicar el reforzamiento en una misma oficina o despacho. Para lo anterior, se debe considerar que los planes de trabajo de las personas supernumerarias asignadas a la Administración Regional del Primer Circuito Judicial de la Zona Atlántica se realizan en la última semana de cada mes.</w:t>
      </w:r>
    </w:p>
    <w:p w14:paraId="26E7D295" w14:textId="77777777" w:rsidR="00CF7396" w:rsidRPr="00CF7396" w:rsidRDefault="00CF7396" w:rsidP="00CF7396">
      <w:pPr>
        <w:ind w:left="851" w:right="851" w:firstLine="709"/>
        <w:jc w:val="both"/>
        <w:rPr>
          <w:color w:val="000000" w:themeColor="text1"/>
          <w:lang w:val="es-CR"/>
        </w:rPr>
      </w:pPr>
    </w:p>
    <w:p w14:paraId="26865AD3"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8.17 Aplicar la recomendación emitida en el informe 1274-PLA-EV-2021 del Modelo de Seguimiento y Sostenibilidad del 2020, la cual fue aprobada por el Consejo Superior en sesión 103-2021 del 1 de diciembre del 2021, artículo XLVI, que dice:  “Deberá realizar una circular en donde se establezcan los lineamientos para las personas técnicas supernumerarias cuando deban atender suplencias, asimismo la directriz sobre las cuotas de trabajo aplicables para este personal tanto en caso de suplencias como en planes de trabajo definidos, así como si existen restricciones para dicho personal por materia, que tal y como indica el mismo Centro de Apoyo el personal técnico supernumerario deberá asumir las cuotas de trabajo definidas por la Dirección de Planificación en los despachos rediseñados, Indicadores de Gestión, o bien las especiales establecidas por dicho órgano en planes de trabajo con funciones diferentes al trámite”. Lo anterior se encuentra pendiente, según observación recibida por parte del CACMFJ mediante oficio 368-CACMF-JEF-2022 que indica que “El Centro de Apoyo se encuentra trabajando en el tema de circulares y estandarización de formatos en coordinación con la Dirección Ejecutiva, relacionado con el personal técnico supernumerario, según la solicitud de la Auditoria en el informe Nº417-088-ISEG-SASGA-2022 del 25 de marzo de 2022”.</w:t>
      </w:r>
    </w:p>
    <w:p w14:paraId="0B570914" w14:textId="77777777" w:rsidR="00CF7396" w:rsidRPr="00CF7396" w:rsidRDefault="00CF7396" w:rsidP="00CF7396">
      <w:pPr>
        <w:ind w:left="851" w:right="851" w:firstLine="709"/>
        <w:jc w:val="both"/>
        <w:rPr>
          <w:color w:val="000000" w:themeColor="text1"/>
          <w:lang w:val="es-CR"/>
        </w:rPr>
      </w:pPr>
    </w:p>
    <w:p w14:paraId="2503EF20"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8.18 Mantener el apoyo en el Tribunal Penal del Primer Circuito Judicial de la Zona Atlántica dentro de los planes de trabajo del personal juzgador supernumerario de ese Centro, para realizar audiencias unipersonales en </w:t>
      </w:r>
      <w:proofErr w:type="spellStart"/>
      <w:r w:rsidRPr="00CF7396">
        <w:rPr>
          <w:color w:val="000000" w:themeColor="text1"/>
          <w:lang w:val="es-CR"/>
        </w:rPr>
        <w:t>Bribrí</w:t>
      </w:r>
      <w:proofErr w:type="spellEnd"/>
      <w:r w:rsidRPr="00CF7396">
        <w:rPr>
          <w:color w:val="000000" w:themeColor="text1"/>
          <w:lang w:val="es-CR"/>
        </w:rPr>
        <w:t>, así como valorar brindar apoyo en el Juzgado de Trabajo del Primer Circuito Judicial de la Zona Atlántica en el fallo de expedientes.</w:t>
      </w:r>
    </w:p>
    <w:p w14:paraId="22F97492" w14:textId="77777777" w:rsidR="00CF7396" w:rsidRPr="00CF7396" w:rsidRDefault="00CF7396" w:rsidP="00CF7396">
      <w:pPr>
        <w:ind w:left="851" w:right="851" w:firstLine="709"/>
        <w:jc w:val="both"/>
        <w:rPr>
          <w:color w:val="000000" w:themeColor="text1"/>
          <w:lang w:val="es-CR"/>
        </w:rPr>
      </w:pPr>
    </w:p>
    <w:p w14:paraId="56F9C5A0" w14:textId="77777777" w:rsidR="00CF7396" w:rsidRPr="00CF7396" w:rsidRDefault="00CF7396" w:rsidP="00CF7396">
      <w:pPr>
        <w:ind w:left="851" w:right="851" w:firstLine="709"/>
        <w:jc w:val="both"/>
        <w:rPr>
          <w:color w:val="000000" w:themeColor="text1"/>
          <w:lang w:val="es-CR"/>
        </w:rPr>
      </w:pPr>
    </w:p>
    <w:p w14:paraId="471F7AFE"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8.19 Analizar las actas del Consejo de Administración del Circuito, a fin de verificar el cumplimiento de los indicadores de gestión en los despachos y los planes de mejora implementados, a fin de remitir a conocimiento del Consejo Superior los incumplimientos trimestrales.</w:t>
      </w:r>
    </w:p>
    <w:p w14:paraId="1DBE4362" w14:textId="77777777" w:rsidR="00CF7396" w:rsidRPr="00CF7396" w:rsidRDefault="00CF7396" w:rsidP="00CF7396">
      <w:pPr>
        <w:ind w:left="851" w:right="851" w:firstLine="709"/>
        <w:jc w:val="both"/>
        <w:rPr>
          <w:color w:val="000000" w:themeColor="text1"/>
          <w:lang w:val="es-CR"/>
        </w:rPr>
      </w:pPr>
    </w:p>
    <w:p w14:paraId="272BC9AA"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8.20 Fiscalizar el cumplimiento en la aplicación del Modelo de Seguimiento y Sostenibilidad en el Circuito Judicial, como parte final del proceso, lo cual debe ir en concordancia con el cumplimiento de los parámetros establecidos en los indicadores de gestión, con la finalidad de tomar las acciones que sean necesarias tanto a nivel colectivo como individual, respecto del cumplimiento de las labores que han sido encomendadas al personal que conforma cada uno de los despachos y oficinas en los respectivos circuitos.</w:t>
      </w:r>
    </w:p>
    <w:p w14:paraId="55E44809" w14:textId="77777777" w:rsidR="00CF7396" w:rsidRPr="00CF7396" w:rsidRDefault="00CF7396" w:rsidP="00CF7396">
      <w:pPr>
        <w:ind w:left="851" w:right="851" w:firstLine="709"/>
        <w:jc w:val="both"/>
        <w:rPr>
          <w:color w:val="000000" w:themeColor="text1"/>
          <w:lang w:val="es-CR"/>
        </w:rPr>
      </w:pPr>
    </w:p>
    <w:p w14:paraId="31AC73D6"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8.21 Tomar en consideración para la elaboración de planes de descongestionamiento a nivel nacional, los diferentes indicadores críticos relacionados a que las cargas de trabajo sobrepasen su capacidad instalada y que existe compromiso por el despacho en el cumplimiento de cuotas (Clasificación E). Entre estos despachos: el Juzgado de Trabajo, Juzgado de Cobro, Tribunal Penal del Primer Circuito Judicial de la Zona Atlántica y en el caso del Juzgado Agrario de dicho Circuito en cuanto a las audiencias pendientes.</w:t>
      </w:r>
    </w:p>
    <w:p w14:paraId="3FE4A82B" w14:textId="77777777" w:rsidR="00CF7396" w:rsidRPr="00CF7396" w:rsidRDefault="00CF7396" w:rsidP="00CF7396">
      <w:pPr>
        <w:ind w:left="851" w:right="851" w:firstLine="709"/>
        <w:rPr>
          <w:color w:val="000000" w:themeColor="text1"/>
          <w:lang w:val="es-CR"/>
        </w:rPr>
      </w:pPr>
    </w:p>
    <w:p w14:paraId="421441C7" w14:textId="77777777" w:rsidR="00CF7396" w:rsidRPr="00CF7396" w:rsidRDefault="00CF7396" w:rsidP="00CF7396">
      <w:pPr>
        <w:ind w:left="851" w:right="851" w:firstLine="709"/>
        <w:jc w:val="both"/>
        <w:rPr>
          <w:b/>
          <w:bCs/>
          <w:color w:val="000000" w:themeColor="text1"/>
          <w:lang w:val="es-CR"/>
        </w:rPr>
      </w:pPr>
      <w:r w:rsidRPr="00CF7396">
        <w:rPr>
          <w:b/>
          <w:bCs/>
          <w:color w:val="000000" w:themeColor="text1"/>
          <w:lang w:val="es-CR"/>
        </w:rPr>
        <w:t>Al Centro de Apoyo, Coordinación y Mejoramiento de la Función Jurisdiccional y a la Comisión de la Jurisdicción Civil</w:t>
      </w:r>
    </w:p>
    <w:p w14:paraId="1E2C4610" w14:textId="77777777" w:rsidR="00CF7396" w:rsidRPr="00CF7396" w:rsidRDefault="00CF7396" w:rsidP="00CF7396">
      <w:pPr>
        <w:ind w:left="851" w:right="851" w:firstLine="709"/>
        <w:jc w:val="both"/>
        <w:rPr>
          <w:b/>
          <w:bCs/>
          <w:color w:val="000000" w:themeColor="text1"/>
          <w:lang w:val="es-CR"/>
        </w:rPr>
      </w:pPr>
    </w:p>
    <w:p w14:paraId="23889454" w14:textId="77777777" w:rsidR="00CF7396" w:rsidRPr="00CF7396" w:rsidRDefault="00CF7396" w:rsidP="00CF7396">
      <w:pPr>
        <w:ind w:left="851" w:right="851" w:firstLine="709"/>
        <w:jc w:val="both"/>
        <w:rPr>
          <w:b/>
          <w:bCs/>
          <w:i/>
          <w:iCs/>
          <w:color w:val="000000" w:themeColor="text1"/>
          <w:lang w:val="es-CR"/>
        </w:rPr>
      </w:pPr>
      <w:r w:rsidRPr="00CF7396">
        <w:rPr>
          <w:color w:val="000000" w:themeColor="text1"/>
          <w:lang w:val="es-CR"/>
        </w:rPr>
        <w:t xml:space="preserve">8.22 Brindar seguimiento al desempeño del Licenciado Diego Meoño Piedra, Juez Coordinador del Juzgado de Cobro del Primer Circuito Judicial de la Zona Atlántica e informar al Consejo Superior acerca de los resultados. Lo anterior considerando lo señalado en el apartado 4.2.1 de este informe. </w:t>
      </w:r>
    </w:p>
    <w:p w14:paraId="49AF1D0D" w14:textId="77777777" w:rsidR="00CF7396" w:rsidRPr="00CF7396" w:rsidRDefault="00CF7396" w:rsidP="00CF7396">
      <w:pPr>
        <w:ind w:left="851" w:right="851" w:firstLine="709"/>
        <w:rPr>
          <w:color w:val="000000" w:themeColor="text1"/>
          <w:lang w:val="es-CR"/>
        </w:rPr>
      </w:pPr>
    </w:p>
    <w:p w14:paraId="5DFA60F3" w14:textId="77777777" w:rsidR="00CF7396" w:rsidRPr="00CF7396" w:rsidRDefault="00CF7396" w:rsidP="00CF7396">
      <w:pPr>
        <w:ind w:left="851" w:right="851" w:firstLine="709"/>
        <w:rPr>
          <w:color w:val="000000" w:themeColor="text1"/>
          <w:lang w:val="es-CR"/>
        </w:rPr>
      </w:pPr>
    </w:p>
    <w:p w14:paraId="69663353" w14:textId="77777777" w:rsidR="00CF7396" w:rsidRPr="00CF7396" w:rsidRDefault="00CF7396" w:rsidP="00CF7396">
      <w:pPr>
        <w:ind w:left="851" w:right="851" w:firstLine="709"/>
        <w:jc w:val="both"/>
        <w:rPr>
          <w:b/>
          <w:bCs/>
          <w:color w:val="000000" w:themeColor="text1"/>
          <w:lang w:val="es-CR"/>
        </w:rPr>
      </w:pPr>
      <w:r w:rsidRPr="00CF7396">
        <w:rPr>
          <w:b/>
          <w:bCs/>
          <w:color w:val="000000" w:themeColor="text1"/>
          <w:lang w:val="es-CR"/>
        </w:rPr>
        <w:t>A la Dirección de Gestión Humana:</w:t>
      </w:r>
    </w:p>
    <w:p w14:paraId="10CBEA52" w14:textId="77777777" w:rsidR="00CF7396" w:rsidRPr="00CF7396" w:rsidRDefault="00CF7396" w:rsidP="00CF7396">
      <w:pPr>
        <w:ind w:left="851" w:right="851" w:firstLine="709"/>
        <w:jc w:val="both"/>
        <w:rPr>
          <w:b/>
          <w:bCs/>
          <w:color w:val="000000" w:themeColor="text1"/>
          <w:lang w:val="es-CR"/>
        </w:rPr>
      </w:pPr>
    </w:p>
    <w:p w14:paraId="79E9063B"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Según lo indicado en el punto 3.3 de este informe deberán:</w:t>
      </w:r>
    </w:p>
    <w:p w14:paraId="7BA0F958" w14:textId="77777777" w:rsidR="00CF7396" w:rsidRPr="00CF7396" w:rsidRDefault="00CF7396" w:rsidP="00CF7396">
      <w:pPr>
        <w:ind w:left="851" w:right="851" w:firstLine="709"/>
        <w:jc w:val="both"/>
        <w:rPr>
          <w:color w:val="000000" w:themeColor="text1"/>
          <w:lang w:val="es-CR"/>
        </w:rPr>
      </w:pPr>
    </w:p>
    <w:p w14:paraId="698AA52B"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8.23 Previo a que la Dirección de Gestión Humana realice los procesos de reclutamiento para las plazas vacantes en el Circuito, consulte previamente a la Dirección de Planificación, con el fin de identificar si efectivamente el recurso es requerido en la oficina en dónde se nombrará en propiedad o por el contrario si se puede trasladar a otra oficina del Circuito o bien a otra Sede y lograr el aprovechamiento del recurso humano como parte de las Medidas de Contención del Gasto Público según Circular 136-2017.  De forma alternativa, se recomienda que la Dirección de Gestión Humana en la convocatoria del concurso refiera un apartado que indique que podrían recomendarse eventualmente traslados de recursos según las necesidades institucionales, tanto entre oficinas de la misma materia, como para otras materias.</w:t>
      </w:r>
    </w:p>
    <w:p w14:paraId="06EF5ABC" w14:textId="77777777" w:rsidR="00CF7396" w:rsidRPr="00CF7396" w:rsidRDefault="00CF7396" w:rsidP="00CF7396">
      <w:pPr>
        <w:ind w:left="851" w:right="851" w:firstLine="709"/>
        <w:rPr>
          <w:b/>
          <w:bCs/>
          <w:i/>
          <w:iCs/>
          <w:color w:val="000000" w:themeColor="text1"/>
          <w:lang w:val="es-CR"/>
        </w:rPr>
      </w:pPr>
    </w:p>
    <w:p w14:paraId="2778984B" w14:textId="77777777" w:rsidR="00CF7396" w:rsidRPr="00CF7396" w:rsidRDefault="00CF7396" w:rsidP="00CF7396">
      <w:pPr>
        <w:ind w:left="851" w:right="851" w:firstLine="709"/>
        <w:jc w:val="both"/>
        <w:rPr>
          <w:i/>
          <w:iCs/>
          <w:color w:val="000000" w:themeColor="text1"/>
          <w:lang w:val="es-CR"/>
        </w:rPr>
      </w:pPr>
      <w:r w:rsidRPr="00CF7396">
        <w:rPr>
          <w:i/>
          <w:iCs/>
          <w:color w:val="000000" w:themeColor="text1"/>
          <w:lang w:val="es-CR"/>
        </w:rPr>
        <w:t xml:space="preserve">8.24 Efectuar un estudio integral en el Primer Circuito Judicial de la Zona Atlántica y Periférica sobre la rotación constante de los nombramientos del personal juzgador, por cuanto según manifestaciones de las diversas jefaturas del Circuito se ha detectado el cambio constante de personal juzgador, provocando una desmotivación en el personal subalterno; lo anterior con el fin de buscar oportunidades de mejora y establecer una permanencia del personal en la zona. Dicho estudio podría replicarse en un futuro a nivel nacional en otros Circuitos y en zonas alejadas del área metropolitana que presenta esa misma situación. </w:t>
      </w:r>
    </w:p>
    <w:p w14:paraId="58773F59" w14:textId="77777777" w:rsidR="00CF7396" w:rsidRPr="00CF7396" w:rsidRDefault="00CF7396" w:rsidP="00CF7396">
      <w:pPr>
        <w:ind w:left="851" w:right="851" w:firstLine="709"/>
        <w:jc w:val="both"/>
        <w:rPr>
          <w:b/>
          <w:bCs/>
          <w:color w:val="000000" w:themeColor="text1"/>
          <w:lang w:val="es-CR"/>
        </w:rPr>
      </w:pPr>
    </w:p>
    <w:p w14:paraId="71C62BD2" w14:textId="77777777" w:rsidR="00CF7396" w:rsidRPr="00CF7396" w:rsidRDefault="00CF7396" w:rsidP="00CF7396">
      <w:pPr>
        <w:ind w:left="851" w:right="851" w:firstLine="709"/>
        <w:jc w:val="both"/>
        <w:rPr>
          <w:b/>
          <w:bCs/>
          <w:color w:val="000000" w:themeColor="text1"/>
          <w:lang w:val="es-CR"/>
        </w:rPr>
      </w:pPr>
      <w:r w:rsidRPr="00CF7396">
        <w:rPr>
          <w:b/>
          <w:bCs/>
          <w:color w:val="000000" w:themeColor="text1"/>
          <w:lang w:val="es-CR"/>
        </w:rPr>
        <w:t>A los despachos que integran el Modelo de Seguimiento y Sostenibilidad del Primer Circuito Judicial de la Zona Atlántica</w:t>
      </w:r>
    </w:p>
    <w:p w14:paraId="5A8C061B" w14:textId="77777777" w:rsidR="00CF7396" w:rsidRPr="00CF7396" w:rsidRDefault="00CF7396" w:rsidP="00CF7396">
      <w:pPr>
        <w:ind w:left="851" w:right="851" w:firstLine="709"/>
        <w:jc w:val="both"/>
        <w:rPr>
          <w:color w:val="000000" w:themeColor="text1"/>
          <w:lang w:val="es-CR"/>
        </w:rPr>
      </w:pPr>
    </w:p>
    <w:p w14:paraId="48D32C86"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8.25 Considerar lo dispuesto en la Circular 230-2020 de la Secretaría General de la Corte Suprema de Justicia sobre los “Deberes de </w:t>
      </w:r>
      <w:proofErr w:type="gramStart"/>
      <w:r w:rsidRPr="00CF7396">
        <w:rPr>
          <w:color w:val="000000" w:themeColor="text1"/>
          <w:lang w:val="es-CR"/>
        </w:rPr>
        <w:t>las juezas y jueces</w:t>
      </w:r>
      <w:proofErr w:type="gramEnd"/>
      <w:r w:rsidRPr="00CF7396">
        <w:rPr>
          <w:color w:val="000000" w:themeColor="text1"/>
          <w:lang w:val="es-CR"/>
        </w:rPr>
        <w:t xml:space="preserve"> en el Modelo de Sostenibilidad en las oficinas y despachos judiciales”.</w:t>
      </w:r>
    </w:p>
    <w:p w14:paraId="685FEE0A" w14:textId="77777777" w:rsidR="00CF7396" w:rsidRPr="00CF7396" w:rsidRDefault="00CF7396" w:rsidP="00CF7396">
      <w:pPr>
        <w:ind w:left="851" w:right="851" w:firstLine="709"/>
        <w:jc w:val="both"/>
        <w:rPr>
          <w:color w:val="000000" w:themeColor="text1"/>
          <w:lang w:val="es-CR"/>
        </w:rPr>
      </w:pPr>
    </w:p>
    <w:p w14:paraId="433BDBE9"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8.26 Considerar lo dispuesto en las circulares 187-2022 y 38-2022, donde se hace de conocimiento de todos los despachos judiciales del país la Obligación de las oficinas en las cuales se esté implementando el Modelo de Sostenibilidad y Seguimiento de los Proyectos de Rediseño, incluir en el Sistema de Proposición Electrónica de Nombramientos (PIN), como días no laborados solamente vacaciones, incapacidades, permisos con o sin goce de salario.</w:t>
      </w:r>
    </w:p>
    <w:p w14:paraId="6A705129" w14:textId="77777777" w:rsidR="00CF7396" w:rsidRPr="00CF7396" w:rsidRDefault="00CF7396" w:rsidP="00CF7396">
      <w:pPr>
        <w:ind w:left="851" w:right="851" w:firstLine="709"/>
        <w:jc w:val="both"/>
        <w:rPr>
          <w:color w:val="000000" w:themeColor="text1"/>
          <w:lang w:val="es-CR"/>
        </w:rPr>
      </w:pPr>
    </w:p>
    <w:p w14:paraId="71E671BA" w14:textId="77777777" w:rsidR="00CF7396" w:rsidRPr="00CF7396" w:rsidRDefault="00CF7396" w:rsidP="00CF7396">
      <w:pPr>
        <w:ind w:left="851" w:right="851" w:firstLine="709"/>
        <w:jc w:val="both"/>
        <w:rPr>
          <w:color w:val="000000" w:themeColor="text1"/>
          <w:lang w:val="es-CR"/>
        </w:rPr>
      </w:pPr>
      <w:bookmarkStart w:id="16" w:name="_Toc78876685"/>
      <w:r w:rsidRPr="00CF7396">
        <w:rPr>
          <w:color w:val="000000" w:themeColor="text1"/>
          <w:lang w:val="es-CR"/>
        </w:rPr>
        <w:t>8.27 Recordar, que cuando exista una actualización en la conformación del equipo de mejora, deberá de consignarse en la minuta de reunión.</w:t>
      </w:r>
      <w:bookmarkEnd w:id="16"/>
      <w:r w:rsidRPr="00CF7396">
        <w:rPr>
          <w:color w:val="000000" w:themeColor="text1"/>
          <w:lang w:val="es-CR"/>
        </w:rPr>
        <w:t xml:space="preserve"> </w:t>
      </w:r>
    </w:p>
    <w:p w14:paraId="30A5D2A0" w14:textId="77777777" w:rsidR="00CF7396" w:rsidRPr="00CF7396" w:rsidRDefault="00CF7396" w:rsidP="00CF7396">
      <w:pPr>
        <w:ind w:left="851" w:right="851" w:firstLine="709"/>
        <w:rPr>
          <w:b/>
          <w:bCs/>
          <w:i/>
          <w:iCs/>
          <w:color w:val="000000" w:themeColor="text1"/>
          <w:lang w:val="es-CR"/>
        </w:rPr>
      </w:pPr>
    </w:p>
    <w:p w14:paraId="648E06E2" w14:textId="77777777" w:rsidR="00CF7396" w:rsidRPr="00CF7396" w:rsidRDefault="00CF7396" w:rsidP="00CF7396">
      <w:pPr>
        <w:ind w:left="851" w:right="851" w:firstLine="709"/>
        <w:rPr>
          <w:b/>
          <w:bCs/>
          <w:i/>
          <w:iCs/>
          <w:color w:val="000000" w:themeColor="text1"/>
          <w:lang w:val="es-CR"/>
        </w:rPr>
      </w:pPr>
    </w:p>
    <w:p w14:paraId="37AB063C" w14:textId="77777777" w:rsidR="00CF7396" w:rsidRPr="00CF7396" w:rsidRDefault="00CF7396" w:rsidP="00CF7396">
      <w:pPr>
        <w:ind w:left="851" w:right="851" w:firstLine="709"/>
        <w:jc w:val="both"/>
        <w:rPr>
          <w:b/>
          <w:bCs/>
          <w:i/>
          <w:iCs/>
          <w:color w:val="000000" w:themeColor="text1"/>
          <w:lang w:val="es-CR"/>
        </w:rPr>
      </w:pPr>
      <w:bookmarkStart w:id="17" w:name="_Toc78876687"/>
      <w:r w:rsidRPr="00CF7396">
        <w:rPr>
          <w:color w:val="000000" w:themeColor="text1"/>
          <w:lang w:val="es-CR"/>
        </w:rPr>
        <w:t>8.28 Considerar por parte de las personas juzgadoras que deben fallar expedientes por orden de antigüedad y en el caso de las personas técnicas judiciales tramitar los escritos en ese mismo orden, a menos que exista una justificación según disposiciones de Ley, personas vulnerables, directriz emitida por parte de alguna Comisión o del Centro de Apoyo, entre otros, por lo cual deberán de justificarlo en la minuta de reunión.</w:t>
      </w:r>
      <w:bookmarkEnd w:id="17"/>
    </w:p>
    <w:p w14:paraId="371B087C" w14:textId="77777777" w:rsidR="00CF7396" w:rsidRPr="00CF7396" w:rsidRDefault="00CF7396" w:rsidP="00CF7396">
      <w:pPr>
        <w:ind w:left="851" w:right="851" w:firstLine="709"/>
        <w:rPr>
          <w:color w:val="000000" w:themeColor="text1"/>
          <w:lang w:val="es-CR"/>
        </w:rPr>
      </w:pPr>
    </w:p>
    <w:p w14:paraId="23214AF9" w14:textId="77777777" w:rsidR="00CF7396" w:rsidRPr="00CF7396" w:rsidRDefault="00CF7396" w:rsidP="00CF7396">
      <w:pPr>
        <w:ind w:left="851" w:right="851" w:firstLine="709"/>
        <w:rPr>
          <w:b/>
          <w:bCs/>
          <w:i/>
          <w:iCs/>
          <w:color w:val="000000" w:themeColor="text1"/>
          <w:lang w:val="es-CR"/>
        </w:rPr>
      </w:pPr>
      <w:r w:rsidRPr="00CF7396">
        <w:rPr>
          <w:color w:val="000000" w:themeColor="text1"/>
          <w:lang w:val="es-CR"/>
        </w:rPr>
        <w:t>8.29 Incluir en las minutas de reunión:</w:t>
      </w:r>
    </w:p>
    <w:p w14:paraId="4F4608B3" w14:textId="77777777" w:rsidR="00CF7396" w:rsidRPr="00CF7396" w:rsidRDefault="00CF7396" w:rsidP="00CF7396">
      <w:pPr>
        <w:ind w:left="851" w:right="851" w:firstLine="709"/>
        <w:rPr>
          <w:color w:val="000000" w:themeColor="text1"/>
          <w:lang w:val="es-CR"/>
        </w:rPr>
      </w:pPr>
    </w:p>
    <w:p w14:paraId="4CC8977D" w14:textId="77777777" w:rsidR="00CF7396" w:rsidRPr="00CF7396" w:rsidRDefault="00CF7396" w:rsidP="00CF7396">
      <w:pPr>
        <w:numPr>
          <w:ilvl w:val="0"/>
          <w:numId w:val="56"/>
        </w:numPr>
        <w:ind w:left="851" w:right="851" w:firstLine="709"/>
        <w:jc w:val="both"/>
        <w:rPr>
          <w:color w:val="000000" w:themeColor="text1"/>
          <w:lang w:val="es-CR"/>
        </w:rPr>
      </w:pPr>
      <w:r w:rsidRPr="00CF7396">
        <w:rPr>
          <w:color w:val="000000" w:themeColor="text1"/>
          <w:lang w:val="es-CR"/>
        </w:rPr>
        <w:t>Justificar las razones por las cuales los Indicadores de gestión se encuentran críticos.</w:t>
      </w:r>
    </w:p>
    <w:p w14:paraId="466875CB" w14:textId="77777777" w:rsidR="00CF7396" w:rsidRPr="00CF7396" w:rsidRDefault="00CF7396" w:rsidP="00CF7396">
      <w:pPr>
        <w:numPr>
          <w:ilvl w:val="0"/>
          <w:numId w:val="56"/>
        </w:numPr>
        <w:ind w:left="851" w:right="851" w:firstLine="709"/>
        <w:jc w:val="both"/>
        <w:rPr>
          <w:color w:val="000000" w:themeColor="text1"/>
          <w:lang w:val="es-CR"/>
        </w:rPr>
      </w:pPr>
      <w:r w:rsidRPr="00CF7396">
        <w:rPr>
          <w:color w:val="000000" w:themeColor="text1"/>
          <w:lang w:val="es-CR"/>
        </w:rPr>
        <w:t>Incluir justificaciones que tienen relación con los rendimientos de las personas judiciales y que no son considerados dentro de los tiempos o cuotas de trabajo como son: capacitaciones, reuniones, problemas con los sistemas, entre otros; indicando el tiempo total del mes que tienen dichas justificaciones por cada plaza cuando sea necesario.</w:t>
      </w:r>
    </w:p>
    <w:p w14:paraId="307BCF5A" w14:textId="77777777" w:rsidR="00CF7396" w:rsidRPr="00CF7396" w:rsidRDefault="00CF7396" w:rsidP="00CF7396">
      <w:pPr>
        <w:numPr>
          <w:ilvl w:val="0"/>
          <w:numId w:val="56"/>
        </w:numPr>
        <w:ind w:left="851" w:right="851" w:firstLine="709"/>
        <w:jc w:val="both"/>
        <w:rPr>
          <w:color w:val="000000" w:themeColor="text1"/>
          <w:lang w:val="es-CR"/>
        </w:rPr>
      </w:pPr>
      <w:r w:rsidRPr="00CF7396">
        <w:rPr>
          <w:color w:val="000000" w:themeColor="text1"/>
          <w:lang w:val="es-CR"/>
        </w:rPr>
        <w:t xml:space="preserve">Señalar los números de expedientes que fallaron o tramitaron con fecha más reciente en relación con lo más pendiente de fallo o de trámite que tienen asignando en el Escritorio Virtual (tanto las personas juzgadoras como técnicas), con su respectiva justificación, por ejemplo, si correspondió a un expediente de persona vulnerable, urgencia por disposiciones de Ley, queja de la Contraloría de Servicios, entre otros. </w:t>
      </w:r>
    </w:p>
    <w:p w14:paraId="18CE8B09" w14:textId="77777777" w:rsidR="00CF7396" w:rsidRPr="00CF7396" w:rsidRDefault="00CF7396" w:rsidP="00CF7396">
      <w:pPr>
        <w:numPr>
          <w:ilvl w:val="0"/>
          <w:numId w:val="56"/>
        </w:numPr>
        <w:ind w:left="851" w:right="851" w:firstLine="709"/>
        <w:jc w:val="both"/>
        <w:rPr>
          <w:color w:val="000000" w:themeColor="text1"/>
          <w:lang w:val="es-CR"/>
        </w:rPr>
      </w:pPr>
      <w:r w:rsidRPr="00CF7396">
        <w:rPr>
          <w:color w:val="000000" w:themeColor="text1"/>
          <w:lang w:val="es-CR"/>
        </w:rPr>
        <w:t>Citar si contaron con plan de trabajo por parte de personal supernumerario de la Administración Regional o del Centro de Apoyo, Coordinación y Mejoramiento de la Función Jurisdiccional e indicar brevemente en qué consistía el apoyo.</w:t>
      </w:r>
    </w:p>
    <w:p w14:paraId="46B89BDB" w14:textId="77777777" w:rsidR="00CF7396" w:rsidRPr="00CF7396" w:rsidRDefault="00CF7396" w:rsidP="00CF7396">
      <w:pPr>
        <w:ind w:left="851" w:right="851" w:firstLine="709"/>
        <w:rPr>
          <w:color w:val="000000" w:themeColor="text1"/>
          <w:lang w:val="es-CR"/>
        </w:rPr>
      </w:pPr>
    </w:p>
    <w:p w14:paraId="333FF441" w14:textId="77777777" w:rsidR="00CF7396" w:rsidRPr="00CF7396" w:rsidRDefault="00CF7396" w:rsidP="00CF7396">
      <w:pPr>
        <w:ind w:left="851" w:right="851" w:firstLine="709"/>
        <w:jc w:val="both"/>
        <w:rPr>
          <w:color w:val="000000" w:themeColor="text1"/>
          <w:lang w:val="es-CR"/>
        </w:rPr>
      </w:pPr>
      <w:bookmarkStart w:id="18" w:name="_Toc78876690"/>
      <w:r w:rsidRPr="00CF7396">
        <w:rPr>
          <w:color w:val="000000" w:themeColor="text1"/>
          <w:lang w:val="es-CR"/>
        </w:rPr>
        <w:t>8.30 Recordar al personal de cada despacho u oficina mantener debidamente actualizadas todas las variables en el sistema de los expedientes (fase, estado, clase, procedimiento, juez decisor, juez tramitador, técnico judicial responsable, ubicación, tarea, entre otros), conforme a lo indicado en las circulares 94-2019 y 133-2018 emitidas por el Consejo Superior.</w:t>
      </w:r>
      <w:bookmarkEnd w:id="18"/>
      <w:r w:rsidRPr="00CF7396">
        <w:rPr>
          <w:color w:val="000000" w:themeColor="text1"/>
          <w:lang w:val="es-CR"/>
        </w:rPr>
        <w:t xml:space="preserve"> </w:t>
      </w:r>
    </w:p>
    <w:p w14:paraId="378A3755" w14:textId="77777777" w:rsidR="00CF7396" w:rsidRPr="00CF7396" w:rsidRDefault="00CF7396" w:rsidP="00CF7396">
      <w:pPr>
        <w:ind w:left="851" w:right="851" w:firstLine="709"/>
        <w:jc w:val="both"/>
        <w:rPr>
          <w:color w:val="000000" w:themeColor="text1"/>
          <w:lang w:val="es-CR"/>
        </w:rPr>
      </w:pPr>
    </w:p>
    <w:p w14:paraId="4C7989ED" w14:textId="77777777" w:rsidR="00CF7396" w:rsidRPr="00CF7396" w:rsidRDefault="00CF7396" w:rsidP="00CF7396">
      <w:pPr>
        <w:ind w:left="851" w:right="851" w:firstLine="709"/>
        <w:jc w:val="both"/>
        <w:rPr>
          <w:color w:val="000000" w:themeColor="text1"/>
          <w:lang w:val="es-CR"/>
        </w:rPr>
      </w:pPr>
      <w:bookmarkStart w:id="19" w:name="_Toc78876691"/>
      <w:r w:rsidRPr="00CF7396">
        <w:rPr>
          <w:color w:val="000000" w:themeColor="text1"/>
          <w:lang w:val="es-CR"/>
        </w:rPr>
        <w:t>8.31 Dar seguimiento a todos los escritorios del despacho en el Escritorio Virtual, con el fin de que no se mantengan ni se asignen asuntos a ubicaciones que no cuentan con alguna persona responsable asignada, ya que se pierde la trazabilidad de esos asuntos.</w:t>
      </w:r>
      <w:bookmarkEnd w:id="19"/>
    </w:p>
    <w:p w14:paraId="6DAD1EF7" w14:textId="77777777" w:rsidR="00CF7396" w:rsidRPr="00CF7396" w:rsidRDefault="00CF7396" w:rsidP="00CF7396">
      <w:pPr>
        <w:ind w:left="851" w:right="851" w:firstLine="709"/>
        <w:jc w:val="both"/>
        <w:rPr>
          <w:color w:val="000000" w:themeColor="text1"/>
          <w:lang w:val="es-CR"/>
        </w:rPr>
      </w:pPr>
    </w:p>
    <w:p w14:paraId="2589C9B7" w14:textId="77777777" w:rsidR="00CF7396" w:rsidRPr="00CF7396" w:rsidRDefault="00CF7396" w:rsidP="00CF7396">
      <w:pPr>
        <w:ind w:left="851" w:right="851" w:firstLine="709"/>
        <w:jc w:val="both"/>
        <w:rPr>
          <w:color w:val="000000" w:themeColor="text1"/>
          <w:lang w:val="es-CR"/>
        </w:rPr>
      </w:pPr>
    </w:p>
    <w:p w14:paraId="320C3F2F"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8.32 Continuar con el debido orden en la agenda cronos, para realizar los señalamientos mensuales mínimos establecidos según la cuota de trabajo establecida. </w:t>
      </w:r>
    </w:p>
    <w:p w14:paraId="1AE0AF6A" w14:textId="77777777" w:rsidR="00CF7396" w:rsidRPr="00CF7396" w:rsidRDefault="00CF7396" w:rsidP="00CF7396">
      <w:pPr>
        <w:ind w:left="851" w:right="851" w:firstLine="709"/>
        <w:jc w:val="both"/>
        <w:rPr>
          <w:color w:val="000000" w:themeColor="text1"/>
          <w:lang w:val="es-CR"/>
        </w:rPr>
      </w:pPr>
    </w:p>
    <w:p w14:paraId="38B637F8"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8.33 Continuar promoviendo e impulsando la realización de audiencias virtuales por medio de la herramienta de </w:t>
      </w:r>
      <w:proofErr w:type="spellStart"/>
      <w:r w:rsidRPr="00CF7396">
        <w:rPr>
          <w:color w:val="000000" w:themeColor="text1"/>
          <w:lang w:val="es-CR"/>
        </w:rPr>
        <w:t>Teams</w:t>
      </w:r>
      <w:proofErr w:type="spellEnd"/>
      <w:r w:rsidRPr="00CF7396">
        <w:rPr>
          <w:color w:val="000000" w:themeColor="text1"/>
          <w:lang w:val="es-CR"/>
        </w:rPr>
        <w:t xml:space="preserve"> según Protocolo para la realización de audiencias orales en cada materia.</w:t>
      </w:r>
    </w:p>
    <w:p w14:paraId="418E035B" w14:textId="77777777" w:rsidR="00CF7396" w:rsidRPr="00CF7396" w:rsidRDefault="00CF7396" w:rsidP="00CF7396">
      <w:pPr>
        <w:ind w:left="851" w:right="851" w:firstLine="709"/>
        <w:jc w:val="both"/>
        <w:rPr>
          <w:color w:val="000000" w:themeColor="text1"/>
          <w:lang w:val="es-CR"/>
        </w:rPr>
      </w:pPr>
    </w:p>
    <w:p w14:paraId="002380DF" w14:textId="77777777" w:rsidR="00CF7396" w:rsidRPr="00CF7396" w:rsidRDefault="00CF7396" w:rsidP="00CF7396">
      <w:pPr>
        <w:ind w:left="851" w:right="851" w:firstLine="709"/>
        <w:jc w:val="both"/>
        <w:rPr>
          <w:b/>
          <w:bCs/>
          <w:i/>
          <w:iCs/>
          <w:color w:val="000000" w:themeColor="text1"/>
          <w:lang w:val="es-CR"/>
        </w:rPr>
      </w:pPr>
      <w:r w:rsidRPr="00CF7396">
        <w:rPr>
          <w:color w:val="000000" w:themeColor="text1"/>
          <w:lang w:val="es-CR"/>
        </w:rPr>
        <w:t>8.34 Cumplir con lo dispuesto por el Consejo de Administración del Primer Circuito Judicial de la Zona Atlántica, en sesión 09-2020 del 27 de agosto del 2020, artículo I, referente al envió de la documentación de Indicadores en la segunda semana de cada mes.</w:t>
      </w:r>
    </w:p>
    <w:p w14:paraId="6D139113" w14:textId="77777777" w:rsidR="00CF7396" w:rsidRPr="00CF7396" w:rsidRDefault="00CF7396" w:rsidP="00CF7396">
      <w:pPr>
        <w:ind w:left="851" w:right="851" w:firstLine="709"/>
        <w:jc w:val="both"/>
        <w:rPr>
          <w:b/>
          <w:bCs/>
          <w:color w:val="000000" w:themeColor="text1"/>
          <w:lang w:val="es-CR"/>
        </w:rPr>
      </w:pPr>
    </w:p>
    <w:p w14:paraId="22B16A3C" w14:textId="77777777" w:rsidR="00CF7396" w:rsidRPr="00CF7396" w:rsidRDefault="00CF7396" w:rsidP="00CF7396">
      <w:pPr>
        <w:ind w:left="851" w:right="851" w:firstLine="709"/>
        <w:jc w:val="both"/>
        <w:rPr>
          <w:b/>
          <w:bCs/>
          <w:color w:val="000000" w:themeColor="text1"/>
          <w:lang w:val="es-CR"/>
        </w:rPr>
      </w:pPr>
      <w:r w:rsidRPr="00CF7396">
        <w:rPr>
          <w:b/>
          <w:bCs/>
          <w:color w:val="000000" w:themeColor="text1"/>
          <w:lang w:val="es-CR"/>
        </w:rPr>
        <w:t xml:space="preserve">Al Juzgado Civil, Juzgado de Trabajo, Juzgado Agrario, Juzgado de Familia y Sección de Flagrancia del Primer Circuito Judicial de la Zona Atlántica y el Juzgado Contravencional de </w:t>
      </w:r>
      <w:proofErr w:type="spellStart"/>
      <w:r w:rsidRPr="00CF7396">
        <w:rPr>
          <w:b/>
          <w:bCs/>
          <w:color w:val="000000" w:themeColor="text1"/>
          <w:lang w:val="es-CR"/>
        </w:rPr>
        <w:t>Bribrí</w:t>
      </w:r>
      <w:proofErr w:type="spellEnd"/>
    </w:p>
    <w:p w14:paraId="0B454A0E" w14:textId="77777777" w:rsidR="00CF7396" w:rsidRPr="00CF7396" w:rsidRDefault="00CF7396" w:rsidP="00CF7396">
      <w:pPr>
        <w:ind w:left="851" w:right="851" w:firstLine="709"/>
        <w:jc w:val="both"/>
        <w:rPr>
          <w:b/>
          <w:bCs/>
          <w:color w:val="000000" w:themeColor="text1"/>
          <w:lang w:val="es-CR"/>
        </w:rPr>
      </w:pPr>
    </w:p>
    <w:p w14:paraId="7C36AEC8" w14:textId="77777777" w:rsidR="00CF7396" w:rsidRPr="00CF7396" w:rsidRDefault="00CF7396" w:rsidP="00CF7396">
      <w:pPr>
        <w:ind w:left="851" w:right="851" w:firstLine="709"/>
        <w:jc w:val="both"/>
        <w:rPr>
          <w:b/>
          <w:bCs/>
          <w:i/>
          <w:iCs/>
          <w:color w:val="000000" w:themeColor="text1"/>
          <w:lang w:val="es-CR"/>
        </w:rPr>
      </w:pPr>
      <w:bookmarkStart w:id="20" w:name="_Toc78876684"/>
      <w:r w:rsidRPr="00CF7396">
        <w:rPr>
          <w:color w:val="000000" w:themeColor="text1"/>
          <w:lang w:val="es-CR"/>
        </w:rPr>
        <w:t>8.35 Implementar acciones para el cumplimiento de las cuotas de trabajo establecidas por la Dirección de Planificación</w:t>
      </w:r>
      <w:bookmarkEnd w:id="20"/>
      <w:r w:rsidRPr="00CF7396">
        <w:rPr>
          <w:color w:val="000000" w:themeColor="text1"/>
          <w:lang w:val="es-CR"/>
        </w:rPr>
        <w:t>, y tomar las acciones que sean necesarias para mejorar los rendimientos de las personas técnicas judiciales y personal juzgador, según sea el caso.</w:t>
      </w:r>
    </w:p>
    <w:p w14:paraId="58DC3B98" w14:textId="77777777" w:rsidR="00CF7396" w:rsidRPr="00CF7396" w:rsidRDefault="00CF7396" w:rsidP="00CF7396">
      <w:pPr>
        <w:ind w:left="851" w:right="851" w:firstLine="709"/>
        <w:rPr>
          <w:b/>
          <w:bCs/>
          <w:color w:val="000000" w:themeColor="text1"/>
          <w:lang w:val="es-CR"/>
        </w:rPr>
      </w:pPr>
    </w:p>
    <w:p w14:paraId="13E729B0" w14:textId="77777777" w:rsidR="00CF7396" w:rsidRPr="00CF7396" w:rsidRDefault="00CF7396" w:rsidP="00CF7396">
      <w:pPr>
        <w:ind w:left="851" w:right="851" w:firstLine="709"/>
        <w:rPr>
          <w:b/>
          <w:bCs/>
          <w:color w:val="000000" w:themeColor="text1"/>
          <w:lang w:val="es-CR"/>
        </w:rPr>
      </w:pPr>
      <w:r w:rsidRPr="00CF7396">
        <w:rPr>
          <w:b/>
          <w:bCs/>
          <w:color w:val="000000" w:themeColor="text1"/>
          <w:lang w:val="es-CR"/>
        </w:rPr>
        <w:t>Al Juzgado de Trabajo del Primer Circuito Judicial de la Zona Atlántica</w:t>
      </w:r>
    </w:p>
    <w:p w14:paraId="2636F4E5" w14:textId="77777777" w:rsidR="00CF7396" w:rsidRPr="00CF7396" w:rsidRDefault="00CF7396" w:rsidP="00CF7396">
      <w:pPr>
        <w:ind w:left="851" w:right="851" w:firstLine="709"/>
        <w:rPr>
          <w:color w:val="000000" w:themeColor="text1"/>
          <w:lang w:val="es-CR"/>
        </w:rPr>
      </w:pPr>
    </w:p>
    <w:p w14:paraId="255DB243"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8.36 Continuar realizando los seguimientos semanales por parte del personal juzgador para dar la continuidad en la mejora de los rendimientos de las personas técnicas judiciales, caso contrario y de detectarse incumplimientos injustificados deberá de aplicar el régimen disciplinario correspondiente.</w:t>
      </w:r>
    </w:p>
    <w:p w14:paraId="168C693E" w14:textId="77777777" w:rsidR="00CF7396" w:rsidRPr="00CF7396" w:rsidRDefault="00CF7396" w:rsidP="00CF7396">
      <w:pPr>
        <w:ind w:left="851" w:right="851" w:firstLine="709"/>
        <w:jc w:val="both"/>
        <w:rPr>
          <w:color w:val="000000" w:themeColor="text1"/>
          <w:lang w:val="es-CR"/>
        </w:rPr>
      </w:pPr>
    </w:p>
    <w:p w14:paraId="23AE2C24"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8.37 Cumplir con la cuota de trabajo mínima establecida por parte de las personas técnicas judiciales. En vista que en el informe del Modelo del 2021 (720-PLA-EV-2021), se emitió la misma recomendación, deberán de tomar las previsiones del caso ya que por segunda ocasión se detectan los incumplimientos en cuotas de trabajo, por lo que las personas juzgadoras serán las responsables de tomar acciones y aplicar el régimen disciplinario en los casos que correspondan. </w:t>
      </w:r>
    </w:p>
    <w:p w14:paraId="6BE038E4" w14:textId="77777777" w:rsidR="00CF7396" w:rsidRPr="00CF7396" w:rsidRDefault="00CF7396" w:rsidP="00CF7396">
      <w:pPr>
        <w:ind w:left="851" w:right="851" w:firstLine="709"/>
        <w:jc w:val="both"/>
        <w:rPr>
          <w:color w:val="000000" w:themeColor="text1"/>
          <w:lang w:val="es-CR"/>
        </w:rPr>
      </w:pPr>
    </w:p>
    <w:p w14:paraId="13F37E8A"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8.38 Cumplir con la distribución de la cuota de trabajo del personal juzgador que se encuentra compuesta por 54 firmas diarias y mínimo 4 dictado de sentencia mensual por cada persona juzgadora; en caso de no contar con la cantidad suficiente de expedientes para fallar, se deberá de justificar en la minuta de reunión; o bien si durante el mes no fallaron los expedientes que tenían a cargo, deberán de incluir la justificación correspondiente en la minuta de reunión.</w:t>
      </w:r>
    </w:p>
    <w:p w14:paraId="7F4A2369" w14:textId="77777777" w:rsidR="00CF7396" w:rsidRPr="00CF7396" w:rsidRDefault="00CF7396" w:rsidP="00CF7396">
      <w:pPr>
        <w:ind w:left="851" w:right="851" w:firstLine="709"/>
        <w:jc w:val="both"/>
        <w:rPr>
          <w:color w:val="000000" w:themeColor="text1"/>
          <w:lang w:val="es-CR"/>
        </w:rPr>
      </w:pPr>
    </w:p>
    <w:p w14:paraId="5A3D6496"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8.39 Considerar la circular 115-2021 del 21 de mayo del 2021 emitida por la Secretaría General de la Corte, referente a la obligación de remitir las órdenes de apremio corporal con prontitud, así como la circular 170-2021 obligación de cumplir con la corrección de inconsistencias de manera permanente, cumplimiento de circulares y actualización de los controles implementados bajo apercibimiento de aplicar el régimen disciplinario por su incumplimiento.</w:t>
      </w:r>
    </w:p>
    <w:p w14:paraId="0048A8A3" w14:textId="77777777" w:rsidR="00CF7396" w:rsidRPr="00CF7396" w:rsidRDefault="00CF7396" w:rsidP="00CF7396">
      <w:pPr>
        <w:ind w:left="851" w:right="851" w:firstLine="709"/>
        <w:rPr>
          <w:color w:val="000000" w:themeColor="text1"/>
          <w:lang w:val="es-CR"/>
        </w:rPr>
      </w:pPr>
    </w:p>
    <w:p w14:paraId="7E7A1608" w14:textId="77777777" w:rsidR="00CF7396" w:rsidRPr="00CF7396" w:rsidRDefault="00CF7396" w:rsidP="00CF7396">
      <w:pPr>
        <w:ind w:left="851" w:right="851" w:firstLine="709"/>
        <w:jc w:val="both"/>
        <w:rPr>
          <w:b/>
          <w:bCs/>
          <w:color w:val="000000" w:themeColor="text1"/>
          <w:lang w:val="es-CR"/>
        </w:rPr>
      </w:pPr>
      <w:r w:rsidRPr="00CF7396">
        <w:rPr>
          <w:b/>
          <w:bCs/>
          <w:color w:val="000000" w:themeColor="text1"/>
          <w:lang w:val="es-CR"/>
        </w:rPr>
        <w:t>Tribunal Penal y Sección de Flagrancia del Primer Circuito Judicial de la Zona Atlántica</w:t>
      </w:r>
    </w:p>
    <w:p w14:paraId="2CAC202E" w14:textId="77777777" w:rsidR="00CF7396" w:rsidRPr="00CF7396" w:rsidRDefault="00CF7396" w:rsidP="00CF7396">
      <w:pPr>
        <w:ind w:left="851" w:right="851" w:firstLine="709"/>
        <w:jc w:val="both"/>
        <w:rPr>
          <w:color w:val="000000" w:themeColor="text1"/>
          <w:lang w:val="es-CR"/>
        </w:rPr>
      </w:pPr>
    </w:p>
    <w:p w14:paraId="625B3C88"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8.40 Considerar, que en la minuta de reunión deben de justificar cuando alguna Sección no cumple con el mínimo de señalamientos mensuales, así como con la cantidad de dictado de sentencia y los motivos de suspensión de juicio.</w:t>
      </w:r>
    </w:p>
    <w:p w14:paraId="612E139B" w14:textId="77777777" w:rsidR="00CF7396" w:rsidRPr="00CF7396" w:rsidRDefault="00CF7396" w:rsidP="00CF7396">
      <w:pPr>
        <w:ind w:left="851" w:right="851" w:firstLine="709"/>
        <w:jc w:val="both"/>
        <w:rPr>
          <w:color w:val="000000" w:themeColor="text1"/>
          <w:lang w:val="es-CR"/>
        </w:rPr>
      </w:pPr>
    </w:p>
    <w:p w14:paraId="3FB31838"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8.41 Velar por el cumplimiento en las cuotas de trabajo del personal juzgador, lo anterior por parte de la persona Juez Coordinador. En caso de detectarse consecutivamente incumplimientos en los rendimientos de las personas juzgadoras y de no contar con justificaciones válidas, deberá tomar las acciones pertinentes y aplicar el régimen disciplinario para los casos que corresponda.</w:t>
      </w:r>
    </w:p>
    <w:p w14:paraId="54B5004C" w14:textId="77777777" w:rsidR="00CF7396" w:rsidRPr="00CF7396" w:rsidRDefault="00CF7396" w:rsidP="00CF7396">
      <w:pPr>
        <w:rPr>
          <w:color w:val="000000" w:themeColor="text1"/>
          <w:lang w:val="es-CR"/>
        </w:rPr>
      </w:pPr>
    </w:p>
    <w:p w14:paraId="3ED9494A" w14:textId="77777777" w:rsidR="00CF7396" w:rsidRPr="00CF7396" w:rsidRDefault="00CF7396" w:rsidP="00CF7396">
      <w:pPr>
        <w:numPr>
          <w:ilvl w:val="0"/>
          <w:numId w:val="58"/>
        </w:numPr>
        <w:ind w:left="851" w:right="851" w:firstLine="709"/>
        <w:jc w:val="both"/>
        <w:rPr>
          <w:b/>
          <w:bCs/>
          <w:color w:val="000000" w:themeColor="text1"/>
          <w:lang w:val="es-CR"/>
        </w:rPr>
      </w:pPr>
      <w:r w:rsidRPr="00CF7396">
        <w:rPr>
          <w:b/>
          <w:bCs/>
          <w:color w:val="000000" w:themeColor="text1"/>
          <w:lang w:val="es-CR"/>
        </w:rPr>
        <w:t>Observaciones recibidas al informe 1003-PLA-EV- 2022 enviado a consulta:</w:t>
      </w:r>
    </w:p>
    <w:p w14:paraId="30DD6204" w14:textId="77777777" w:rsidR="00CF7396" w:rsidRPr="00CF7396" w:rsidRDefault="00CF7396" w:rsidP="00CF7396">
      <w:pPr>
        <w:ind w:left="851" w:right="851" w:firstLine="709"/>
        <w:jc w:val="both"/>
        <w:rPr>
          <w:color w:val="000000" w:themeColor="text1"/>
          <w:lang w:val="es-CR"/>
        </w:rPr>
      </w:pPr>
    </w:p>
    <w:p w14:paraId="38060DE4" w14:textId="77777777" w:rsidR="00CF7396" w:rsidRPr="00CF7396" w:rsidRDefault="00CF7396" w:rsidP="00CF7396">
      <w:pPr>
        <w:ind w:left="851" w:right="851" w:firstLine="709"/>
        <w:contextualSpacing/>
        <w:jc w:val="both"/>
        <w:rPr>
          <w:color w:val="000000" w:themeColor="text1"/>
          <w:lang w:val="es-CR" w:eastAsia="es-ES"/>
        </w:rPr>
      </w:pPr>
      <w:r w:rsidRPr="00CF7396">
        <w:rPr>
          <w:color w:val="000000" w:themeColor="text1"/>
          <w:lang w:val="es-CR" w:eastAsia="es-ES"/>
        </w:rPr>
        <w:t>Como respuesta se detallan las observaciones recibidas en el informe que se presenta:</w:t>
      </w:r>
    </w:p>
    <w:p w14:paraId="5B4FC6E2" w14:textId="77777777" w:rsidR="00CF7396" w:rsidRPr="00CF7396" w:rsidRDefault="00CF7396" w:rsidP="00CF7396">
      <w:pPr>
        <w:ind w:left="851" w:right="851" w:firstLine="709"/>
        <w:contextualSpacing/>
        <w:jc w:val="both"/>
        <w:rPr>
          <w:color w:val="000000" w:themeColor="text1"/>
          <w:lang w:val="es-CR" w:eastAsia="es-ES"/>
        </w:rPr>
      </w:pPr>
    </w:p>
    <w:p w14:paraId="1E8DAAE3" w14:textId="77777777" w:rsidR="00CF7396" w:rsidRPr="00CF7396" w:rsidRDefault="00CF7396" w:rsidP="00CF7396">
      <w:pPr>
        <w:numPr>
          <w:ilvl w:val="0"/>
          <w:numId w:val="59"/>
        </w:numPr>
        <w:ind w:left="851" w:right="851" w:firstLine="709"/>
        <w:contextualSpacing/>
        <w:jc w:val="both"/>
        <w:rPr>
          <w:b/>
          <w:bCs/>
          <w:color w:val="000000" w:themeColor="text1"/>
          <w:lang w:val="es-CR" w:eastAsia="es-ES"/>
        </w:rPr>
      </w:pPr>
      <w:r w:rsidRPr="00CF7396">
        <w:rPr>
          <w:color w:val="000000" w:themeColor="text1"/>
          <w:lang w:val="es-CR" w:eastAsia="es-ES"/>
        </w:rPr>
        <w:t xml:space="preserve">Correo electrónico del 21 de octubre del presente año del Consejo de Administración del Primer Circuito Judicial de la Zona Atlántica, </w:t>
      </w:r>
      <w:r w:rsidRPr="00CF7396">
        <w:rPr>
          <w:b/>
          <w:bCs/>
          <w:color w:val="000000" w:themeColor="text1"/>
          <w:lang w:val="es-CR" w:eastAsia="es-ES"/>
        </w:rPr>
        <w:t>sin observaciones.</w:t>
      </w:r>
    </w:p>
    <w:p w14:paraId="3BE197B0" w14:textId="77777777" w:rsidR="00CF7396" w:rsidRPr="00CF7396" w:rsidRDefault="00CF7396" w:rsidP="00CF7396">
      <w:pPr>
        <w:numPr>
          <w:ilvl w:val="0"/>
          <w:numId w:val="59"/>
        </w:numPr>
        <w:ind w:left="851" w:right="851" w:firstLine="709"/>
        <w:contextualSpacing/>
        <w:jc w:val="both"/>
        <w:rPr>
          <w:b/>
          <w:bCs/>
          <w:color w:val="000000" w:themeColor="text1"/>
          <w:lang w:val="es-CR" w:eastAsia="es-ES"/>
        </w:rPr>
      </w:pPr>
      <w:r w:rsidRPr="00CF7396">
        <w:rPr>
          <w:color w:val="000000" w:themeColor="text1"/>
          <w:lang w:val="es-CR" w:eastAsia="es-ES"/>
        </w:rPr>
        <w:t xml:space="preserve">Oficio 71-ADM-PISAV-2022 de la Administración de la Plataforma de Servicios de Atención a la Víctima (PISAV), </w:t>
      </w:r>
      <w:r w:rsidRPr="00CF7396">
        <w:rPr>
          <w:b/>
          <w:bCs/>
          <w:color w:val="000000" w:themeColor="text1"/>
          <w:lang w:val="es-CR" w:eastAsia="es-ES"/>
        </w:rPr>
        <w:t>sin observaciones.</w:t>
      </w:r>
    </w:p>
    <w:p w14:paraId="588510E1" w14:textId="77777777" w:rsidR="00CF7396" w:rsidRPr="00CF7396" w:rsidRDefault="00CF7396" w:rsidP="00CF7396">
      <w:pPr>
        <w:ind w:left="851" w:right="851" w:firstLine="709"/>
        <w:contextualSpacing/>
        <w:jc w:val="both"/>
        <w:rPr>
          <w:color w:val="000000" w:themeColor="text1"/>
          <w:lang w:val="es-CR" w:eastAsia="es-ES"/>
        </w:rPr>
      </w:pPr>
    </w:p>
    <w:p w14:paraId="03E56EB2" w14:textId="77777777" w:rsidR="00CF7396" w:rsidRPr="00CF7396" w:rsidRDefault="00CF7396" w:rsidP="00CF7396">
      <w:pPr>
        <w:ind w:left="851" w:right="851" w:firstLine="709"/>
        <w:contextualSpacing/>
        <w:jc w:val="both"/>
        <w:rPr>
          <w:color w:val="000000" w:themeColor="text1"/>
          <w:lang w:val="es-CR" w:eastAsia="es-ES"/>
        </w:rPr>
      </w:pPr>
      <w:r w:rsidRPr="00CF7396">
        <w:rPr>
          <w:color w:val="000000" w:themeColor="text1"/>
          <w:lang w:val="es-CR" w:eastAsia="es-ES"/>
        </w:rPr>
        <w:t>Observaciones del Centro de Apoyo, Coordinación y Mejoramiento de la Función Jurisdiccional emitidas mediante oficio 368-CACMFJ-JEF-2022 del 28 de octubre de 2022, suscrito por la Licda. Maricruz Chacón Cubillo.</w:t>
      </w:r>
    </w:p>
    <w:p w14:paraId="13D445CF" w14:textId="77777777" w:rsidR="00CF7396" w:rsidRPr="00CF7396" w:rsidRDefault="00CF7396" w:rsidP="00CF7396">
      <w:pPr>
        <w:contextualSpacing/>
        <w:jc w:val="both"/>
        <w:rPr>
          <w:color w:val="000000" w:themeColor="text1"/>
          <w:lang w:val="es-CR" w:eastAsia="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902"/>
        <w:gridCol w:w="3621"/>
        <w:gridCol w:w="2482"/>
        <w:gridCol w:w="1912"/>
      </w:tblGrid>
      <w:tr w:rsidR="00CF7396" w:rsidRPr="00CF7396" w14:paraId="4297EFF6" w14:textId="77777777" w:rsidTr="00AF369B">
        <w:trPr>
          <w:trHeight w:val="368"/>
        </w:trPr>
        <w:tc>
          <w:tcPr>
            <w:tcW w:w="214" w:type="pct"/>
            <w:shd w:val="clear" w:color="auto" w:fill="1F4E79"/>
          </w:tcPr>
          <w:p w14:paraId="5186D0F1" w14:textId="77777777" w:rsidR="00CF7396" w:rsidRPr="00CF7396" w:rsidRDefault="00CF7396" w:rsidP="00CF7396">
            <w:pPr>
              <w:widowControl w:val="0"/>
              <w:autoSpaceDE w:val="0"/>
              <w:autoSpaceDN w:val="0"/>
              <w:adjustRightInd w:val="0"/>
              <w:jc w:val="center"/>
              <w:rPr>
                <w:b/>
                <w:bCs/>
                <w:color w:val="000000" w:themeColor="text1"/>
                <w:lang w:val="es-CR"/>
              </w:rPr>
            </w:pPr>
            <w:proofErr w:type="spellStart"/>
            <w:r w:rsidRPr="00CF7396">
              <w:rPr>
                <w:b/>
                <w:bCs/>
                <w:color w:val="000000" w:themeColor="text1"/>
                <w:lang w:val="es-CR"/>
              </w:rPr>
              <w:t>N°</w:t>
            </w:r>
            <w:proofErr w:type="spellEnd"/>
          </w:p>
        </w:tc>
        <w:tc>
          <w:tcPr>
            <w:tcW w:w="414" w:type="pct"/>
            <w:shd w:val="clear" w:color="auto" w:fill="1F4E79"/>
            <w:vAlign w:val="center"/>
          </w:tcPr>
          <w:p w14:paraId="3C0A96FA" w14:textId="77777777" w:rsidR="00CF7396" w:rsidRPr="00CF7396" w:rsidRDefault="00CF7396" w:rsidP="00CF7396">
            <w:pPr>
              <w:widowControl w:val="0"/>
              <w:autoSpaceDE w:val="0"/>
              <w:autoSpaceDN w:val="0"/>
              <w:adjustRightInd w:val="0"/>
              <w:jc w:val="center"/>
              <w:rPr>
                <w:b/>
                <w:bCs/>
                <w:color w:val="000000" w:themeColor="text1"/>
                <w:lang w:val="es-CR"/>
              </w:rPr>
            </w:pPr>
            <w:r w:rsidRPr="00CF7396">
              <w:rPr>
                <w:b/>
                <w:bCs/>
                <w:color w:val="000000" w:themeColor="text1"/>
                <w:lang w:val="es-CR"/>
              </w:rPr>
              <w:t>Página</w:t>
            </w:r>
          </w:p>
        </w:tc>
        <w:tc>
          <w:tcPr>
            <w:tcW w:w="1600" w:type="pct"/>
            <w:shd w:val="clear" w:color="auto" w:fill="1F4E79"/>
            <w:vAlign w:val="center"/>
          </w:tcPr>
          <w:p w14:paraId="7D4EBE19" w14:textId="77777777" w:rsidR="00CF7396" w:rsidRPr="00CF7396" w:rsidRDefault="00CF7396" w:rsidP="00CF7396">
            <w:pPr>
              <w:widowControl w:val="0"/>
              <w:autoSpaceDE w:val="0"/>
              <w:autoSpaceDN w:val="0"/>
              <w:adjustRightInd w:val="0"/>
              <w:jc w:val="center"/>
              <w:rPr>
                <w:b/>
                <w:bCs/>
                <w:color w:val="000000" w:themeColor="text1"/>
                <w:lang w:val="es-CR"/>
              </w:rPr>
            </w:pPr>
            <w:r w:rsidRPr="00CF7396">
              <w:rPr>
                <w:b/>
                <w:bCs/>
                <w:color w:val="000000" w:themeColor="text1"/>
                <w:lang w:val="es-CR"/>
              </w:rPr>
              <w:t>Párrafo</w:t>
            </w:r>
          </w:p>
        </w:tc>
        <w:tc>
          <w:tcPr>
            <w:tcW w:w="1500" w:type="pct"/>
            <w:shd w:val="clear" w:color="auto" w:fill="1F4E79"/>
            <w:vAlign w:val="center"/>
          </w:tcPr>
          <w:p w14:paraId="50DFB7A6" w14:textId="77777777" w:rsidR="00CF7396" w:rsidRPr="00CF7396" w:rsidRDefault="00CF7396" w:rsidP="00CF7396">
            <w:pPr>
              <w:widowControl w:val="0"/>
              <w:autoSpaceDE w:val="0"/>
              <w:autoSpaceDN w:val="0"/>
              <w:adjustRightInd w:val="0"/>
              <w:jc w:val="center"/>
              <w:rPr>
                <w:b/>
                <w:bCs/>
                <w:color w:val="000000" w:themeColor="text1"/>
                <w:lang w:val="es-CR"/>
              </w:rPr>
            </w:pPr>
            <w:r w:rsidRPr="00CF7396">
              <w:rPr>
                <w:b/>
                <w:bCs/>
                <w:color w:val="000000" w:themeColor="text1"/>
                <w:lang w:val="es-CR"/>
              </w:rPr>
              <w:t>Observación concreta</w:t>
            </w:r>
          </w:p>
        </w:tc>
        <w:tc>
          <w:tcPr>
            <w:tcW w:w="1271" w:type="pct"/>
            <w:shd w:val="clear" w:color="auto" w:fill="1F4E79"/>
            <w:vAlign w:val="center"/>
          </w:tcPr>
          <w:p w14:paraId="31952ACE" w14:textId="77777777" w:rsidR="00CF7396" w:rsidRPr="00CF7396" w:rsidRDefault="00CF7396" w:rsidP="00CF7396">
            <w:pPr>
              <w:widowControl w:val="0"/>
              <w:autoSpaceDE w:val="0"/>
              <w:autoSpaceDN w:val="0"/>
              <w:adjustRightInd w:val="0"/>
              <w:jc w:val="center"/>
              <w:rPr>
                <w:b/>
                <w:bCs/>
                <w:color w:val="000000" w:themeColor="text1"/>
                <w:lang w:val="es-CR"/>
              </w:rPr>
            </w:pPr>
            <w:r w:rsidRPr="00CF7396">
              <w:rPr>
                <w:b/>
                <w:bCs/>
                <w:color w:val="000000" w:themeColor="text1"/>
                <w:lang w:val="es-CR"/>
              </w:rPr>
              <w:t>Criterio de la Dirección de Planificación</w:t>
            </w:r>
          </w:p>
        </w:tc>
      </w:tr>
      <w:tr w:rsidR="00CF7396" w:rsidRPr="00CF7396" w14:paraId="204FBAE7" w14:textId="77777777" w:rsidTr="00AF369B">
        <w:trPr>
          <w:trHeight w:val="242"/>
        </w:trPr>
        <w:tc>
          <w:tcPr>
            <w:tcW w:w="214" w:type="pct"/>
          </w:tcPr>
          <w:p w14:paraId="59DD8303" w14:textId="77777777" w:rsidR="00CF7396" w:rsidRPr="00CF7396" w:rsidRDefault="00CF7396" w:rsidP="00CF7396">
            <w:pPr>
              <w:widowControl w:val="0"/>
              <w:autoSpaceDE w:val="0"/>
              <w:autoSpaceDN w:val="0"/>
              <w:adjustRightInd w:val="0"/>
              <w:jc w:val="center"/>
              <w:rPr>
                <w:color w:val="000000" w:themeColor="text1"/>
                <w:lang w:val="es-CR"/>
              </w:rPr>
            </w:pPr>
            <w:r w:rsidRPr="00CF7396">
              <w:rPr>
                <w:color w:val="000000" w:themeColor="text1"/>
                <w:lang w:val="es-CR"/>
              </w:rPr>
              <w:t>1</w:t>
            </w:r>
          </w:p>
        </w:tc>
        <w:tc>
          <w:tcPr>
            <w:tcW w:w="414" w:type="pct"/>
            <w:shd w:val="clear" w:color="auto" w:fill="auto"/>
          </w:tcPr>
          <w:p w14:paraId="21F7F158" w14:textId="77777777" w:rsidR="00CF7396" w:rsidRPr="00CF7396" w:rsidRDefault="00CF7396" w:rsidP="00CF7396">
            <w:pPr>
              <w:widowControl w:val="0"/>
              <w:autoSpaceDE w:val="0"/>
              <w:autoSpaceDN w:val="0"/>
              <w:adjustRightInd w:val="0"/>
              <w:jc w:val="center"/>
              <w:rPr>
                <w:i/>
                <w:iCs/>
                <w:color w:val="000000" w:themeColor="text1"/>
                <w:lang w:val="es-CR"/>
              </w:rPr>
            </w:pPr>
            <w:r w:rsidRPr="00CF7396">
              <w:rPr>
                <w:i/>
                <w:iCs/>
                <w:color w:val="000000" w:themeColor="text1"/>
                <w:lang w:val="es-CR"/>
              </w:rPr>
              <w:t>N.A.</w:t>
            </w:r>
          </w:p>
        </w:tc>
        <w:tc>
          <w:tcPr>
            <w:tcW w:w="1600" w:type="pct"/>
            <w:shd w:val="clear" w:color="auto" w:fill="auto"/>
          </w:tcPr>
          <w:p w14:paraId="3FF27BFC" w14:textId="77777777" w:rsidR="00CF7396" w:rsidRPr="00CF7396" w:rsidRDefault="00CF7396" w:rsidP="00CF7396">
            <w:pPr>
              <w:widowControl w:val="0"/>
              <w:autoSpaceDE w:val="0"/>
              <w:autoSpaceDN w:val="0"/>
              <w:adjustRightInd w:val="0"/>
              <w:jc w:val="center"/>
              <w:rPr>
                <w:i/>
                <w:iCs/>
                <w:color w:val="000000" w:themeColor="text1"/>
                <w:lang w:val="es-CR"/>
              </w:rPr>
            </w:pPr>
            <w:r w:rsidRPr="00CF7396">
              <w:rPr>
                <w:i/>
                <w:iCs/>
                <w:color w:val="000000" w:themeColor="text1"/>
                <w:lang w:val="es-CR"/>
              </w:rPr>
              <w:t>N.A.</w:t>
            </w:r>
          </w:p>
        </w:tc>
        <w:tc>
          <w:tcPr>
            <w:tcW w:w="1500" w:type="pct"/>
            <w:shd w:val="clear" w:color="auto" w:fill="auto"/>
          </w:tcPr>
          <w:p w14:paraId="548B432B" w14:textId="77777777" w:rsidR="00CF7396" w:rsidRPr="00CF7396" w:rsidRDefault="00CF7396" w:rsidP="00CF7396">
            <w:pPr>
              <w:widowControl w:val="0"/>
              <w:autoSpaceDE w:val="0"/>
              <w:autoSpaceDN w:val="0"/>
              <w:adjustRightInd w:val="0"/>
              <w:jc w:val="both"/>
              <w:rPr>
                <w:i/>
                <w:iCs/>
                <w:color w:val="000000" w:themeColor="text1"/>
                <w:lang w:val="es-CR"/>
              </w:rPr>
            </w:pPr>
            <w:r w:rsidRPr="00CF7396">
              <w:rPr>
                <w:i/>
                <w:iCs/>
                <w:color w:val="000000" w:themeColor="text1"/>
                <w:lang w:val="es-CR"/>
              </w:rPr>
              <w:t>“Si bien se trata de un informe de rendición de cuentas correspondiente al año 2021, lo cierto del caso es que, a partir de la información suministrada, no es posible abordar ningún plan de mejora a los despachos a partir de los diversos hallazgos identificados, en vista de que han trascurrido 10 meses de la finalización del periodo que abarca el estudio”.</w:t>
            </w:r>
          </w:p>
        </w:tc>
        <w:tc>
          <w:tcPr>
            <w:tcW w:w="1271" w:type="pct"/>
          </w:tcPr>
          <w:p w14:paraId="7D9CB38A" w14:textId="77777777" w:rsidR="00CF7396" w:rsidRPr="00CF7396" w:rsidRDefault="00CF7396" w:rsidP="00CF7396">
            <w:pPr>
              <w:tabs>
                <w:tab w:val="left" w:pos="207"/>
                <w:tab w:val="left" w:pos="422"/>
              </w:tabs>
              <w:jc w:val="both"/>
              <w:rPr>
                <w:b/>
                <w:i/>
                <w:color w:val="000000" w:themeColor="text1"/>
                <w:lang w:val="es-CR"/>
              </w:rPr>
            </w:pPr>
            <w:r w:rsidRPr="00CF7396">
              <w:rPr>
                <w:b/>
                <w:i/>
                <w:color w:val="000000" w:themeColor="text1"/>
                <w:lang w:val="es-CR"/>
              </w:rPr>
              <w:t xml:space="preserve">En relación con la imposibilidad de establecer posibles planes de mejora por parte del CACMFJ. </w:t>
            </w:r>
          </w:p>
          <w:p w14:paraId="7FA0BD0D" w14:textId="77777777" w:rsidR="00CF7396" w:rsidRPr="00CF7396" w:rsidRDefault="00CF7396" w:rsidP="00CF7396">
            <w:pPr>
              <w:tabs>
                <w:tab w:val="left" w:pos="207"/>
                <w:tab w:val="left" w:pos="422"/>
              </w:tabs>
              <w:jc w:val="both"/>
              <w:rPr>
                <w:color w:val="000000" w:themeColor="text1"/>
                <w:lang w:val="es-CR"/>
              </w:rPr>
            </w:pPr>
          </w:p>
          <w:p w14:paraId="548188BE" w14:textId="77777777" w:rsidR="00CF7396" w:rsidRPr="00CF7396" w:rsidRDefault="00CF7396" w:rsidP="00CF7396">
            <w:pPr>
              <w:tabs>
                <w:tab w:val="left" w:pos="207"/>
                <w:tab w:val="left" w:pos="422"/>
              </w:tabs>
              <w:jc w:val="both"/>
              <w:rPr>
                <w:color w:val="000000" w:themeColor="text1"/>
                <w:lang w:val="es-CR"/>
              </w:rPr>
            </w:pPr>
            <w:r w:rsidRPr="00CF7396">
              <w:rPr>
                <w:color w:val="000000" w:themeColor="text1"/>
                <w:lang w:val="es-CR"/>
              </w:rPr>
              <w:t>El informe corresponde a una rendición de cuentas del 2021 por parte de la Dirección de Planificación, lo cual no exime al CACMF a que haya ejecutado o ejecute las acciones según su competencia, dado que cuenta de manera mensual e inmediata con los indicadores de gestión, actas de los Consejos de Administración, Comisiones institucionales, realimentación de los profesionales de planificación, minuta de reunión de los equipos de mejora, y todas acciones de oficio que realizan como parte de sus funciones desde la Gestoría y el Centro.</w:t>
            </w:r>
          </w:p>
          <w:p w14:paraId="0867C5F5" w14:textId="77777777" w:rsidR="00CF7396" w:rsidRPr="00CF7396" w:rsidRDefault="00CF7396" w:rsidP="00CF7396">
            <w:pPr>
              <w:tabs>
                <w:tab w:val="left" w:pos="207"/>
                <w:tab w:val="left" w:pos="422"/>
              </w:tabs>
              <w:jc w:val="both"/>
              <w:rPr>
                <w:color w:val="000000" w:themeColor="text1"/>
                <w:lang w:val="es-CR"/>
              </w:rPr>
            </w:pPr>
          </w:p>
          <w:p w14:paraId="1021EED2" w14:textId="77777777" w:rsidR="00CF7396" w:rsidRPr="00CF7396" w:rsidRDefault="00CF7396" w:rsidP="00CF7396">
            <w:pPr>
              <w:tabs>
                <w:tab w:val="left" w:pos="207"/>
                <w:tab w:val="left" w:pos="422"/>
              </w:tabs>
              <w:jc w:val="both"/>
              <w:rPr>
                <w:color w:val="000000" w:themeColor="text1"/>
                <w:lang w:val="es-CR"/>
              </w:rPr>
            </w:pPr>
            <w:r w:rsidRPr="00CF7396">
              <w:rPr>
                <w:color w:val="000000" w:themeColor="text1"/>
                <w:lang w:val="es-CR"/>
              </w:rPr>
              <w:t xml:space="preserve"> La tabulación de datos (2021) permite al analista determinar la tendencia de los elementos sujetos a mejora; de manera que, al relacionar y/o compararse el histórico estadístico con los datos 2022, permitirá proyectar planes de mejora para el 2023 donde se busque reducir la variabilidad estadística.</w:t>
            </w:r>
          </w:p>
          <w:p w14:paraId="00D3A537" w14:textId="77777777" w:rsidR="00CF7396" w:rsidRPr="00CF7396" w:rsidRDefault="00CF7396" w:rsidP="00CF7396">
            <w:pPr>
              <w:tabs>
                <w:tab w:val="left" w:pos="207"/>
                <w:tab w:val="left" w:pos="422"/>
              </w:tabs>
              <w:jc w:val="both"/>
              <w:rPr>
                <w:color w:val="000000" w:themeColor="text1"/>
                <w:lang w:val="es-CR"/>
              </w:rPr>
            </w:pPr>
          </w:p>
          <w:p w14:paraId="5275E7ED" w14:textId="77777777" w:rsidR="00CF7396" w:rsidRPr="00CF7396" w:rsidRDefault="00CF7396" w:rsidP="00CF7396">
            <w:pPr>
              <w:tabs>
                <w:tab w:val="left" w:pos="207"/>
                <w:tab w:val="left" w:pos="422"/>
              </w:tabs>
              <w:jc w:val="both"/>
              <w:rPr>
                <w:color w:val="000000" w:themeColor="text1"/>
                <w:lang w:val="es-CR"/>
              </w:rPr>
            </w:pPr>
            <w:r w:rsidRPr="00CF7396">
              <w:rPr>
                <w:color w:val="000000" w:themeColor="text1"/>
                <w:lang w:val="es-CR"/>
              </w:rPr>
              <w:t>En paralelo, las variables cuantitativas permitirán al CACMF como ente técnico responsable de la Evaluación de Desempeño de las personas Juezas Unipersonales, establecer un comparativo de 2021, con la proyección 2022 y así establecer posibles planes de mejora a nivel de rendimiento de las personas Juezas Unipersonales.</w:t>
            </w:r>
          </w:p>
          <w:p w14:paraId="104F4ABD" w14:textId="77777777" w:rsidR="00CF7396" w:rsidRPr="00CF7396" w:rsidRDefault="00CF7396" w:rsidP="00CF7396">
            <w:pPr>
              <w:tabs>
                <w:tab w:val="left" w:pos="207"/>
                <w:tab w:val="left" w:pos="422"/>
              </w:tabs>
              <w:jc w:val="both"/>
              <w:rPr>
                <w:color w:val="000000" w:themeColor="text1"/>
                <w:lang w:val="es-CR"/>
              </w:rPr>
            </w:pPr>
          </w:p>
          <w:p w14:paraId="4CF2F938" w14:textId="77777777" w:rsidR="00CF7396" w:rsidRPr="00CF7396" w:rsidRDefault="00CF7396" w:rsidP="00CF7396">
            <w:pPr>
              <w:widowControl w:val="0"/>
              <w:autoSpaceDE w:val="0"/>
              <w:autoSpaceDN w:val="0"/>
              <w:adjustRightInd w:val="0"/>
              <w:jc w:val="both"/>
              <w:rPr>
                <w:color w:val="000000" w:themeColor="text1"/>
                <w:lang w:val="es-CR"/>
              </w:rPr>
            </w:pPr>
            <w:r w:rsidRPr="00CF7396">
              <w:rPr>
                <w:color w:val="000000" w:themeColor="text1"/>
                <w:lang w:val="es-CR"/>
              </w:rPr>
              <w:t>Se toma nota de lo indicado por parte del CACMFJ lo cual no afecta el contenido del informe.</w:t>
            </w:r>
          </w:p>
        </w:tc>
      </w:tr>
      <w:tr w:rsidR="00CF7396" w:rsidRPr="00CF7396" w14:paraId="765A6861" w14:textId="77777777" w:rsidTr="00AF369B">
        <w:trPr>
          <w:trHeight w:val="242"/>
        </w:trPr>
        <w:tc>
          <w:tcPr>
            <w:tcW w:w="214" w:type="pct"/>
          </w:tcPr>
          <w:p w14:paraId="2DC1F66D" w14:textId="77777777" w:rsidR="00CF7396" w:rsidRPr="00CF7396" w:rsidRDefault="00CF7396" w:rsidP="00CF7396">
            <w:pPr>
              <w:widowControl w:val="0"/>
              <w:autoSpaceDE w:val="0"/>
              <w:autoSpaceDN w:val="0"/>
              <w:adjustRightInd w:val="0"/>
              <w:jc w:val="center"/>
              <w:rPr>
                <w:color w:val="000000" w:themeColor="text1"/>
                <w:lang w:val="es-CR"/>
              </w:rPr>
            </w:pPr>
            <w:r w:rsidRPr="00CF7396">
              <w:rPr>
                <w:color w:val="000000" w:themeColor="text1"/>
                <w:lang w:val="es-CR"/>
              </w:rPr>
              <w:t>2</w:t>
            </w:r>
          </w:p>
        </w:tc>
        <w:tc>
          <w:tcPr>
            <w:tcW w:w="414" w:type="pct"/>
            <w:shd w:val="clear" w:color="auto" w:fill="auto"/>
          </w:tcPr>
          <w:p w14:paraId="05178A85" w14:textId="77777777" w:rsidR="00CF7396" w:rsidRPr="00CF7396" w:rsidRDefault="00CF7396" w:rsidP="00CF7396">
            <w:pPr>
              <w:widowControl w:val="0"/>
              <w:autoSpaceDE w:val="0"/>
              <w:autoSpaceDN w:val="0"/>
              <w:adjustRightInd w:val="0"/>
              <w:jc w:val="center"/>
              <w:rPr>
                <w:i/>
                <w:iCs/>
                <w:color w:val="000000" w:themeColor="text1"/>
                <w:lang w:val="es-CR"/>
              </w:rPr>
            </w:pPr>
            <w:r w:rsidRPr="00CF7396">
              <w:rPr>
                <w:i/>
                <w:iCs/>
                <w:color w:val="000000" w:themeColor="text1"/>
                <w:lang w:val="es-CR"/>
              </w:rPr>
              <w:t>N.A.</w:t>
            </w:r>
          </w:p>
        </w:tc>
        <w:tc>
          <w:tcPr>
            <w:tcW w:w="1600" w:type="pct"/>
            <w:shd w:val="clear" w:color="auto" w:fill="auto"/>
          </w:tcPr>
          <w:p w14:paraId="7329B866" w14:textId="77777777" w:rsidR="00CF7396" w:rsidRPr="00CF7396" w:rsidRDefault="00CF7396" w:rsidP="00CF7396">
            <w:pPr>
              <w:widowControl w:val="0"/>
              <w:autoSpaceDE w:val="0"/>
              <w:autoSpaceDN w:val="0"/>
              <w:adjustRightInd w:val="0"/>
              <w:jc w:val="center"/>
              <w:rPr>
                <w:i/>
                <w:iCs/>
                <w:color w:val="000000" w:themeColor="text1"/>
                <w:lang w:val="es-CR"/>
              </w:rPr>
            </w:pPr>
            <w:r w:rsidRPr="00CF7396">
              <w:rPr>
                <w:i/>
                <w:iCs/>
                <w:color w:val="000000" w:themeColor="text1"/>
                <w:lang w:val="es-CR"/>
              </w:rPr>
              <w:t>N.A.</w:t>
            </w:r>
          </w:p>
        </w:tc>
        <w:tc>
          <w:tcPr>
            <w:tcW w:w="1500" w:type="pct"/>
            <w:shd w:val="clear" w:color="auto" w:fill="auto"/>
          </w:tcPr>
          <w:p w14:paraId="22942814" w14:textId="77777777" w:rsidR="00CF7396" w:rsidRPr="00CF7396" w:rsidRDefault="00CF7396" w:rsidP="00CF7396">
            <w:pPr>
              <w:widowControl w:val="0"/>
              <w:autoSpaceDE w:val="0"/>
              <w:autoSpaceDN w:val="0"/>
              <w:adjustRightInd w:val="0"/>
              <w:jc w:val="both"/>
              <w:rPr>
                <w:i/>
                <w:iCs/>
                <w:color w:val="000000" w:themeColor="text1"/>
                <w:lang w:val="es-CR"/>
              </w:rPr>
            </w:pPr>
            <w:r w:rsidRPr="00CF7396">
              <w:rPr>
                <w:i/>
                <w:iCs/>
                <w:color w:val="000000" w:themeColor="text1"/>
                <w:shd w:val="clear" w:color="auto" w:fill="FFFFFF"/>
                <w:lang w:val="es-CR"/>
              </w:rPr>
              <w:t xml:space="preserve">“En cuanto a la información de indicadores de la página de la Dirección de Planificación, aunque los Indicadores de Gestión en SIGMA es una herramienta funcional y se encuentra lista para la utilización, </w:t>
            </w:r>
            <w:r w:rsidRPr="00CF7396">
              <w:rPr>
                <w:b/>
                <w:bCs/>
                <w:i/>
                <w:iCs/>
                <w:color w:val="000000" w:themeColor="text1"/>
                <w:shd w:val="clear" w:color="auto" w:fill="FFFFFF"/>
                <w:lang w:val="es-CR"/>
              </w:rPr>
              <w:t>no es de toda utilidad para los fines propios del CACMFJ</w:t>
            </w:r>
            <w:r w:rsidRPr="00CF7396">
              <w:rPr>
                <w:i/>
                <w:iCs/>
                <w:color w:val="000000" w:themeColor="text1"/>
                <w:shd w:val="clear" w:color="auto" w:fill="FFFFFF"/>
                <w:lang w:val="es-CR"/>
              </w:rPr>
              <w:t xml:space="preserve">, ya que está </w:t>
            </w:r>
            <w:r w:rsidRPr="00CF7396">
              <w:rPr>
                <w:b/>
                <w:bCs/>
                <w:i/>
                <w:iCs/>
                <w:color w:val="000000" w:themeColor="text1"/>
                <w:shd w:val="clear" w:color="auto" w:fill="FFFFFF"/>
                <w:lang w:val="es-CR"/>
              </w:rPr>
              <w:t>enfocada en la consulta mensual</w:t>
            </w:r>
            <w:r w:rsidRPr="00CF7396">
              <w:rPr>
                <w:i/>
                <w:iCs/>
                <w:color w:val="000000" w:themeColor="text1"/>
                <w:shd w:val="clear" w:color="auto" w:fill="FFFFFF"/>
                <w:lang w:val="es-CR"/>
              </w:rPr>
              <w:t xml:space="preserve"> de resultados de los despachos judiciales. </w:t>
            </w:r>
            <w:r w:rsidRPr="00CF7396">
              <w:rPr>
                <w:b/>
                <w:bCs/>
                <w:i/>
                <w:iCs/>
                <w:color w:val="000000" w:themeColor="text1"/>
                <w:shd w:val="clear" w:color="auto" w:fill="FFFFFF"/>
                <w:lang w:val="es-CR"/>
              </w:rPr>
              <w:t>El CACMFJ requeriría que se cuente con una herramienta que permita extraer los resultados de manera global, y con la posibilidad de visualizar el historial de comportamiento de las oficinas</w:t>
            </w:r>
            <w:r w:rsidRPr="00CF7396">
              <w:rPr>
                <w:i/>
                <w:iCs/>
                <w:color w:val="000000" w:themeColor="text1"/>
                <w:shd w:val="clear" w:color="auto" w:fill="FFFFFF"/>
                <w:lang w:val="es-CR"/>
              </w:rPr>
              <w:t>. (Minuta 221-PLA-ES-MNTA-2022)”</w:t>
            </w:r>
          </w:p>
        </w:tc>
        <w:tc>
          <w:tcPr>
            <w:tcW w:w="1271" w:type="pct"/>
          </w:tcPr>
          <w:p w14:paraId="28D24708" w14:textId="77777777" w:rsidR="00CF7396" w:rsidRPr="00CF7396" w:rsidRDefault="00CF7396" w:rsidP="00CF7396">
            <w:pPr>
              <w:tabs>
                <w:tab w:val="left" w:pos="207"/>
                <w:tab w:val="left" w:pos="422"/>
              </w:tabs>
              <w:jc w:val="both"/>
              <w:rPr>
                <w:b/>
                <w:i/>
                <w:color w:val="000000" w:themeColor="text1"/>
                <w:lang w:val="es-CR"/>
              </w:rPr>
            </w:pPr>
            <w:r w:rsidRPr="00CF7396">
              <w:rPr>
                <w:b/>
                <w:i/>
                <w:color w:val="000000" w:themeColor="text1"/>
                <w:lang w:val="es-CR"/>
              </w:rPr>
              <w:t>En relación con utilidad de los datos estadísticos (mensuales) publicados en la página de la Dirección de Planificación.</w:t>
            </w:r>
          </w:p>
          <w:p w14:paraId="25FBC77D" w14:textId="77777777" w:rsidR="00CF7396" w:rsidRPr="00CF7396" w:rsidRDefault="00CF7396" w:rsidP="00CF7396">
            <w:pPr>
              <w:tabs>
                <w:tab w:val="left" w:pos="207"/>
                <w:tab w:val="left" w:pos="422"/>
              </w:tabs>
              <w:jc w:val="both"/>
              <w:rPr>
                <w:b/>
                <w:i/>
                <w:color w:val="000000" w:themeColor="text1"/>
                <w:lang w:val="es-CR"/>
              </w:rPr>
            </w:pPr>
          </w:p>
          <w:p w14:paraId="4720C81F" w14:textId="77777777" w:rsidR="00CF7396" w:rsidRPr="00CF7396" w:rsidRDefault="00CF7396" w:rsidP="00CF7396">
            <w:pPr>
              <w:widowControl w:val="0"/>
              <w:tabs>
                <w:tab w:val="left" w:pos="10065"/>
              </w:tabs>
              <w:ind w:right="17"/>
              <w:jc w:val="both"/>
              <w:rPr>
                <w:color w:val="000000" w:themeColor="text1"/>
                <w:lang w:val="es-CR"/>
              </w:rPr>
            </w:pPr>
            <w:r w:rsidRPr="00CF7396">
              <w:rPr>
                <w:color w:val="000000" w:themeColor="text1"/>
                <w:lang w:val="es-CR"/>
              </w:rPr>
              <w:t xml:space="preserve">No se comparte del criterio expuesto por parte del CACMFJ; debido a que, a nivel del Subproceso de Estadística de la Dirección de Planificación en la intranet se mantienen habilitados reportes mensuales; así como, los denominados Balances Estadísticos que permiten determinar históricos y obtener los análisis correspondientes globales por cada materia, despacho o variable que considere la persona a cargo del estudio. Importante recordar, que el rendimiento de los despachos se mide a partir de la información que se extrae del sistema SIGMA y es responsabilidad de cada despacho revisar regularmente los informes estadísticos en el SIGMA para detectar los datos que pudieran faltar, lo anterior de conformidad con las circulares 160-2016, 133-2018, 15-2019 y 94-2019; por lo anterior los datos que se consideran para los análisis es la reportada en el SIGMA. </w:t>
            </w:r>
          </w:p>
          <w:p w14:paraId="4FAA3290" w14:textId="77777777" w:rsidR="00CF7396" w:rsidRPr="00CF7396" w:rsidRDefault="00CF7396" w:rsidP="00CF7396">
            <w:pPr>
              <w:tabs>
                <w:tab w:val="left" w:pos="207"/>
                <w:tab w:val="left" w:pos="422"/>
              </w:tabs>
              <w:jc w:val="both"/>
              <w:rPr>
                <w:color w:val="000000" w:themeColor="text1"/>
                <w:lang w:val="es-CR"/>
              </w:rPr>
            </w:pPr>
          </w:p>
          <w:p w14:paraId="4F62AE54" w14:textId="77777777" w:rsidR="00CF7396" w:rsidRPr="00CF7396" w:rsidRDefault="00CF7396" w:rsidP="00CF7396">
            <w:pPr>
              <w:tabs>
                <w:tab w:val="left" w:pos="207"/>
                <w:tab w:val="left" w:pos="422"/>
              </w:tabs>
              <w:jc w:val="both"/>
              <w:rPr>
                <w:color w:val="000000" w:themeColor="text1"/>
                <w:lang w:val="es-CR"/>
              </w:rPr>
            </w:pPr>
          </w:p>
          <w:p w14:paraId="17C6BB90" w14:textId="77777777" w:rsidR="00CF7396" w:rsidRPr="00CF7396" w:rsidRDefault="00CF7396" w:rsidP="00CF7396">
            <w:pPr>
              <w:tabs>
                <w:tab w:val="left" w:pos="207"/>
                <w:tab w:val="left" w:pos="422"/>
              </w:tabs>
              <w:jc w:val="both"/>
              <w:rPr>
                <w:bCs/>
                <w:iCs/>
                <w:color w:val="000000" w:themeColor="text1"/>
                <w:lang w:val="es-CR"/>
              </w:rPr>
            </w:pPr>
            <w:r w:rsidRPr="00CF7396">
              <w:rPr>
                <w:color w:val="000000" w:themeColor="text1"/>
                <w:lang w:val="es-CR"/>
              </w:rPr>
              <w:t>Por último, al no ser un tema propio ni asociado al contenido del informe puesto en consulta (792-PLA-EV-2022) se toma nota y se indica que no afecta el contenido de este.</w:t>
            </w:r>
          </w:p>
          <w:p w14:paraId="3E163E22" w14:textId="77777777" w:rsidR="00CF7396" w:rsidRPr="00CF7396" w:rsidRDefault="00CF7396" w:rsidP="00CF7396">
            <w:pPr>
              <w:widowControl w:val="0"/>
              <w:autoSpaceDE w:val="0"/>
              <w:autoSpaceDN w:val="0"/>
              <w:adjustRightInd w:val="0"/>
              <w:jc w:val="both"/>
              <w:rPr>
                <w:color w:val="000000" w:themeColor="text1"/>
                <w:lang w:val="es-CR"/>
              </w:rPr>
            </w:pPr>
          </w:p>
        </w:tc>
      </w:tr>
      <w:tr w:rsidR="00CF7396" w:rsidRPr="00CF7396" w14:paraId="52BB4A21" w14:textId="77777777" w:rsidTr="00AF369B">
        <w:trPr>
          <w:trHeight w:val="242"/>
        </w:trPr>
        <w:tc>
          <w:tcPr>
            <w:tcW w:w="214" w:type="pct"/>
          </w:tcPr>
          <w:p w14:paraId="05633CC4" w14:textId="77777777" w:rsidR="00CF7396" w:rsidRPr="00CF7396" w:rsidRDefault="00CF7396" w:rsidP="00CF7396">
            <w:pPr>
              <w:widowControl w:val="0"/>
              <w:autoSpaceDE w:val="0"/>
              <w:autoSpaceDN w:val="0"/>
              <w:adjustRightInd w:val="0"/>
              <w:jc w:val="center"/>
              <w:rPr>
                <w:color w:val="000000" w:themeColor="text1"/>
                <w:lang w:val="es-CR"/>
              </w:rPr>
            </w:pPr>
            <w:r w:rsidRPr="00CF7396">
              <w:rPr>
                <w:color w:val="000000" w:themeColor="text1"/>
                <w:lang w:val="es-CR"/>
              </w:rPr>
              <w:t>3</w:t>
            </w:r>
          </w:p>
        </w:tc>
        <w:tc>
          <w:tcPr>
            <w:tcW w:w="414" w:type="pct"/>
            <w:shd w:val="clear" w:color="auto" w:fill="auto"/>
          </w:tcPr>
          <w:p w14:paraId="4B1ED17E" w14:textId="77777777" w:rsidR="00CF7396" w:rsidRPr="00CF7396" w:rsidRDefault="00CF7396" w:rsidP="00CF7396">
            <w:pPr>
              <w:widowControl w:val="0"/>
              <w:autoSpaceDE w:val="0"/>
              <w:autoSpaceDN w:val="0"/>
              <w:adjustRightInd w:val="0"/>
              <w:jc w:val="center"/>
              <w:rPr>
                <w:i/>
                <w:iCs/>
                <w:color w:val="000000" w:themeColor="text1"/>
                <w:lang w:val="es-CR"/>
              </w:rPr>
            </w:pPr>
            <w:r w:rsidRPr="00CF7396">
              <w:rPr>
                <w:i/>
                <w:iCs/>
                <w:color w:val="000000" w:themeColor="text1"/>
                <w:lang w:val="es-CR"/>
              </w:rPr>
              <w:t>27</w:t>
            </w:r>
          </w:p>
        </w:tc>
        <w:tc>
          <w:tcPr>
            <w:tcW w:w="1600" w:type="pct"/>
            <w:shd w:val="clear" w:color="auto" w:fill="auto"/>
          </w:tcPr>
          <w:p w14:paraId="7857A1A4" w14:textId="77777777" w:rsidR="00CF7396" w:rsidRPr="00CF7396" w:rsidRDefault="00CF7396" w:rsidP="00CF7396">
            <w:pPr>
              <w:jc w:val="center"/>
              <w:rPr>
                <w:iCs/>
                <w:color w:val="000000" w:themeColor="text1"/>
                <w:lang w:val="es-CR"/>
              </w:rPr>
            </w:pPr>
            <w:r w:rsidRPr="00CF7396">
              <w:rPr>
                <w:iCs/>
                <w:color w:val="000000" w:themeColor="text1"/>
                <w:lang w:val="es-CR"/>
              </w:rPr>
              <w:t>“Cuadro 10</w:t>
            </w:r>
          </w:p>
          <w:p w14:paraId="54E10CBC" w14:textId="77777777" w:rsidR="00CF7396" w:rsidRPr="00CF7396" w:rsidRDefault="00CF7396" w:rsidP="00CF7396">
            <w:pPr>
              <w:jc w:val="center"/>
              <w:rPr>
                <w:i/>
                <w:iCs/>
                <w:color w:val="000000" w:themeColor="text1"/>
                <w:lang w:val="es-CR"/>
              </w:rPr>
            </w:pPr>
            <w:r w:rsidRPr="00CF7396">
              <w:rPr>
                <w:i/>
                <w:iCs/>
                <w:color w:val="000000" w:themeColor="text1"/>
                <w:lang w:val="es-CR"/>
              </w:rPr>
              <w:t xml:space="preserve">Audiencias realizadas y no realizadas por despacho Primer Circuito Judicial de la Zona Atlántica </w:t>
            </w:r>
          </w:p>
          <w:p w14:paraId="58B26163" w14:textId="77777777" w:rsidR="00CF7396" w:rsidRPr="00CF7396" w:rsidRDefault="00CF7396" w:rsidP="00CF7396">
            <w:pPr>
              <w:widowControl w:val="0"/>
              <w:autoSpaceDE w:val="0"/>
              <w:autoSpaceDN w:val="0"/>
              <w:adjustRightInd w:val="0"/>
              <w:jc w:val="center"/>
              <w:rPr>
                <w:i/>
                <w:iCs/>
                <w:color w:val="000000" w:themeColor="text1"/>
                <w:lang w:val="es-CR"/>
              </w:rPr>
            </w:pPr>
            <w:r w:rsidRPr="00CF7396">
              <w:rPr>
                <w:i/>
                <w:iCs/>
                <w:color w:val="000000" w:themeColor="text1"/>
                <w:lang w:val="es-CR"/>
              </w:rPr>
              <w:t>Período 2021”</w:t>
            </w:r>
          </w:p>
        </w:tc>
        <w:tc>
          <w:tcPr>
            <w:tcW w:w="1500" w:type="pct"/>
            <w:shd w:val="clear" w:color="auto" w:fill="auto"/>
          </w:tcPr>
          <w:p w14:paraId="4E4EEBAE" w14:textId="77777777" w:rsidR="00CF7396" w:rsidRPr="00CF7396" w:rsidRDefault="00CF7396" w:rsidP="00CF7396">
            <w:pPr>
              <w:tabs>
                <w:tab w:val="left" w:pos="207"/>
                <w:tab w:val="left" w:pos="422"/>
              </w:tabs>
              <w:jc w:val="both"/>
              <w:rPr>
                <w:rFonts w:eastAsiaTheme="minorEastAsia"/>
                <w:i/>
                <w:iCs/>
                <w:color w:val="000000" w:themeColor="text1"/>
                <w:lang w:val="es-CR"/>
              </w:rPr>
            </w:pPr>
            <w:r w:rsidRPr="00CF7396">
              <w:rPr>
                <w:rFonts w:eastAsiaTheme="minorEastAsia"/>
                <w:i/>
                <w:iCs/>
                <w:color w:val="000000" w:themeColor="text1"/>
                <w:lang w:val="es-CR"/>
              </w:rPr>
              <w:t xml:space="preserve">Del análisis no desprende si contemplaron los motivos de la suspensión de las audiencias, que registra la Agenda CRONOS, por ejemplo, algunos de esos señalamientos no se celebraron porque los expedientes se revolvieron previamente.  </w:t>
            </w:r>
          </w:p>
          <w:p w14:paraId="44B44E73" w14:textId="77777777" w:rsidR="00CF7396" w:rsidRPr="00CF7396" w:rsidRDefault="00CF7396" w:rsidP="00CF7396">
            <w:pPr>
              <w:tabs>
                <w:tab w:val="left" w:pos="207"/>
                <w:tab w:val="left" w:pos="422"/>
              </w:tabs>
              <w:jc w:val="both"/>
              <w:rPr>
                <w:rFonts w:eastAsiaTheme="minorEastAsia"/>
                <w:i/>
                <w:iCs/>
                <w:color w:val="000000" w:themeColor="text1"/>
                <w:lang w:val="es-CR"/>
              </w:rPr>
            </w:pPr>
          </w:p>
          <w:p w14:paraId="54325C41" w14:textId="77777777" w:rsidR="00CF7396" w:rsidRPr="00CF7396" w:rsidRDefault="00CF7396" w:rsidP="00CF7396">
            <w:pPr>
              <w:tabs>
                <w:tab w:val="left" w:pos="207"/>
                <w:tab w:val="left" w:pos="422"/>
              </w:tabs>
              <w:jc w:val="both"/>
              <w:rPr>
                <w:rFonts w:eastAsiaTheme="minorEastAsia"/>
                <w:i/>
                <w:iCs/>
                <w:color w:val="000000" w:themeColor="text1"/>
                <w:lang w:val="es-CR"/>
              </w:rPr>
            </w:pPr>
            <w:bookmarkStart w:id="21" w:name="_Int_pH0ImmmF"/>
            <w:r w:rsidRPr="00CF7396">
              <w:rPr>
                <w:rFonts w:eastAsiaTheme="minorEastAsia"/>
                <w:i/>
                <w:iCs/>
                <w:color w:val="000000" w:themeColor="text1"/>
                <w:lang w:val="es-CR"/>
              </w:rPr>
              <w:t>De acuerdo con el</w:t>
            </w:r>
            <w:bookmarkEnd w:id="21"/>
            <w:r w:rsidRPr="00CF7396">
              <w:rPr>
                <w:rFonts w:eastAsiaTheme="minorEastAsia"/>
                <w:i/>
                <w:iCs/>
                <w:color w:val="000000" w:themeColor="text1"/>
                <w:lang w:val="es-CR"/>
              </w:rPr>
              <w:t xml:space="preserve"> informe N°24-CACMFJ-JEF-2022</w:t>
            </w:r>
            <w:r w:rsidRPr="00CF7396">
              <w:rPr>
                <w:rFonts w:eastAsiaTheme="minorEastAsia"/>
                <w:i/>
                <w:iCs/>
                <w:color w:val="000000" w:themeColor="text1"/>
                <w:vertAlign w:val="superscript"/>
                <w:lang w:val="es-CR"/>
              </w:rPr>
              <w:footnoteReference w:id="5"/>
            </w:r>
            <w:r w:rsidRPr="00CF7396">
              <w:rPr>
                <w:rFonts w:eastAsiaTheme="minorEastAsia"/>
                <w:i/>
                <w:iCs/>
                <w:color w:val="000000" w:themeColor="text1"/>
                <w:lang w:val="es-CR"/>
              </w:rPr>
              <w:t>, que refiere a “seguimiento y uso de la Agenda Cronos, por medio del reporte de SIGMA “Informe Estadístico-Consolidado de Audiencias” (con las dificultades de sincronización entre SIGMA y la Agenda CRONOS), por parte de los 41 despachos que conocen la materia civil, se remite el informe en el período que comprende de enero del 2019 a diciembre del 2021”, con los siguientes hallazgos:</w:t>
            </w:r>
          </w:p>
          <w:p w14:paraId="2B0A1895" w14:textId="77777777" w:rsidR="00CF7396" w:rsidRPr="00CF7396" w:rsidRDefault="00CF7396" w:rsidP="00CF7396">
            <w:pPr>
              <w:tabs>
                <w:tab w:val="left" w:pos="207"/>
                <w:tab w:val="left" w:pos="422"/>
              </w:tabs>
              <w:jc w:val="both"/>
              <w:rPr>
                <w:rFonts w:eastAsiaTheme="minorEastAsia"/>
                <w:i/>
                <w:iCs/>
                <w:color w:val="000000" w:themeColor="text1"/>
                <w:lang w:val="es-CR"/>
              </w:rPr>
            </w:pPr>
            <w:r w:rsidRPr="00CF7396">
              <w:rPr>
                <w:rFonts w:eastAsiaTheme="minorEastAsia"/>
                <w:i/>
                <w:iCs/>
                <w:color w:val="000000" w:themeColor="text1"/>
                <w:lang w:val="es-CR"/>
              </w:rPr>
              <w:t>“los señalamientos no celebrados representan el 36%, y según las razones anotadas por los despachos civiles, que: el 53% que representa 3.487 audiencias son aquellas que pueden atribuirse a los intervinientes en los procesos; podemos citar: la inasistencia justificada o injustificada de las partes, cambio de fecha solicitado, entre otros razones; el 35% que representa 2.269 señalamientos corresponden a diligencias de los despachos entre las que podemos mencionar: el cambio de fecha de oficio, por dictarse una resolución o sentencia antes de la celebración de la audiencia, entre otros motivos, un 11% que representa 729 señalamientos por otros motivos entre los que podemos indicar: el asueto, caso fortuito o fuerza mayor entre otros y 1% que representa 61 audiencias, y se ubican: la interrupción de la comunicación por internet o cortes del fluido eléctrico.”</w:t>
            </w:r>
          </w:p>
          <w:p w14:paraId="3D5DE658" w14:textId="77777777" w:rsidR="00CF7396" w:rsidRPr="00CF7396" w:rsidRDefault="00CF7396" w:rsidP="00CF7396">
            <w:pPr>
              <w:widowControl w:val="0"/>
              <w:autoSpaceDE w:val="0"/>
              <w:autoSpaceDN w:val="0"/>
              <w:adjustRightInd w:val="0"/>
              <w:jc w:val="both"/>
              <w:rPr>
                <w:i/>
                <w:iCs/>
                <w:color w:val="000000" w:themeColor="text1"/>
                <w:lang w:val="es-CR"/>
              </w:rPr>
            </w:pPr>
          </w:p>
        </w:tc>
        <w:tc>
          <w:tcPr>
            <w:tcW w:w="1271" w:type="pct"/>
          </w:tcPr>
          <w:p w14:paraId="565A8C1E" w14:textId="77777777" w:rsidR="00CF7396" w:rsidRPr="00CF7396" w:rsidRDefault="00CF7396" w:rsidP="00CF7396">
            <w:pPr>
              <w:tabs>
                <w:tab w:val="left" w:pos="207"/>
                <w:tab w:val="left" w:pos="422"/>
              </w:tabs>
              <w:jc w:val="both"/>
              <w:rPr>
                <w:b/>
                <w:i/>
                <w:color w:val="000000" w:themeColor="text1"/>
                <w:lang w:val="es-CR"/>
              </w:rPr>
            </w:pPr>
            <w:r w:rsidRPr="00CF7396">
              <w:rPr>
                <w:b/>
                <w:i/>
                <w:color w:val="000000" w:themeColor="text1"/>
                <w:lang w:val="es-CR"/>
              </w:rPr>
              <w:t>En relación con el análisis de motivo de suspensión de las audiencias.</w:t>
            </w:r>
          </w:p>
          <w:p w14:paraId="6ABE460B" w14:textId="77777777" w:rsidR="00CF7396" w:rsidRPr="00CF7396" w:rsidRDefault="00CF7396" w:rsidP="00CF7396">
            <w:pPr>
              <w:tabs>
                <w:tab w:val="left" w:pos="207"/>
                <w:tab w:val="left" w:pos="422"/>
              </w:tabs>
              <w:jc w:val="both"/>
              <w:rPr>
                <w:b/>
                <w:i/>
                <w:color w:val="000000" w:themeColor="text1"/>
                <w:lang w:val="es-CR"/>
              </w:rPr>
            </w:pPr>
          </w:p>
          <w:p w14:paraId="20920A76" w14:textId="77777777" w:rsidR="00CF7396" w:rsidRPr="00CF7396" w:rsidRDefault="00CF7396" w:rsidP="00CF7396">
            <w:pPr>
              <w:tabs>
                <w:tab w:val="left" w:pos="207"/>
                <w:tab w:val="left" w:pos="422"/>
              </w:tabs>
              <w:jc w:val="both"/>
              <w:rPr>
                <w:rFonts w:eastAsiaTheme="minorEastAsia"/>
                <w:color w:val="000000" w:themeColor="text1"/>
                <w:lang w:val="es-CR"/>
              </w:rPr>
            </w:pPr>
            <w:r w:rsidRPr="00CF7396">
              <w:rPr>
                <w:rFonts w:eastAsiaTheme="minorEastAsia"/>
                <w:color w:val="000000" w:themeColor="text1"/>
                <w:lang w:val="es-CR"/>
              </w:rPr>
              <w:t xml:space="preserve">Del cuadro citado (10) se desprende el porcentaje de efectividad de las audiencias; los cuales, como se indicó supra el histórico (2021) y su alcance sirve de insumo para el ente técnico para proyectar planes de mejora para los siguientes períodos, donde inclusive puede determinarse los motivos de suspensión si así lo considera relevante. Sin embargo, se adiciona en este apartado lo indicado por el CACMFJ en el informe en materia civil; así como el insumo del informe 312-CACMFJ-JEF-2021 sobre el seguimiento del COVID-19 por lo anterior se modifica el contenido del informe. </w:t>
            </w:r>
          </w:p>
          <w:p w14:paraId="1DA80B04" w14:textId="77777777" w:rsidR="00CF7396" w:rsidRPr="00CF7396" w:rsidRDefault="00CF7396" w:rsidP="00CF7396">
            <w:pPr>
              <w:widowControl w:val="0"/>
              <w:autoSpaceDE w:val="0"/>
              <w:autoSpaceDN w:val="0"/>
              <w:adjustRightInd w:val="0"/>
              <w:jc w:val="both"/>
              <w:rPr>
                <w:color w:val="000000" w:themeColor="text1"/>
                <w:lang w:val="es-CR"/>
              </w:rPr>
            </w:pPr>
          </w:p>
        </w:tc>
      </w:tr>
      <w:tr w:rsidR="00CF7396" w:rsidRPr="00CF7396" w14:paraId="1567595F" w14:textId="77777777" w:rsidTr="00AF369B">
        <w:trPr>
          <w:trHeight w:val="242"/>
        </w:trPr>
        <w:tc>
          <w:tcPr>
            <w:tcW w:w="214" w:type="pct"/>
          </w:tcPr>
          <w:p w14:paraId="7617BE3C" w14:textId="77777777" w:rsidR="00CF7396" w:rsidRPr="00CF7396" w:rsidRDefault="00CF7396" w:rsidP="00CF7396">
            <w:pPr>
              <w:widowControl w:val="0"/>
              <w:autoSpaceDE w:val="0"/>
              <w:autoSpaceDN w:val="0"/>
              <w:adjustRightInd w:val="0"/>
              <w:jc w:val="center"/>
              <w:rPr>
                <w:color w:val="000000" w:themeColor="text1"/>
                <w:lang w:val="es-CR"/>
              </w:rPr>
            </w:pPr>
            <w:r w:rsidRPr="00CF7396">
              <w:rPr>
                <w:color w:val="000000" w:themeColor="text1"/>
                <w:lang w:val="es-CR"/>
              </w:rPr>
              <w:t>4</w:t>
            </w:r>
          </w:p>
        </w:tc>
        <w:tc>
          <w:tcPr>
            <w:tcW w:w="414" w:type="pct"/>
            <w:shd w:val="clear" w:color="auto" w:fill="auto"/>
          </w:tcPr>
          <w:p w14:paraId="07E9F35E" w14:textId="77777777" w:rsidR="00CF7396" w:rsidRPr="00CF7396" w:rsidRDefault="00CF7396" w:rsidP="00CF7396">
            <w:pPr>
              <w:widowControl w:val="0"/>
              <w:autoSpaceDE w:val="0"/>
              <w:autoSpaceDN w:val="0"/>
              <w:adjustRightInd w:val="0"/>
              <w:jc w:val="center"/>
              <w:rPr>
                <w:i/>
                <w:iCs/>
                <w:color w:val="000000" w:themeColor="text1"/>
                <w:lang w:val="es-CR"/>
              </w:rPr>
            </w:pPr>
            <w:r w:rsidRPr="00CF7396">
              <w:rPr>
                <w:i/>
                <w:iCs/>
                <w:color w:val="000000" w:themeColor="text1"/>
                <w:lang w:val="es-CR"/>
              </w:rPr>
              <w:t>33</w:t>
            </w:r>
          </w:p>
        </w:tc>
        <w:tc>
          <w:tcPr>
            <w:tcW w:w="1600" w:type="pct"/>
            <w:shd w:val="clear" w:color="auto" w:fill="auto"/>
          </w:tcPr>
          <w:p w14:paraId="352A2275" w14:textId="77777777" w:rsidR="00CF7396" w:rsidRPr="00CF7396" w:rsidRDefault="00CF7396" w:rsidP="00CF7396">
            <w:pPr>
              <w:widowControl w:val="0"/>
              <w:autoSpaceDE w:val="0"/>
              <w:autoSpaceDN w:val="0"/>
              <w:adjustRightInd w:val="0"/>
              <w:jc w:val="center"/>
              <w:rPr>
                <w:i/>
                <w:iCs/>
                <w:color w:val="000000" w:themeColor="text1"/>
                <w:lang w:val="es-CR"/>
              </w:rPr>
            </w:pPr>
            <w:r w:rsidRPr="00CF7396">
              <w:rPr>
                <w:i/>
                <w:iCs/>
                <w:noProof/>
                <w:color w:val="000000" w:themeColor="text1"/>
                <w:lang w:val="es-CR"/>
              </w:rPr>
              <w:drawing>
                <wp:inline distT="0" distB="0" distL="0" distR="0" wp14:anchorId="1D3B7C2E" wp14:editId="0E17A5EA">
                  <wp:extent cx="2221940" cy="1987367"/>
                  <wp:effectExtent l="0" t="0" r="6985" b="0"/>
                  <wp:docPr id="21" name="Imagen 21" descr="Tabla,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abla, Escala de tiempo&#10;&#10;Descripción generada automáticamente"/>
                          <pic:cNvPicPr/>
                        </pic:nvPicPr>
                        <pic:blipFill>
                          <a:blip r:embed="rId52"/>
                          <a:stretch>
                            <a:fillRect/>
                          </a:stretch>
                        </pic:blipFill>
                        <pic:spPr>
                          <a:xfrm>
                            <a:off x="0" y="0"/>
                            <a:ext cx="2226496" cy="1991442"/>
                          </a:xfrm>
                          <a:prstGeom prst="rect">
                            <a:avLst/>
                          </a:prstGeom>
                        </pic:spPr>
                      </pic:pic>
                    </a:graphicData>
                  </a:graphic>
                </wp:inline>
              </w:drawing>
            </w:r>
          </w:p>
        </w:tc>
        <w:tc>
          <w:tcPr>
            <w:tcW w:w="1500" w:type="pct"/>
            <w:shd w:val="clear" w:color="auto" w:fill="auto"/>
          </w:tcPr>
          <w:p w14:paraId="2C78BD05" w14:textId="77777777" w:rsidR="00CF7396" w:rsidRPr="00CF7396" w:rsidRDefault="00CF7396" w:rsidP="00CF7396">
            <w:pPr>
              <w:tabs>
                <w:tab w:val="left" w:pos="37"/>
                <w:tab w:val="left" w:pos="366"/>
              </w:tabs>
              <w:ind w:right="82"/>
              <w:jc w:val="both"/>
              <w:rPr>
                <w:i/>
                <w:iCs/>
                <w:color w:val="000000" w:themeColor="text1"/>
                <w:lang w:val="es-CR"/>
              </w:rPr>
            </w:pPr>
            <w:r w:rsidRPr="00CF7396">
              <w:rPr>
                <w:i/>
                <w:iCs/>
                <w:color w:val="000000" w:themeColor="text1"/>
                <w:lang w:val="es-CR"/>
              </w:rPr>
              <w:t>En la herramienta “Modelo de Análisis Integral de Despachos y Oficinas” no se tiene claridad cual “nivel de criticidad” es menos desfavorable para los despachos jurisdiccionales, si el D o el E. Parece que no hay un orden de criticidad de mayor a menor criticidad o viceversa.  Asimismo, se citan algunos de los despachos que están en estado crítico, sin embargo, no se desprende del cuerpo del informe un análisis detallado de cada uno de los indicadores de los despachos que se encuentran en los niveles de criticidad C, D y E, para que el apoyo dado por el Profesional de Planificación brinde un valor agregado al despacho, que le permita retroalimentarse para establecer los planes remediales.</w:t>
            </w:r>
          </w:p>
          <w:p w14:paraId="2EF82C7A" w14:textId="77777777" w:rsidR="00CF7396" w:rsidRPr="00CF7396" w:rsidRDefault="00CF7396" w:rsidP="00CF7396">
            <w:pPr>
              <w:widowControl w:val="0"/>
              <w:autoSpaceDE w:val="0"/>
              <w:autoSpaceDN w:val="0"/>
              <w:adjustRightInd w:val="0"/>
              <w:jc w:val="both"/>
              <w:rPr>
                <w:i/>
                <w:iCs/>
                <w:color w:val="000000" w:themeColor="text1"/>
                <w:lang w:val="es-CR"/>
              </w:rPr>
            </w:pPr>
          </w:p>
        </w:tc>
        <w:tc>
          <w:tcPr>
            <w:tcW w:w="1271" w:type="pct"/>
          </w:tcPr>
          <w:p w14:paraId="01CF1EFD" w14:textId="77777777" w:rsidR="00CF7396" w:rsidRPr="00CF7396" w:rsidRDefault="00CF7396" w:rsidP="00CF7396">
            <w:pPr>
              <w:tabs>
                <w:tab w:val="left" w:pos="227"/>
              </w:tabs>
              <w:ind w:right="82"/>
              <w:jc w:val="both"/>
              <w:rPr>
                <w:b/>
                <w:i/>
                <w:color w:val="000000" w:themeColor="text1"/>
                <w:lang w:val="es-CR"/>
              </w:rPr>
            </w:pPr>
            <w:r w:rsidRPr="00CF7396">
              <w:rPr>
                <w:b/>
                <w:i/>
                <w:color w:val="000000" w:themeColor="text1"/>
                <w:lang w:val="es-CR"/>
              </w:rPr>
              <w:t>En relación con la claridad de criticidad del Modelo de Análisis Integral de Despachos”</w:t>
            </w:r>
          </w:p>
          <w:p w14:paraId="01E47B26" w14:textId="77777777" w:rsidR="00CF7396" w:rsidRPr="00CF7396" w:rsidRDefault="00CF7396" w:rsidP="00CF7396">
            <w:pPr>
              <w:tabs>
                <w:tab w:val="left" w:pos="227"/>
              </w:tabs>
              <w:ind w:right="82"/>
              <w:jc w:val="both"/>
              <w:rPr>
                <w:b/>
                <w:i/>
                <w:color w:val="000000" w:themeColor="text1"/>
                <w:lang w:val="es-CR"/>
              </w:rPr>
            </w:pPr>
          </w:p>
          <w:p w14:paraId="35550CDE" w14:textId="77777777" w:rsidR="00CF7396" w:rsidRPr="00CF7396" w:rsidRDefault="00CF7396" w:rsidP="00CF7396">
            <w:pPr>
              <w:tabs>
                <w:tab w:val="left" w:pos="227"/>
              </w:tabs>
              <w:ind w:right="82"/>
              <w:jc w:val="both"/>
              <w:rPr>
                <w:bCs/>
                <w:iCs/>
                <w:color w:val="000000" w:themeColor="text1"/>
                <w:lang w:val="es-CR"/>
              </w:rPr>
            </w:pPr>
            <w:r w:rsidRPr="00CF7396">
              <w:rPr>
                <w:color w:val="000000" w:themeColor="text1"/>
                <w:lang w:val="es-CR"/>
              </w:rPr>
              <w:t>Es una observación reiterada por parte del CACMFJ y así aclarada dentro del contenido del informe</w:t>
            </w:r>
            <w:r w:rsidRPr="00CF7396">
              <w:rPr>
                <w:bCs/>
                <w:iCs/>
                <w:color w:val="000000" w:themeColor="text1"/>
                <w:lang w:val="es-CR"/>
              </w:rPr>
              <w:t xml:space="preserve"> 1274-PLA-EV-2021 el cual fue conocido por el Consejo Superior en sesión 103-2021, art. XLVI. </w:t>
            </w:r>
          </w:p>
          <w:p w14:paraId="1ADB63A2" w14:textId="77777777" w:rsidR="00CF7396" w:rsidRPr="00CF7396" w:rsidRDefault="00CF7396" w:rsidP="00CF7396">
            <w:pPr>
              <w:tabs>
                <w:tab w:val="left" w:pos="227"/>
              </w:tabs>
              <w:ind w:right="82"/>
              <w:jc w:val="both"/>
              <w:rPr>
                <w:bCs/>
                <w:iCs/>
                <w:color w:val="000000" w:themeColor="text1"/>
                <w:lang w:val="es-CR"/>
              </w:rPr>
            </w:pPr>
          </w:p>
          <w:p w14:paraId="6D89F885" w14:textId="77777777" w:rsidR="00CF7396" w:rsidRPr="00CF7396" w:rsidRDefault="00CF7396" w:rsidP="00CF7396">
            <w:pPr>
              <w:tabs>
                <w:tab w:val="left" w:pos="227"/>
              </w:tabs>
              <w:ind w:right="82"/>
              <w:jc w:val="both"/>
              <w:rPr>
                <w:color w:val="000000" w:themeColor="text1"/>
                <w:lang w:val="es-CR"/>
              </w:rPr>
            </w:pPr>
            <w:r w:rsidRPr="00CF7396">
              <w:rPr>
                <w:color w:val="000000" w:themeColor="text1"/>
                <w:lang w:val="es-CR"/>
              </w:rPr>
              <w:t>Se toma nota de lo indicado por parte del CACMFJ lo cual no afecta el contenido del informe.</w:t>
            </w:r>
          </w:p>
          <w:p w14:paraId="610FE8C5" w14:textId="77777777" w:rsidR="00CF7396" w:rsidRPr="00CF7396" w:rsidRDefault="00CF7396" w:rsidP="00CF7396">
            <w:pPr>
              <w:tabs>
                <w:tab w:val="left" w:pos="227"/>
              </w:tabs>
              <w:ind w:right="82"/>
              <w:jc w:val="both"/>
              <w:rPr>
                <w:b/>
                <w:i/>
                <w:color w:val="000000" w:themeColor="text1"/>
                <w:lang w:val="es-CR"/>
              </w:rPr>
            </w:pPr>
          </w:p>
          <w:p w14:paraId="3A61C17B" w14:textId="77777777" w:rsidR="00CF7396" w:rsidRPr="00CF7396" w:rsidRDefault="00CF7396" w:rsidP="00CF7396">
            <w:pPr>
              <w:tabs>
                <w:tab w:val="left" w:pos="227"/>
              </w:tabs>
              <w:ind w:right="82"/>
              <w:jc w:val="both"/>
              <w:rPr>
                <w:b/>
                <w:i/>
                <w:color w:val="000000" w:themeColor="text1"/>
                <w:lang w:val="es-CR"/>
              </w:rPr>
            </w:pPr>
            <w:r w:rsidRPr="00CF7396">
              <w:rPr>
                <w:b/>
                <w:i/>
                <w:color w:val="000000" w:themeColor="text1"/>
                <w:lang w:val="es-CR"/>
              </w:rPr>
              <w:t>En relación con el valor agregado que permita realimentarse a los despachos, para establecer planes remediales.</w:t>
            </w:r>
          </w:p>
          <w:p w14:paraId="53486572" w14:textId="77777777" w:rsidR="00CF7396" w:rsidRPr="00CF7396" w:rsidRDefault="00CF7396" w:rsidP="00CF7396">
            <w:pPr>
              <w:tabs>
                <w:tab w:val="left" w:pos="227"/>
              </w:tabs>
              <w:ind w:right="82"/>
              <w:jc w:val="both"/>
              <w:rPr>
                <w:color w:val="000000" w:themeColor="text1"/>
                <w:lang w:val="es-CR"/>
              </w:rPr>
            </w:pPr>
          </w:p>
          <w:p w14:paraId="1B68B77C" w14:textId="77777777" w:rsidR="00CF7396" w:rsidRPr="00CF7396" w:rsidRDefault="00CF7396" w:rsidP="00CF7396">
            <w:pPr>
              <w:tabs>
                <w:tab w:val="left" w:pos="227"/>
              </w:tabs>
              <w:ind w:right="82"/>
              <w:jc w:val="both"/>
              <w:rPr>
                <w:color w:val="000000" w:themeColor="text1"/>
                <w:lang w:val="es-CR"/>
              </w:rPr>
            </w:pPr>
            <w:r w:rsidRPr="00CF7396">
              <w:rPr>
                <w:color w:val="000000" w:themeColor="text1"/>
                <w:lang w:val="es-CR"/>
              </w:rPr>
              <w:t xml:space="preserve">Se reitera al CACMFJ que los Profesionales destacados a nivel de Modelo de Seguimiento y Sostenibilidad de cada Circuito Judicial, realimentan de manera mensual a los despachos y Consejo de Administración para establecer posibles acciones, planes de trabajo y/o remediales para estabilizar la carga de trabajo. </w:t>
            </w:r>
          </w:p>
          <w:p w14:paraId="1B53C732" w14:textId="77777777" w:rsidR="00CF7396" w:rsidRPr="00CF7396" w:rsidRDefault="00CF7396" w:rsidP="00CF7396">
            <w:pPr>
              <w:tabs>
                <w:tab w:val="left" w:pos="227"/>
              </w:tabs>
              <w:ind w:right="82"/>
              <w:jc w:val="both"/>
              <w:rPr>
                <w:color w:val="000000" w:themeColor="text1"/>
                <w:lang w:val="es-CR"/>
              </w:rPr>
            </w:pPr>
          </w:p>
          <w:p w14:paraId="780D9703" w14:textId="77777777" w:rsidR="00CF7396" w:rsidRPr="00CF7396" w:rsidRDefault="00CF7396" w:rsidP="00CF7396">
            <w:pPr>
              <w:tabs>
                <w:tab w:val="left" w:pos="227"/>
              </w:tabs>
              <w:ind w:right="82"/>
              <w:jc w:val="both"/>
              <w:rPr>
                <w:color w:val="000000" w:themeColor="text1"/>
                <w:lang w:val="es-CR"/>
              </w:rPr>
            </w:pPr>
            <w:r w:rsidRPr="00CF7396">
              <w:rPr>
                <w:color w:val="000000" w:themeColor="text1"/>
                <w:lang w:val="es-CR"/>
              </w:rPr>
              <w:t>Por tanto, el valor agregado citado se aporta en el seguimiento y recomendaciones mensuales emitidas a los despachos y Consejo de Administración Judicial de cada Circuito Judicial donde se mantiene asignado un Profesional de la Dirección de Planificación.</w:t>
            </w:r>
          </w:p>
          <w:p w14:paraId="3C6743BA" w14:textId="77777777" w:rsidR="00CF7396" w:rsidRPr="00CF7396" w:rsidRDefault="00CF7396" w:rsidP="00CF7396">
            <w:pPr>
              <w:tabs>
                <w:tab w:val="left" w:pos="227"/>
              </w:tabs>
              <w:ind w:right="82"/>
              <w:jc w:val="both"/>
              <w:rPr>
                <w:color w:val="000000" w:themeColor="text1"/>
                <w:lang w:val="es-CR"/>
              </w:rPr>
            </w:pPr>
          </w:p>
          <w:p w14:paraId="609E174D" w14:textId="77777777" w:rsidR="00CF7396" w:rsidRPr="00CF7396" w:rsidRDefault="00CF7396" w:rsidP="00CF7396">
            <w:pPr>
              <w:tabs>
                <w:tab w:val="left" w:pos="227"/>
              </w:tabs>
              <w:ind w:right="82"/>
              <w:jc w:val="both"/>
              <w:rPr>
                <w:color w:val="000000" w:themeColor="text1"/>
                <w:lang w:val="es-CR"/>
              </w:rPr>
            </w:pPr>
            <w:r w:rsidRPr="00CF7396">
              <w:rPr>
                <w:color w:val="000000" w:themeColor="text1"/>
                <w:lang w:val="es-CR"/>
              </w:rPr>
              <w:t>Todo lo anterior queda consignado en las actas del Consejo de Administración las cuales son de acceso del CACMFJ.</w:t>
            </w:r>
          </w:p>
          <w:p w14:paraId="2BF0D1EC" w14:textId="77777777" w:rsidR="00CF7396" w:rsidRPr="00CF7396" w:rsidRDefault="00CF7396" w:rsidP="00CF7396">
            <w:pPr>
              <w:tabs>
                <w:tab w:val="left" w:pos="227"/>
              </w:tabs>
              <w:ind w:right="82"/>
              <w:jc w:val="both"/>
              <w:rPr>
                <w:color w:val="000000" w:themeColor="text1"/>
                <w:lang w:val="es-CR"/>
              </w:rPr>
            </w:pPr>
          </w:p>
          <w:p w14:paraId="50B20241" w14:textId="77777777" w:rsidR="00CF7396" w:rsidRPr="00CF7396" w:rsidRDefault="00CF7396" w:rsidP="00CF7396">
            <w:pPr>
              <w:tabs>
                <w:tab w:val="left" w:pos="227"/>
              </w:tabs>
              <w:ind w:right="82"/>
              <w:jc w:val="both"/>
              <w:rPr>
                <w:b/>
                <w:bCs/>
                <w:color w:val="000000" w:themeColor="text1"/>
                <w:lang w:val="es-CR"/>
              </w:rPr>
            </w:pPr>
            <w:r w:rsidRPr="00CF7396">
              <w:rPr>
                <w:color w:val="000000" w:themeColor="text1"/>
                <w:lang w:val="es-CR"/>
              </w:rPr>
              <w:t xml:space="preserve">Se toma nota de lo indicado por parte del CACMFJ </w:t>
            </w:r>
            <w:r w:rsidRPr="00CF7396">
              <w:rPr>
                <w:b/>
                <w:bCs/>
                <w:color w:val="000000" w:themeColor="text1"/>
                <w:lang w:val="es-CR"/>
              </w:rPr>
              <w:t>lo cual no afecta el contenido del informe.</w:t>
            </w:r>
          </w:p>
          <w:p w14:paraId="580D684E" w14:textId="77777777" w:rsidR="00CF7396" w:rsidRPr="00CF7396" w:rsidRDefault="00CF7396" w:rsidP="00CF7396">
            <w:pPr>
              <w:widowControl w:val="0"/>
              <w:autoSpaceDE w:val="0"/>
              <w:autoSpaceDN w:val="0"/>
              <w:adjustRightInd w:val="0"/>
              <w:jc w:val="both"/>
              <w:rPr>
                <w:color w:val="000000" w:themeColor="text1"/>
                <w:lang w:val="es-CR"/>
              </w:rPr>
            </w:pPr>
          </w:p>
        </w:tc>
      </w:tr>
      <w:tr w:rsidR="00CF7396" w:rsidRPr="00CF7396" w14:paraId="38D97743" w14:textId="77777777" w:rsidTr="00AF369B">
        <w:trPr>
          <w:trHeight w:val="242"/>
        </w:trPr>
        <w:tc>
          <w:tcPr>
            <w:tcW w:w="214" w:type="pct"/>
          </w:tcPr>
          <w:p w14:paraId="38DC4D9B" w14:textId="77777777" w:rsidR="00CF7396" w:rsidRPr="00CF7396" w:rsidRDefault="00CF7396" w:rsidP="00CF7396">
            <w:pPr>
              <w:widowControl w:val="0"/>
              <w:autoSpaceDE w:val="0"/>
              <w:autoSpaceDN w:val="0"/>
              <w:adjustRightInd w:val="0"/>
              <w:jc w:val="center"/>
              <w:rPr>
                <w:color w:val="000000" w:themeColor="text1"/>
                <w:lang w:val="es-CR"/>
              </w:rPr>
            </w:pPr>
            <w:r w:rsidRPr="00CF7396">
              <w:rPr>
                <w:color w:val="000000" w:themeColor="text1"/>
                <w:lang w:val="es-CR"/>
              </w:rPr>
              <w:t>5</w:t>
            </w:r>
          </w:p>
        </w:tc>
        <w:tc>
          <w:tcPr>
            <w:tcW w:w="414" w:type="pct"/>
            <w:shd w:val="clear" w:color="auto" w:fill="auto"/>
          </w:tcPr>
          <w:p w14:paraId="769A00B5" w14:textId="77777777" w:rsidR="00CF7396" w:rsidRPr="00CF7396" w:rsidRDefault="00CF7396" w:rsidP="00CF7396">
            <w:pPr>
              <w:widowControl w:val="0"/>
              <w:autoSpaceDE w:val="0"/>
              <w:autoSpaceDN w:val="0"/>
              <w:adjustRightInd w:val="0"/>
              <w:jc w:val="center"/>
              <w:rPr>
                <w:i/>
                <w:iCs/>
                <w:color w:val="000000" w:themeColor="text1"/>
                <w:lang w:val="es-CR"/>
              </w:rPr>
            </w:pPr>
            <w:r w:rsidRPr="00CF7396">
              <w:rPr>
                <w:i/>
                <w:iCs/>
                <w:color w:val="000000" w:themeColor="text1"/>
                <w:lang w:val="es-CR"/>
              </w:rPr>
              <w:t>42</w:t>
            </w:r>
          </w:p>
        </w:tc>
        <w:tc>
          <w:tcPr>
            <w:tcW w:w="1600" w:type="pct"/>
            <w:shd w:val="clear" w:color="auto" w:fill="auto"/>
          </w:tcPr>
          <w:p w14:paraId="0D1A11F3" w14:textId="77777777" w:rsidR="00CF7396" w:rsidRPr="00CF7396" w:rsidRDefault="00CF7396" w:rsidP="00CF7396">
            <w:pPr>
              <w:jc w:val="both"/>
              <w:rPr>
                <w:i/>
                <w:iCs/>
                <w:color w:val="000000" w:themeColor="text1"/>
                <w:lang w:val="es-CR"/>
              </w:rPr>
            </w:pPr>
            <w:r w:rsidRPr="00CF7396">
              <w:rPr>
                <w:i/>
                <w:iCs/>
                <w:color w:val="000000" w:themeColor="text1"/>
                <w:lang w:val="es-CR"/>
              </w:rPr>
              <w:t>“Tribunal Colegiado de Primera Instancia Civil del Primer Circuito Judicial de la Zona Atlántica:</w:t>
            </w:r>
          </w:p>
          <w:p w14:paraId="3C2F43DC" w14:textId="77777777" w:rsidR="00CF7396" w:rsidRPr="00CF7396" w:rsidRDefault="00CF7396" w:rsidP="00CF7396">
            <w:pPr>
              <w:jc w:val="both"/>
              <w:rPr>
                <w:i/>
                <w:iCs/>
                <w:color w:val="000000" w:themeColor="text1"/>
                <w:lang w:val="es-CR"/>
              </w:rPr>
            </w:pPr>
          </w:p>
          <w:p w14:paraId="7C4B2BAE" w14:textId="77777777" w:rsidR="00CF7396" w:rsidRPr="00CF7396" w:rsidRDefault="00CF7396" w:rsidP="00CF7396">
            <w:pPr>
              <w:widowControl w:val="0"/>
              <w:autoSpaceDE w:val="0"/>
              <w:autoSpaceDN w:val="0"/>
              <w:adjustRightInd w:val="0"/>
              <w:jc w:val="both"/>
              <w:rPr>
                <w:i/>
                <w:iCs/>
                <w:color w:val="000000" w:themeColor="text1"/>
                <w:lang w:val="es-CR"/>
              </w:rPr>
            </w:pPr>
            <w:r w:rsidRPr="00CF7396">
              <w:rPr>
                <w:i/>
                <w:iCs/>
                <w:color w:val="000000" w:themeColor="text1"/>
                <w:lang w:val="es-CR"/>
              </w:rPr>
              <w:t>Plazo de espera de dictado de sentencia: El Indicador fue de 395 días al finalizar el 2021, teniendo un alejamiento del 161% del rango de la matriz; por otro lado, la cantidad de expedientes pendientes de fallo se encontró en 12 asuntos, posicionando el Indicador como “Muy bueno”, por cuanto el rango máximo es de 19. En la minuta de reunión justificaron que es debido al expediente complejo pendiente de sentencia 17-000212-0930-CI con fecha de pase a fallo de enero 2021; sin embargo, para noviembre y diciembre, el Centro de Apoyo, Coordinación y Mejoramiento de la Función Jurisdiccional aplicó un plan remedial apoyando con una plaza juzgadora adicional con la finalidad de que el Juez titular de dicho expediente continuara con la redacción del proyecto de sentencia. El apoyo se brindó en noviembre y en diciembre fue parcial por cuanto debía atender otras labores propias del cargo.”</w:t>
            </w:r>
          </w:p>
        </w:tc>
        <w:tc>
          <w:tcPr>
            <w:tcW w:w="1500" w:type="pct"/>
            <w:shd w:val="clear" w:color="auto" w:fill="auto"/>
          </w:tcPr>
          <w:p w14:paraId="6AD7AD77" w14:textId="77777777" w:rsidR="00CF7396" w:rsidRPr="00CF7396" w:rsidRDefault="00CF7396" w:rsidP="00CF7396">
            <w:pPr>
              <w:widowControl w:val="0"/>
              <w:autoSpaceDE w:val="0"/>
              <w:autoSpaceDN w:val="0"/>
              <w:adjustRightInd w:val="0"/>
              <w:jc w:val="both"/>
              <w:rPr>
                <w:i/>
                <w:iCs/>
                <w:color w:val="000000" w:themeColor="text1"/>
                <w:lang w:val="es-CR"/>
              </w:rPr>
            </w:pPr>
            <w:r w:rsidRPr="00CF7396">
              <w:rPr>
                <w:i/>
                <w:iCs/>
                <w:color w:val="000000" w:themeColor="text1"/>
                <w:lang w:val="es-CR"/>
              </w:rPr>
              <w:t>Para una mejor compresión al lector debe mencionarse que la sentencia dentro del expediente número 17-000212-0930-CI fue dictada a las 16:55 horas del 31 de mayo del 2022 mediante el número de sentencia N°86-2022.</w:t>
            </w:r>
            <w:r w:rsidRPr="00CF7396">
              <w:rPr>
                <w:i/>
                <w:iCs/>
                <w:color w:val="000000" w:themeColor="text1"/>
                <w:vertAlign w:val="superscript"/>
                <w:lang w:val="es-CR"/>
              </w:rPr>
              <w:footnoteReference w:id="6"/>
            </w:r>
          </w:p>
        </w:tc>
        <w:tc>
          <w:tcPr>
            <w:tcW w:w="1271" w:type="pct"/>
          </w:tcPr>
          <w:p w14:paraId="6F26A6CA" w14:textId="77777777" w:rsidR="00CF7396" w:rsidRPr="00CF7396" w:rsidRDefault="00CF7396" w:rsidP="00CF7396">
            <w:pPr>
              <w:widowControl w:val="0"/>
              <w:autoSpaceDE w:val="0"/>
              <w:autoSpaceDN w:val="0"/>
              <w:adjustRightInd w:val="0"/>
              <w:jc w:val="both"/>
              <w:rPr>
                <w:color w:val="000000" w:themeColor="text1"/>
                <w:lang w:val="es-CR"/>
              </w:rPr>
            </w:pPr>
            <w:r w:rsidRPr="00CF7396">
              <w:rPr>
                <w:color w:val="000000" w:themeColor="text1"/>
                <w:lang w:val="es-CR"/>
              </w:rPr>
              <w:t>Se toma nota de la observación emitida por el CACMFJ, por lo que se modifica el contenido del informe en el apartado 4.2.2.</w:t>
            </w:r>
          </w:p>
        </w:tc>
      </w:tr>
      <w:tr w:rsidR="00CF7396" w:rsidRPr="00CF7396" w14:paraId="41ACDA6A" w14:textId="77777777" w:rsidTr="00AF369B">
        <w:trPr>
          <w:trHeight w:val="242"/>
        </w:trPr>
        <w:tc>
          <w:tcPr>
            <w:tcW w:w="214" w:type="pct"/>
          </w:tcPr>
          <w:p w14:paraId="09C12421" w14:textId="77777777" w:rsidR="00CF7396" w:rsidRPr="00CF7396" w:rsidRDefault="00CF7396" w:rsidP="00CF7396">
            <w:pPr>
              <w:widowControl w:val="0"/>
              <w:autoSpaceDE w:val="0"/>
              <w:autoSpaceDN w:val="0"/>
              <w:adjustRightInd w:val="0"/>
              <w:jc w:val="center"/>
              <w:rPr>
                <w:color w:val="000000" w:themeColor="text1"/>
                <w:lang w:val="es-CR"/>
              </w:rPr>
            </w:pPr>
            <w:r w:rsidRPr="00CF7396">
              <w:rPr>
                <w:color w:val="000000" w:themeColor="text1"/>
                <w:lang w:val="es-CR"/>
              </w:rPr>
              <w:t>6</w:t>
            </w:r>
          </w:p>
        </w:tc>
        <w:tc>
          <w:tcPr>
            <w:tcW w:w="414" w:type="pct"/>
            <w:shd w:val="clear" w:color="auto" w:fill="auto"/>
          </w:tcPr>
          <w:p w14:paraId="5193B0D9" w14:textId="77777777" w:rsidR="00CF7396" w:rsidRPr="00CF7396" w:rsidRDefault="00CF7396" w:rsidP="00CF7396">
            <w:pPr>
              <w:widowControl w:val="0"/>
              <w:autoSpaceDE w:val="0"/>
              <w:autoSpaceDN w:val="0"/>
              <w:adjustRightInd w:val="0"/>
              <w:jc w:val="center"/>
              <w:rPr>
                <w:i/>
                <w:iCs/>
                <w:color w:val="000000" w:themeColor="text1"/>
                <w:lang w:val="es-CR"/>
              </w:rPr>
            </w:pPr>
            <w:r w:rsidRPr="00CF7396">
              <w:rPr>
                <w:i/>
                <w:iCs/>
                <w:color w:val="000000" w:themeColor="text1"/>
                <w:lang w:val="es-CR"/>
              </w:rPr>
              <w:t>96</w:t>
            </w:r>
          </w:p>
        </w:tc>
        <w:tc>
          <w:tcPr>
            <w:tcW w:w="1600" w:type="pct"/>
            <w:shd w:val="clear" w:color="auto" w:fill="auto"/>
          </w:tcPr>
          <w:p w14:paraId="29F44AC7" w14:textId="77777777" w:rsidR="00CF7396" w:rsidRPr="00CF7396" w:rsidRDefault="00CF7396" w:rsidP="00CF7396">
            <w:pPr>
              <w:jc w:val="both"/>
              <w:rPr>
                <w:i/>
                <w:iCs/>
                <w:color w:val="000000" w:themeColor="text1"/>
                <w:lang w:val="es-CR"/>
              </w:rPr>
            </w:pPr>
            <w:r w:rsidRPr="00CF7396">
              <w:rPr>
                <w:i/>
                <w:iCs/>
                <w:color w:val="000000" w:themeColor="text1"/>
                <w:shd w:val="clear" w:color="auto" w:fill="FFFFFF"/>
                <w:lang w:val="es-CR"/>
              </w:rPr>
              <w:t>“</w:t>
            </w:r>
            <w:r w:rsidRPr="00CF7396">
              <w:rPr>
                <w:i/>
                <w:iCs/>
                <w:color w:val="000000" w:themeColor="text1"/>
                <w:lang w:val="es-CR"/>
              </w:rPr>
              <w:t>8.16 Aplicar en su totalidad la recomendación emitida en el informe 1274-PLA-EV-2021 del Modelo de Seguimiento y Sostenibilidad del 2020, la cual fue aprobada por  el Consejo Superior en sesión 103-2021 del 1 de diciembre del 2021, artículo XLVI, : “Coordinar en conjunto con la Administración Regional del Circuito y la persona Profesional de la Dirección de Planificación a cargo del Modelo de Seguimiento y Sostenibilidad sobre los eventuales planes de trabajo y/o de descongestionamiento que se realicen o programen en los despachos u oficinas del Circuito, con el fin de que se genere una retroalimentación sobre las principales necesidades detectadas”. Lo anterior por cuanto dicha recomendación, en el 2021 fue aplicada parcialmente, dado que en algunos despachos el Centro de Apoyo inicia la elaboración de los planes de trabajo y/o descongestionamiento sin la coordinación previa con la profesional de la Dirección de Planificación, a fin de maximizar el aprovechamiento del personal supernumerario y evitar duplicar el reforzamiento en una misma oficina o despacho. Para lo anterior, se debe considerar que los planes de trabajo de las personas supernumerarias asignadas a la Administración Regional del Primer Circuito Judicial de la Zona Atlántica se realizan en la última semana de cada mes.</w:t>
            </w:r>
          </w:p>
        </w:tc>
        <w:tc>
          <w:tcPr>
            <w:tcW w:w="1500" w:type="pct"/>
            <w:shd w:val="clear" w:color="auto" w:fill="auto"/>
          </w:tcPr>
          <w:p w14:paraId="1BE574E2" w14:textId="77777777" w:rsidR="00CF7396" w:rsidRPr="00CF7396" w:rsidRDefault="00CF7396" w:rsidP="00CF7396">
            <w:pPr>
              <w:widowControl w:val="0"/>
              <w:autoSpaceDE w:val="0"/>
              <w:autoSpaceDN w:val="0"/>
              <w:adjustRightInd w:val="0"/>
              <w:jc w:val="both"/>
              <w:rPr>
                <w:i/>
                <w:iCs/>
                <w:color w:val="000000" w:themeColor="text1"/>
                <w:lang w:val="es-CR"/>
              </w:rPr>
            </w:pPr>
            <w:r w:rsidRPr="00CF7396">
              <w:rPr>
                <w:i/>
                <w:iCs/>
                <w:color w:val="000000" w:themeColor="text1"/>
                <w:lang w:val="es-CR"/>
              </w:rPr>
              <w:t>Se solicita a la Dirección de Planificación detallar los planes realizados por este Centro, que no se pusieron en conocimiento de dicha Dirección o la Administración Regional.</w:t>
            </w:r>
          </w:p>
        </w:tc>
        <w:tc>
          <w:tcPr>
            <w:tcW w:w="1271" w:type="pct"/>
          </w:tcPr>
          <w:p w14:paraId="4CC1CB9B" w14:textId="77777777" w:rsidR="00CF7396" w:rsidRPr="00CF7396" w:rsidRDefault="00CF7396" w:rsidP="00CF7396">
            <w:pPr>
              <w:widowControl w:val="0"/>
              <w:autoSpaceDE w:val="0"/>
              <w:autoSpaceDN w:val="0"/>
              <w:adjustRightInd w:val="0"/>
              <w:jc w:val="both"/>
              <w:rPr>
                <w:color w:val="000000" w:themeColor="text1"/>
                <w:lang w:val="es-CR"/>
              </w:rPr>
            </w:pPr>
            <w:r w:rsidRPr="00CF7396">
              <w:rPr>
                <w:color w:val="000000" w:themeColor="text1"/>
                <w:lang w:val="es-CR"/>
              </w:rPr>
              <w:t xml:space="preserve">Lo que se hace notar en la conclusión es que exista una comunicación directa entre el Centro de Apoyo y la Profesional destacada en el Modelo de Seguimiento y Sostenibilidad de la Dirección de Planificación, y se remita copia de aquellos oficios que son también de interés para la Profesional de la Dirección de Planificación destacada en el Primer Circuito Judicial de la Zona Atlántica, tal como fue solicitado en la recomendación. </w:t>
            </w:r>
            <w:r w:rsidRPr="00CF7396">
              <w:rPr>
                <w:b/>
                <w:bCs/>
                <w:color w:val="000000" w:themeColor="text1"/>
                <w:lang w:val="es-CR"/>
              </w:rPr>
              <w:t>Por lo anterior no se modifica el contenido del informe.</w:t>
            </w:r>
            <w:r w:rsidRPr="00CF7396">
              <w:rPr>
                <w:color w:val="000000" w:themeColor="text1"/>
                <w:lang w:val="es-CR"/>
              </w:rPr>
              <w:t xml:space="preserve"> </w:t>
            </w:r>
          </w:p>
        </w:tc>
      </w:tr>
      <w:tr w:rsidR="00CF7396" w:rsidRPr="00CF7396" w14:paraId="2C36BF11" w14:textId="77777777" w:rsidTr="00AF369B">
        <w:trPr>
          <w:trHeight w:val="242"/>
        </w:trPr>
        <w:tc>
          <w:tcPr>
            <w:tcW w:w="214" w:type="pct"/>
          </w:tcPr>
          <w:p w14:paraId="1F43FDEF" w14:textId="77777777" w:rsidR="00CF7396" w:rsidRPr="00CF7396" w:rsidRDefault="00CF7396" w:rsidP="00CF7396">
            <w:pPr>
              <w:widowControl w:val="0"/>
              <w:autoSpaceDE w:val="0"/>
              <w:autoSpaceDN w:val="0"/>
              <w:adjustRightInd w:val="0"/>
              <w:jc w:val="center"/>
              <w:rPr>
                <w:color w:val="000000" w:themeColor="text1"/>
                <w:lang w:val="es-CR"/>
              </w:rPr>
            </w:pPr>
            <w:r w:rsidRPr="00CF7396">
              <w:rPr>
                <w:color w:val="000000" w:themeColor="text1"/>
                <w:lang w:val="es-CR"/>
              </w:rPr>
              <w:t>7</w:t>
            </w:r>
          </w:p>
        </w:tc>
        <w:tc>
          <w:tcPr>
            <w:tcW w:w="414" w:type="pct"/>
            <w:shd w:val="clear" w:color="auto" w:fill="auto"/>
          </w:tcPr>
          <w:p w14:paraId="0E71831C" w14:textId="77777777" w:rsidR="00CF7396" w:rsidRPr="00CF7396" w:rsidRDefault="00CF7396" w:rsidP="00CF7396">
            <w:pPr>
              <w:widowControl w:val="0"/>
              <w:autoSpaceDE w:val="0"/>
              <w:autoSpaceDN w:val="0"/>
              <w:adjustRightInd w:val="0"/>
              <w:jc w:val="center"/>
              <w:rPr>
                <w:i/>
                <w:iCs/>
                <w:color w:val="000000" w:themeColor="text1"/>
                <w:lang w:val="es-CR"/>
              </w:rPr>
            </w:pPr>
            <w:r w:rsidRPr="00CF7396">
              <w:rPr>
                <w:i/>
                <w:iCs/>
                <w:color w:val="000000" w:themeColor="text1"/>
                <w:lang w:val="es-CR"/>
              </w:rPr>
              <w:t>96</w:t>
            </w:r>
          </w:p>
        </w:tc>
        <w:tc>
          <w:tcPr>
            <w:tcW w:w="1600" w:type="pct"/>
            <w:shd w:val="clear" w:color="auto" w:fill="auto"/>
          </w:tcPr>
          <w:p w14:paraId="33BF6F03" w14:textId="77777777" w:rsidR="00CF7396" w:rsidRPr="00CF7396" w:rsidRDefault="00CF7396" w:rsidP="00CF7396">
            <w:pPr>
              <w:jc w:val="both"/>
              <w:rPr>
                <w:i/>
                <w:iCs/>
                <w:color w:val="000000" w:themeColor="text1"/>
                <w:lang w:val="es-CR"/>
              </w:rPr>
            </w:pPr>
            <w:r w:rsidRPr="00CF7396">
              <w:rPr>
                <w:i/>
                <w:iCs/>
                <w:color w:val="000000" w:themeColor="text1"/>
                <w:lang w:val="es-CR"/>
              </w:rPr>
              <w:t>“8.17 Aplicar la recomendación emitida en el informe 1274-PLA-EV-2021 del Modelo de Seguimiento y Sostenibilidad del 2020, la cual fue aprobada por el Consejo Superior en sesión 103-2021 del 1 de diciembre del 2021, artículo XLVI, que dice:  “Deberá realizar una circular en donde se establezcan los lineamientos para las personas técnicas supernumerarias cuando deban atender suplencias, asimismo la directriz sobre las cuotas de trabajo aplicables para este personal tanto en caso de suplencias como en planes de trabajo definidos, así como si existen restricciones para dicho personal por materia, que tal y como indica el mismo Centro de Apoyo el personal técnico supernumerario deberá asumir las cuotas de trabajo definidas por la Dirección de Planificación en los despachos rediseñados, Indicadores de Gestión, o bien las especiales establecidas por dicho órgano en planes de trabajo con funciones diferentes al trámite”.”</w:t>
            </w:r>
          </w:p>
        </w:tc>
        <w:tc>
          <w:tcPr>
            <w:tcW w:w="1500" w:type="pct"/>
            <w:shd w:val="clear" w:color="auto" w:fill="auto"/>
          </w:tcPr>
          <w:p w14:paraId="52129583" w14:textId="77777777" w:rsidR="00CF7396" w:rsidRPr="00CF7396" w:rsidRDefault="00CF7396" w:rsidP="00CF7396">
            <w:pPr>
              <w:widowControl w:val="0"/>
              <w:autoSpaceDE w:val="0"/>
              <w:autoSpaceDN w:val="0"/>
              <w:adjustRightInd w:val="0"/>
              <w:jc w:val="both"/>
              <w:rPr>
                <w:i/>
                <w:iCs/>
                <w:color w:val="000000" w:themeColor="text1"/>
                <w:lang w:val="es-CR"/>
              </w:rPr>
            </w:pPr>
            <w:r w:rsidRPr="00CF7396">
              <w:rPr>
                <w:i/>
                <w:iCs/>
                <w:color w:val="000000" w:themeColor="text1"/>
                <w:shd w:val="clear" w:color="auto" w:fill="FFFFFF"/>
                <w:lang w:val="es-CR"/>
              </w:rPr>
              <w:t>El Centro de Apoyo se encuentra trabajando en el tema de circulares y estandarización de formatos en coordinación con la Dirección Ejecutiva, relacionado con el personal técnico supernumerario, según la solicitud de la Auditoria en el informe Nº417-088-ISEG-SASGA-2022 del 25 de marzo de 2022.</w:t>
            </w:r>
          </w:p>
        </w:tc>
        <w:tc>
          <w:tcPr>
            <w:tcW w:w="1271" w:type="pct"/>
          </w:tcPr>
          <w:p w14:paraId="2DFEB11C" w14:textId="77777777" w:rsidR="00CF7396" w:rsidRPr="00CF7396" w:rsidRDefault="00CF7396" w:rsidP="00CF7396">
            <w:pPr>
              <w:tabs>
                <w:tab w:val="left" w:pos="227"/>
              </w:tabs>
              <w:ind w:right="82"/>
              <w:jc w:val="both"/>
              <w:rPr>
                <w:color w:val="000000" w:themeColor="text1"/>
                <w:lang w:val="es-CR"/>
              </w:rPr>
            </w:pPr>
            <w:r w:rsidRPr="00CF7396">
              <w:rPr>
                <w:color w:val="000000" w:themeColor="text1"/>
                <w:lang w:val="es-CR"/>
              </w:rPr>
              <w:t xml:space="preserve">Se toma nota de lo indicado por parte del CACMFJ; y se amplía la recomendación; lo anterior según el oficio 417-088-ISEG-SASGA-2022 de la Auditoría Judicial, por lo anterior se modifica el contenido del informe en el apartado 8.17.  </w:t>
            </w:r>
          </w:p>
          <w:p w14:paraId="1EDD55F1" w14:textId="77777777" w:rsidR="00CF7396" w:rsidRPr="00CF7396" w:rsidRDefault="00CF7396" w:rsidP="00CF7396">
            <w:pPr>
              <w:widowControl w:val="0"/>
              <w:autoSpaceDE w:val="0"/>
              <w:autoSpaceDN w:val="0"/>
              <w:adjustRightInd w:val="0"/>
              <w:jc w:val="both"/>
              <w:rPr>
                <w:color w:val="000000" w:themeColor="text1"/>
                <w:lang w:val="es-CR"/>
              </w:rPr>
            </w:pPr>
          </w:p>
        </w:tc>
      </w:tr>
      <w:tr w:rsidR="00CF7396" w:rsidRPr="00CF7396" w14:paraId="3CF548B8" w14:textId="77777777" w:rsidTr="00AF369B">
        <w:trPr>
          <w:trHeight w:val="242"/>
        </w:trPr>
        <w:tc>
          <w:tcPr>
            <w:tcW w:w="214" w:type="pct"/>
          </w:tcPr>
          <w:p w14:paraId="4B4CB1B6" w14:textId="77777777" w:rsidR="00CF7396" w:rsidRPr="00CF7396" w:rsidRDefault="00CF7396" w:rsidP="00CF7396">
            <w:pPr>
              <w:widowControl w:val="0"/>
              <w:autoSpaceDE w:val="0"/>
              <w:autoSpaceDN w:val="0"/>
              <w:adjustRightInd w:val="0"/>
              <w:jc w:val="center"/>
              <w:rPr>
                <w:color w:val="000000" w:themeColor="text1"/>
                <w:lang w:val="es-CR"/>
              </w:rPr>
            </w:pPr>
            <w:r w:rsidRPr="00CF7396">
              <w:rPr>
                <w:color w:val="000000" w:themeColor="text1"/>
                <w:lang w:val="es-CR"/>
              </w:rPr>
              <w:t>8</w:t>
            </w:r>
          </w:p>
        </w:tc>
        <w:tc>
          <w:tcPr>
            <w:tcW w:w="414" w:type="pct"/>
            <w:shd w:val="clear" w:color="auto" w:fill="auto"/>
          </w:tcPr>
          <w:p w14:paraId="584A7858" w14:textId="77777777" w:rsidR="00CF7396" w:rsidRPr="00CF7396" w:rsidRDefault="00CF7396" w:rsidP="00CF7396">
            <w:pPr>
              <w:widowControl w:val="0"/>
              <w:autoSpaceDE w:val="0"/>
              <w:autoSpaceDN w:val="0"/>
              <w:adjustRightInd w:val="0"/>
              <w:jc w:val="center"/>
              <w:rPr>
                <w:i/>
                <w:iCs/>
                <w:color w:val="000000" w:themeColor="text1"/>
                <w:lang w:val="es-CR"/>
              </w:rPr>
            </w:pPr>
            <w:r w:rsidRPr="00CF7396">
              <w:rPr>
                <w:i/>
                <w:iCs/>
                <w:color w:val="000000" w:themeColor="text1"/>
                <w:lang w:val="es-CR"/>
              </w:rPr>
              <w:t>97</w:t>
            </w:r>
          </w:p>
        </w:tc>
        <w:tc>
          <w:tcPr>
            <w:tcW w:w="1600" w:type="pct"/>
            <w:shd w:val="clear" w:color="auto" w:fill="auto"/>
          </w:tcPr>
          <w:p w14:paraId="3BF7B105" w14:textId="77777777" w:rsidR="00CF7396" w:rsidRPr="00CF7396" w:rsidRDefault="00CF7396" w:rsidP="00CF7396">
            <w:pPr>
              <w:jc w:val="both"/>
              <w:rPr>
                <w:i/>
                <w:iCs/>
                <w:color w:val="000000" w:themeColor="text1"/>
                <w:lang w:val="es-CR"/>
              </w:rPr>
            </w:pPr>
            <w:r w:rsidRPr="00CF7396">
              <w:rPr>
                <w:i/>
                <w:iCs/>
                <w:color w:val="000000" w:themeColor="text1"/>
                <w:lang w:val="es-CR"/>
              </w:rPr>
              <w:t>“8.19 Tomar las acciones correctivas y disciplinarias relacionadas con los despachos que presentan clasificación D, dado que corresponden a oficinas que mantienen áreas críticas ligadas al rendimiento e incumplimiento del personal, entre estos: Juzgado Agrario, Juzgado de Familia, Juzgado de Trabajo, Tribunal Colegiado de Primer Instancia Civil y el Tribunal Penal del Primer Circuito Judicial de la Zona Atlántica.”</w:t>
            </w:r>
          </w:p>
        </w:tc>
        <w:tc>
          <w:tcPr>
            <w:tcW w:w="1500" w:type="pct"/>
            <w:shd w:val="clear" w:color="auto" w:fill="auto"/>
          </w:tcPr>
          <w:p w14:paraId="284ED99F" w14:textId="77777777" w:rsidR="00CF7396" w:rsidRPr="00CF7396" w:rsidRDefault="00CF7396" w:rsidP="00CF7396">
            <w:pPr>
              <w:tabs>
                <w:tab w:val="left" w:pos="227"/>
              </w:tabs>
              <w:ind w:right="82"/>
              <w:jc w:val="both"/>
              <w:rPr>
                <w:rFonts w:eastAsia="Book Antiqua"/>
                <w:i/>
                <w:iCs/>
                <w:color w:val="000000" w:themeColor="text1"/>
                <w:lang w:val="es-CR"/>
              </w:rPr>
            </w:pPr>
            <w:r w:rsidRPr="00CF7396">
              <w:rPr>
                <w:rFonts w:eastAsia="Book Antiqua"/>
                <w:i/>
                <w:iCs/>
                <w:color w:val="000000" w:themeColor="text1"/>
                <w:shd w:val="clear" w:color="auto" w:fill="FFFFFF"/>
                <w:lang w:val="es-CR"/>
              </w:rPr>
              <w:t xml:space="preserve">Eliminar la recomendación, tomando </w:t>
            </w:r>
            <w:r w:rsidRPr="00CF7396">
              <w:rPr>
                <w:rFonts w:eastAsia="Book Antiqua"/>
                <w:i/>
                <w:iCs/>
                <w:color w:val="000000" w:themeColor="text1"/>
                <w:lang w:val="es-CR"/>
              </w:rPr>
              <w:t>en cuenta que:</w:t>
            </w:r>
          </w:p>
          <w:p w14:paraId="73FF6334" w14:textId="77777777" w:rsidR="00CF7396" w:rsidRPr="00CF7396" w:rsidRDefault="00CF7396" w:rsidP="00CF7396">
            <w:pPr>
              <w:tabs>
                <w:tab w:val="left" w:pos="227"/>
              </w:tabs>
              <w:ind w:right="82"/>
              <w:jc w:val="both"/>
              <w:rPr>
                <w:rFonts w:eastAsia="Book Antiqua"/>
                <w:i/>
                <w:iCs/>
                <w:color w:val="000000" w:themeColor="text1"/>
                <w:lang w:val="es-CR"/>
              </w:rPr>
            </w:pPr>
          </w:p>
          <w:p w14:paraId="278DB5CE" w14:textId="77777777" w:rsidR="00CF7396" w:rsidRPr="00CF7396" w:rsidRDefault="00CF7396" w:rsidP="00CF7396">
            <w:pPr>
              <w:numPr>
                <w:ilvl w:val="0"/>
                <w:numId w:val="61"/>
              </w:numPr>
              <w:tabs>
                <w:tab w:val="left" w:pos="227"/>
              </w:tabs>
              <w:ind w:right="82"/>
              <w:contextualSpacing/>
              <w:jc w:val="both"/>
              <w:rPr>
                <w:rFonts w:eastAsia="Book Antiqua"/>
                <w:i/>
                <w:iCs/>
                <w:color w:val="000000" w:themeColor="text1"/>
                <w:lang w:val="es-CR"/>
              </w:rPr>
            </w:pPr>
            <w:r w:rsidRPr="00CF7396">
              <w:rPr>
                <w:rFonts w:eastAsia="Book Antiqua"/>
                <w:i/>
                <w:iCs/>
                <w:color w:val="000000" w:themeColor="text1"/>
                <w:lang w:val="es-CR"/>
              </w:rPr>
              <w:t>La creación del CACMFJ, tiene como objetivo Establecer una estructura organizacional de alto nivel que asuma el apoyo, coordinación, control, seguimiento y mejora continua de la gestión de los despachos jurisdiccionales del país.</w:t>
            </w:r>
          </w:p>
          <w:p w14:paraId="028479AE" w14:textId="77777777" w:rsidR="00CF7396" w:rsidRPr="00CF7396" w:rsidRDefault="00CF7396" w:rsidP="00CF7396">
            <w:pPr>
              <w:tabs>
                <w:tab w:val="left" w:pos="227"/>
              </w:tabs>
              <w:ind w:right="82"/>
              <w:jc w:val="both"/>
              <w:rPr>
                <w:rFonts w:eastAsia="Book Antiqua"/>
                <w:i/>
                <w:iCs/>
                <w:color w:val="000000" w:themeColor="text1"/>
                <w:lang w:val="es-CR"/>
              </w:rPr>
            </w:pPr>
          </w:p>
          <w:p w14:paraId="2F3CB385" w14:textId="77777777" w:rsidR="00CF7396" w:rsidRPr="00CF7396" w:rsidRDefault="00CF7396" w:rsidP="00CF7396">
            <w:pPr>
              <w:numPr>
                <w:ilvl w:val="0"/>
                <w:numId w:val="60"/>
              </w:numPr>
              <w:tabs>
                <w:tab w:val="left" w:pos="227"/>
              </w:tabs>
              <w:ind w:right="82"/>
              <w:contextualSpacing/>
              <w:jc w:val="both"/>
              <w:rPr>
                <w:rFonts w:eastAsia="Verdana"/>
                <w:i/>
                <w:iCs/>
                <w:color w:val="000000" w:themeColor="text1"/>
                <w:lang w:val="es-CR"/>
              </w:rPr>
            </w:pPr>
            <w:r w:rsidRPr="00CF7396">
              <w:rPr>
                <w:rFonts w:eastAsia="Book Antiqua"/>
                <w:i/>
                <w:iCs/>
                <w:color w:val="000000" w:themeColor="text1"/>
                <w:lang w:val="es-CR"/>
              </w:rPr>
              <w:t>La competencia disciplinaria se da por reserva de ley, a esos efectos, la Ley Orgánica del Poder Judicial, establece que:</w:t>
            </w:r>
          </w:p>
          <w:p w14:paraId="46BFCEB5" w14:textId="77777777" w:rsidR="00CF7396" w:rsidRPr="00CF7396" w:rsidRDefault="00CF7396" w:rsidP="00CF7396">
            <w:pPr>
              <w:tabs>
                <w:tab w:val="left" w:pos="227"/>
              </w:tabs>
              <w:ind w:right="82"/>
              <w:jc w:val="both"/>
              <w:rPr>
                <w:rFonts w:eastAsia="Verdana"/>
                <w:i/>
                <w:iCs/>
                <w:color w:val="000000" w:themeColor="text1"/>
                <w:lang w:val="es-CR"/>
              </w:rPr>
            </w:pPr>
          </w:p>
          <w:p w14:paraId="4769DAFB" w14:textId="77777777" w:rsidR="00CF7396" w:rsidRPr="00CF7396" w:rsidRDefault="00CF7396" w:rsidP="00CF7396">
            <w:pPr>
              <w:tabs>
                <w:tab w:val="left" w:pos="227"/>
              </w:tabs>
              <w:ind w:right="82"/>
              <w:jc w:val="both"/>
              <w:rPr>
                <w:rFonts w:eastAsia="Book Antiqua"/>
                <w:i/>
                <w:iCs/>
                <w:color w:val="000000" w:themeColor="text1"/>
                <w:lang w:val="es-CR"/>
              </w:rPr>
            </w:pPr>
            <w:r w:rsidRPr="00CF7396">
              <w:rPr>
                <w:rFonts w:eastAsia="Book Antiqua"/>
                <w:i/>
                <w:iCs/>
                <w:color w:val="000000" w:themeColor="text1"/>
                <w:lang w:val="es-CR"/>
              </w:rPr>
              <w:t>Artículo 184.- El Tribunal de la Inspección Judicial es un órgano dependiente del Consejo Superior; ejerce control regular y constante sobre todos los servidores del Poder Judicial, incluidos los del Organismo de Investigación Judicial y con excepción de los señalados en los dos artículos anteriores; vigila el buen cumplimiento de los deberes; tramita las quejas que se presenten contra esos servidores; instruye las informaciones al tener conocimiento de alguna irregularidad y resuelve lo que proceda respecto del régimen disciplinario, sin perjuicio de las atribuciones que tengan en la materia otros órganos y funcionarios del Poder Judicial.</w:t>
            </w:r>
          </w:p>
          <w:p w14:paraId="4302B83C" w14:textId="77777777" w:rsidR="00CF7396" w:rsidRPr="00CF7396" w:rsidRDefault="00CF7396" w:rsidP="00CF7396">
            <w:pPr>
              <w:tabs>
                <w:tab w:val="left" w:pos="227"/>
              </w:tabs>
              <w:ind w:right="82"/>
              <w:jc w:val="both"/>
              <w:rPr>
                <w:rFonts w:eastAsia="Verdana"/>
                <w:i/>
                <w:iCs/>
                <w:color w:val="000000" w:themeColor="text1"/>
                <w:lang w:val="es-CR"/>
              </w:rPr>
            </w:pPr>
          </w:p>
          <w:p w14:paraId="5A62A299" w14:textId="77777777" w:rsidR="00CF7396" w:rsidRPr="00CF7396" w:rsidRDefault="00CF7396" w:rsidP="00CF7396">
            <w:pPr>
              <w:tabs>
                <w:tab w:val="left" w:pos="227"/>
              </w:tabs>
              <w:ind w:right="82"/>
              <w:jc w:val="both"/>
              <w:rPr>
                <w:rFonts w:eastAsia="Book Antiqua"/>
                <w:i/>
                <w:iCs/>
                <w:color w:val="000000" w:themeColor="text1"/>
                <w:lang w:val="es-CR"/>
              </w:rPr>
            </w:pPr>
            <w:r w:rsidRPr="00CF7396">
              <w:rPr>
                <w:rFonts w:eastAsia="Book Antiqua"/>
                <w:i/>
                <w:iCs/>
                <w:color w:val="000000" w:themeColor="text1"/>
                <w:shd w:val="clear" w:color="auto" w:fill="FFFFFF"/>
                <w:lang w:val="es-CR"/>
              </w:rPr>
              <w:t>Por ello, la competencia para iniciar la investigación en un proceso disciplinario debe ser comunicado al Tribunal de la Inspección Judicial a partir del hallazgo de quien determine la falta, en ese sentido el artículo 211, refiere:</w:t>
            </w:r>
          </w:p>
          <w:p w14:paraId="1504A864" w14:textId="77777777" w:rsidR="00CF7396" w:rsidRPr="00CF7396" w:rsidRDefault="00CF7396" w:rsidP="00CF7396">
            <w:pPr>
              <w:tabs>
                <w:tab w:val="left" w:pos="227"/>
              </w:tabs>
              <w:ind w:right="82"/>
              <w:jc w:val="both"/>
              <w:rPr>
                <w:rFonts w:eastAsia="Book Antiqua"/>
                <w:i/>
                <w:iCs/>
                <w:color w:val="000000" w:themeColor="text1"/>
                <w:shd w:val="clear" w:color="auto" w:fill="FFFFFF"/>
                <w:lang w:val="es-CR"/>
              </w:rPr>
            </w:pPr>
          </w:p>
          <w:p w14:paraId="6EBCD1E0" w14:textId="77777777" w:rsidR="00CF7396" w:rsidRPr="00CF7396" w:rsidRDefault="00CF7396" w:rsidP="00CF7396">
            <w:pPr>
              <w:jc w:val="both"/>
              <w:rPr>
                <w:rFonts w:eastAsia="Book Antiqua"/>
                <w:i/>
                <w:iCs/>
                <w:color w:val="000000" w:themeColor="text1"/>
                <w:lang w:val="es-CR"/>
              </w:rPr>
            </w:pPr>
            <w:r w:rsidRPr="00CF7396">
              <w:rPr>
                <w:rFonts w:eastAsia="Book Antiqua"/>
                <w:i/>
                <w:iCs/>
                <w:color w:val="000000" w:themeColor="text1"/>
                <w:lang w:val="es-CR"/>
              </w:rPr>
              <w:t>Artículo 211.- La acción para investigar las faltas deberá iniciarse, dentro del mes siguiente a la fecha en que quien deba levantar la investigación tenga conocimiento de ellas. La investigación deberá concluirse dentro del año siguiente a la fecha de su inicio y si procediere sancionar, la sanción que corresponda deberá imponerse dentro del mes siguiente a contar del momento en que quien deba hacerlo esté en posibilidad de pronunciarse. Contra lo resuelto siempre cabrá recurso de apelación, salvo que correspondiere a la Corte, contra cuyo pronunciamiento sólo cabrá el de reposición o reconsideración.</w:t>
            </w:r>
          </w:p>
          <w:p w14:paraId="5CCC7E80" w14:textId="77777777" w:rsidR="00CF7396" w:rsidRPr="00CF7396" w:rsidRDefault="00CF7396" w:rsidP="00CF7396">
            <w:pPr>
              <w:jc w:val="both"/>
              <w:rPr>
                <w:rFonts w:eastAsia="Book Antiqua"/>
                <w:i/>
                <w:iCs/>
                <w:color w:val="000000" w:themeColor="text1"/>
                <w:shd w:val="clear" w:color="auto" w:fill="FFFFFF"/>
                <w:lang w:val="es-CR"/>
              </w:rPr>
            </w:pPr>
          </w:p>
          <w:p w14:paraId="2C1DE5B8" w14:textId="77777777" w:rsidR="00CF7396" w:rsidRPr="00CF7396" w:rsidRDefault="00CF7396" w:rsidP="00CF7396">
            <w:pPr>
              <w:jc w:val="both"/>
              <w:rPr>
                <w:rFonts w:eastAsia="Book Antiqua"/>
                <w:i/>
                <w:iCs/>
                <w:color w:val="000000" w:themeColor="text1"/>
                <w:shd w:val="clear" w:color="auto" w:fill="FFFFFF"/>
                <w:lang w:val="es-CR"/>
              </w:rPr>
            </w:pPr>
            <w:r w:rsidRPr="00CF7396">
              <w:rPr>
                <w:rFonts w:eastAsia="Book Antiqua"/>
                <w:i/>
                <w:iCs/>
                <w:color w:val="000000" w:themeColor="text1"/>
                <w:lang w:val="es-CR"/>
              </w:rPr>
              <w:t>Cuando se estimaren insuficientes los elementos de prueba para pronunciarse y hubiere proceso penal sobre los mismos hechos, la prescripción para aplicar la sanción disciplinaria se suspenderá.</w:t>
            </w:r>
          </w:p>
          <w:p w14:paraId="120288EE" w14:textId="77777777" w:rsidR="00CF7396" w:rsidRPr="00CF7396" w:rsidRDefault="00CF7396" w:rsidP="00CF7396">
            <w:pPr>
              <w:tabs>
                <w:tab w:val="left" w:pos="227"/>
              </w:tabs>
              <w:ind w:right="82"/>
              <w:jc w:val="both"/>
              <w:rPr>
                <w:rFonts w:eastAsia="Book Antiqua"/>
                <w:i/>
                <w:iCs/>
                <w:color w:val="000000" w:themeColor="text1"/>
                <w:shd w:val="clear" w:color="auto" w:fill="FFFFFF"/>
                <w:lang w:val="es-CR"/>
              </w:rPr>
            </w:pPr>
          </w:p>
          <w:p w14:paraId="064BD813" w14:textId="77777777" w:rsidR="00CF7396" w:rsidRPr="00CF7396" w:rsidRDefault="00CF7396" w:rsidP="00CF7396">
            <w:pPr>
              <w:tabs>
                <w:tab w:val="left" w:pos="227"/>
              </w:tabs>
              <w:ind w:left="38" w:right="82"/>
              <w:jc w:val="both"/>
              <w:rPr>
                <w:rFonts w:eastAsia="Book Antiqua"/>
                <w:i/>
                <w:iCs/>
                <w:color w:val="000000" w:themeColor="text1"/>
                <w:lang w:val="es-CR"/>
              </w:rPr>
            </w:pPr>
            <w:r w:rsidRPr="00CF7396">
              <w:rPr>
                <w:rFonts w:eastAsia="Book Antiqua"/>
                <w:i/>
                <w:iCs/>
                <w:color w:val="000000" w:themeColor="text1"/>
                <w:lang w:val="es-CR"/>
              </w:rPr>
              <w:t xml:space="preserve">Tomando en cuenta que los indicadores son analizados por los profesionales de los Circuitos (Dirección de Planificación y Administración Regional), y ellos presentan ante los Consejos de Administración el incumplimiento de los despachos, serían estos bajo el Modelo de Sostenibilidad, los llamados en primer lugar a comunicar la falta a las instancias respectivas. De conformidad con las potestades que la Corte </w:t>
            </w:r>
            <w:r w:rsidRPr="00CF7396">
              <w:rPr>
                <w:rFonts w:eastAsia="Book Antiqua"/>
                <w:i/>
                <w:iCs/>
                <w:color w:val="000000" w:themeColor="text1"/>
                <w:u w:val="single"/>
                <w:lang w:val="es-CR"/>
              </w:rPr>
              <w:t>Plena le otorga a los Consejos de Administración</w:t>
            </w:r>
            <w:r w:rsidRPr="00CF7396">
              <w:rPr>
                <w:rFonts w:eastAsia="Book Antiqua"/>
                <w:i/>
                <w:iCs/>
                <w:color w:val="000000" w:themeColor="text1"/>
                <w:lang w:val="es-CR"/>
              </w:rPr>
              <w:t xml:space="preserve">, (Circular 11-2001 sobre Reglamento del Consejo de Administración de Circuito) </w:t>
            </w:r>
            <w:r w:rsidRPr="00CF7396">
              <w:rPr>
                <w:rFonts w:eastAsia="Book Antiqua"/>
                <w:i/>
                <w:iCs/>
                <w:color w:val="000000" w:themeColor="text1"/>
                <w:vertAlign w:val="superscript"/>
                <w:lang w:val="es-CR"/>
              </w:rPr>
              <w:footnoteReference w:id="7"/>
            </w:r>
          </w:p>
          <w:p w14:paraId="26ACFA90" w14:textId="77777777" w:rsidR="00CF7396" w:rsidRPr="00CF7396" w:rsidRDefault="00CF7396" w:rsidP="00CF7396">
            <w:pPr>
              <w:tabs>
                <w:tab w:val="left" w:pos="227"/>
              </w:tabs>
              <w:ind w:left="38" w:right="82"/>
              <w:jc w:val="both"/>
              <w:rPr>
                <w:rFonts w:eastAsia="Book Antiqua"/>
                <w:i/>
                <w:iCs/>
                <w:color w:val="000000" w:themeColor="text1"/>
                <w:lang w:val="es-CR"/>
              </w:rPr>
            </w:pPr>
          </w:p>
          <w:p w14:paraId="55153FDA" w14:textId="77777777" w:rsidR="00CF7396" w:rsidRPr="00CF7396" w:rsidRDefault="00CF7396" w:rsidP="00CF7396">
            <w:pPr>
              <w:jc w:val="both"/>
              <w:rPr>
                <w:rFonts w:eastAsia="Book Antiqua"/>
                <w:i/>
                <w:iCs/>
                <w:color w:val="000000" w:themeColor="text1"/>
                <w:lang w:val="es-CR"/>
              </w:rPr>
            </w:pPr>
            <w:r w:rsidRPr="00CF7396">
              <w:rPr>
                <w:rFonts w:eastAsia="Book Antiqua"/>
                <w:i/>
                <w:iCs/>
                <w:color w:val="000000" w:themeColor="text1"/>
                <w:lang w:val="es-CR"/>
              </w:rPr>
              <w:t xml:space="preserve">Por último, de conformidad con el acuerdo tomado por el Consejo Superior, en sesión </w:t>
            </w:r>
            <w:proofErr w:type="spellStart"/>
            <w:r w:rsidRPr="00CF7396">
              <w:rPr>
                <w:rFonts w:eastAsia="Book Antiqua"/>
                <w:i/>
                <w:iCs/>
                <w:color w:val="000000" w:themeColor="text1"/>
                <w:lang w:val="es-CR"/>
              </w:rPr>
              <w:t>N°</w:t>
            </w:r>
            <w:proofErr w:type="spellEnd"/>
            <w:r w:rsidRPr="00CF7396">
              <w:rPr>
                <w:rFonts w:eastAsia="Book Antiqua"/>
                <w:i/>
                <w:iCs/>
                <w:color w:val="000000" w:themeColor="text1"/>
                <w:lang w:val="es-CR"/>
              </w:rPr>
              <w:t xml:space="preserve"> 70-2020 celebrada el 9 de julio del 2020, artículo LVIII, se mantiene pendiente entre ambas direcciones incluir el Régimen Disciplinario ante el incumplimiento de las acciones establecidas en el procedimiento del Modelo de Sostenibilidad.</w:t>
            </w:r>
          </w:p>
          <w:p w14:paraId="2B3F6A5C" w14:textId="77777777" w:rsidR="00CF7396" w:rsidRPr="00CF7396" w:rsidRDefault="00CF7396" w:rsidP="00CF7396">
            <w:pPr>
              <w:tabs>
                <w:tab w:val="left" w:pos="345"/>
              </w:tabs>
              <w:ind w:right="82"/>
              <w:jc w:val="both"/>
              <w:rPr>
                <w:rFonts w:eastAsia="Book Antiqua"/>
                <w:i/>
                <w:iCs/>
                <w:color w:val="000000" w:themeColor="text1"/>
                <w:lang w:val="es-CR"/>
              </w:rPr>
            </w:pPr>
            <w:r w:rsidRPr="00CF7396">
              <w:rPr>
                <w:rFonts w:eastAsia="Book Antiqua"/>
                <w:i/>
                <w:iCs/>
                <w:color w:val="000000" w:themeColor="text1"/>
                <w:lang w:val="es-CR"/>
              </w:rPr>
              <w:t>Se está a la espera que la Dirección de Planificación envíe la consulta de la última versión del Modelo de Sostenibilidad de previo a que sea aprobado por el Consejo Superior.</w:t>
            </w:r>
          </w:p>
          <w:p w14:paraId="3AE00EEF" w14:textId="77777777" w:rsidR="00CF7396" w:rsidRPr="00CF7396" w:rsidRDefault="00CF7396" w:rsidP="00CF7396">
            <w:pPr>
              <w:widowControl w:val="0"/>
              <w:autoSpaceDE w:val="0"/>
              <w:autoSpaceDN w:val="0"/>
              <w:adjustRightInd w:val="0"/>
              <w:jc w:val="both"/>
              <w:rPr>
                <w:i/>
                <w:iCs/>
                <w:color w:val="000000" w:themeColor="text1"/>
                <w:shd w:val="clear" w:color="auto" w:fill="FFFFFF"/>
                <w:lang w:val="es-CR"/>
              </w:rPr>
            </w:pPr>
          </w:p>
        </w:tc>
        <w:tc>
          <w:tcPr>
            <w:tcW w:w="1271" w:type="pct"/>
          </w:tcPr>
          <w:p w14:paraId="40A9B38D" w14:textId="77777777" w:rsidR="00CF7396" w:rsidRPr="00CF7396" w:rsidRDefault="00CF7396" w:rsidP="00CF7396">
            <w:pPr>
              <w:tabs>
                <w:tab w:val="left" w:pos="227"/>
              </w:tabs>
              <w:ind w:right="82"/>
              <w:jc w:val="both"/>
              <w:rPr>
                <w:b/>
                <w:i/>
                <w:color w:val="000000" w:themeColor="text1"/>
                <w:lang w:val="es-CR"/>
              </w:rPr>
            </w:pPr>
            <w:r w:rsidRPr="00CF7396">
              <w:rPr>
                <w:b/>
                <w:i/>
                <w:color w:val="000000" w:themeColor="text1"/>
                <w:lang w:val="es-CR"/>
              </w:rPr>
              <w:t>En relación con eliminar la recomendación emitida al CACMFJ sobre “tomar acciones correctivas y disciplinarias”.</w:t>
            </w:r>
          </w:p>
          <w:p w14:paraId="495A0210" w14:textId="77777777" w:rsidR="00CF7396" w:rsidRPr="00CF7396" w:rsidRDefault="00CF7396" w:rsidP="00CF7396">
            <w:pPr>
              <w:tabs>
                <w:tab w:val="left" w:pos="227"/>
              </w:tabs>
              <w:ind w:right="82"/>
              <w:jc w:val="both"/>
              <w:rPr>
                <w:b/>
                <w:i/>
                <w:color w:val="000000" w:themeColor="text1"/>
                <w:lang w:val="es-CR"/>
              </w:rPr>
            </w:pPr>
          </w:p>
          <w:p w14:paraId="1D0DF17D" w14:textId="77777777" w:rsidR="00CF7396" w:rsidRPr="00CF7396" w:rsidRDefault="00CF7396" w:rsidP="00CF7396">
            <w:pPr>
              <w:tabs>
                <w:tab w:val="left" w:pos="227"/>
              </w:tabs>
              <w:ind w:right="82"/>
              <w:jc w:val="both"/>
              <w:rPr>
                <w:b/>
                <w:i/>
                <w:color w:val="000000" w:themeColor="text1"/>
                <w:lang w:val="es-CR"/>
              </w:rPr>
            </w:pPr>
          </w:p>
          <w:p w14:paraId="3AF5FB70" w14:textId="77777777" w:rsidR="00CF7396" w:rsidRPr="00CF7396" w:rsidRDefault="00CF7396" w:rsidP="00CF7396">
            <w:pPr>
              <w:tabs>
                <w:tab w:val="left" w:pos="227"/>
              </w:tabs>
              <w:ind w:right="82"/>
              <w:jc w:val="both"/>
              <w:rPr>
                <w:i/>
                <w:color w:val="000000" w:themeColor="text1"/>
                <w:lang w:val="es-CR"/>
              </w:rPr>
            </w:pPr>
            <w:r w:rsidRPr="00CF7396">
              <w:rPr>
                <w:color w:val="000000" w:themeColor="text1"/>
                <w:lang w:val="es-CR"/>
              </w:rPr>
              <w:t>Se procede ajustar la recomendación indicada; de manera que, se indique</w:t>
            </w:r>
            <w:r w:rsidRPr="00CF7396">
              <w:rPr>
                <w:i/>
                <w:color w:val="000000" w:themeColor="text1"/>
                <w:lang w:val="es-CR"/>
              </w:rPr>
              <w:t>: “Analizar las actas del Consejo de Administración de cada Circuito, a fin de verificar el cumplimiento de los indicadores de gestión en los despachos y los planes de mejora implementados, a fin de remitir a conocimiento del Consejo Superior los incumplimientos trimestrales.</w:t>
            </w:r>
          </w:p>
          <w:p w14:paraId="09BBC5EB" w14:textId="77777777" w:rsidR="00CF7396" w:rsidRPr="00CF7396" w:rsidRDefault="00CF7396" w:rsidP="00CF7396">
            <w:pPr>
              <w:tabs>
                <w:tab w:val="left" w:pos="227"/>
              </w:tabs>
              <w:ind w:right="82"/>
              <w:jc w:val="both"/>
              <w:rPr>
                <w:i/>
                <w:color w:val="000000" w:themeColor="text1"/>
                <w:lang w:val="es-CR"/>
              </w:rPr>
            </w:pPr>
          </w:p>
          <w:p w14:paraId="03A46DC4" w14:textId="77777777" w:rsidR="00CF7396" w:rsidRPr="00CF7396" w:rsidRDefault="00CF7396" w:rsidP="00CF7396">
            <w:pPr>
              <w:tabs>
                <w:tab w:val="left" w:pos="227"/>
              </w:tabs>
              <w:ind w:right="82"/>
              <w:jc w:val="both"/>
              <w:rPr>
                <w:bCs/>
                <w:i/>
                <w:color w:val="000000" w:themeColor="text1"/>
                <w:lang w:val="es-CR"/>
              </w:rPr>
            </w:pPr>
            <w:r w:rsidRPr="00CF7396">
              <w:rPr>
                <w:i/>
                <w:color w:val="000000" w:themeColor="text1"/>
                <w:lang w:val="es-CR"/>
              </w:rPr>
              <w:t>Fiscalizar el cumplimiento en la aplicación del Modelo de Seguimiento y Sostenibilidad en cada Circuito Judicial en un período de tiempo, como parte final del proceso, lo cual debe ir en concordancia con el cumplimiento de los parámetros establecidos en los indicadores de gestión, con la finalidad de tomar las acciones que sean necesarias tanto a nivel colectivo como individual, respecto del cumplimiento de las labores que han sido encomendadas al personal que conforma cada uno de los despachos y oficinas en los respectivos circuitos”.</w:t>
            </w:r>
          </w:p>
          <w:p w14:paraId="56139DD1" w14:textId="77777777" w:rsidR="00CF7396" w:rsidRPr="00CF7396" w:rsidRDefault="00CF7396" w:rsidP="00CF7396">
            <w:pPr>
              <w:tabs>
                <w:tab w:val="left" w:pos="227"/>
              </w:tabs>
              <w:ind w:right="82"/>
              <w:jc w:val="both"/>
              <w:rPr>
                <w:bCs/>
                <w:i/>
                <w:color w:val="000000" w:themeColor="text1"/>
                <w:lang w:val="es-CR"/>
              </w:rPr>
            </w:pPr>
          </w:p>
          <w:p w14:paraId="499A3BCF" w14:textId="77777777" w:rsidR="00CF7396" w:rsidRPr="00CF7396" w:rsidRDefault="00CF7396" w:rsidP="00CF7396">
            <w:pPr>
              <w:widowControl w:val="0"/>
              <w:autoSpaceDE w:val="0"/>
              <w:autoSpaceDN w:val="0"/>
              <w:adjustRightInd w:val="0"/>
              <w:jc w:val="both"/>
              <w:rPr>
                <w:color w:val="000000" w:themeColor="text1"/>
                <w:lang w:val="es-CR"/>
              </w:rPr>
            </w:pPr>
            <w:r w:rsidRPr="00CF7396">
              <w:rPr>
                <w:bCs/>
                <w:iCs/>
                <w:color w:val="000000" w:themeColor="text1"/>
                <w:lang w:val="es-CR"/>
              </w:rPr>
              <w:t>Por lo anterior se modifica el contenido del informe en el punto 8.19</w:t>
            </w:r>
          </w:p>
        </w:tc>
      </w:tr>
      <w:tr w:rsidR="00CF7396" w:rsidRPr="00CF7396" w14:paraId="34914F54" w14:textId="77777777" w:rsidTr="00AF369B">
        <w:trPr>
          <w:trHeight w:val="242"/>
        </w:trPr>
        <w:tc>
          <w:tcPr>
            <w:tcW w:w="214" w:type="pct"/>
          </w:tcPr>
          <w:p w14:paraId="28F3907D" w14:textId="77777777" w:rsidR="00CF7396" w:rsidRPr="00CF7396" w:rsidRDefault="00CF7396" w:rsidP="00CF7396">
            <w:pPr>
              <w:widowControl w:val="0"/>
              <w:autoSpaceDE w:val="0"/>
              <w:autoSpaceDN w:val="0"/>
              <w:adjustRightInd w:val="0"/>
              <w:jc w:val="center"/>
              <w:rPr>
                <w:color w:val="000000" w:themeColor="text1"/>
                <w:lang w:val="es-CR"/>
              </w:rPr>
            </w:pPr>
            <w:r w:rsidRPr="00CF7396">
              <w:rPr>
                <w:color w:val="000000" w:themeColor="text1"/>
                <w:lang w:val="es-CR"/>
              </w:rPr>
              <w:t>9</w:t>
            </w:r>
          </w:p>
        </w:tc>
        <w:tc>
          <w:tcPr>
            <w:tcW w:w="414" w:type="pct"/>
            <w:shd w:val="clear" w:color="auto" w:fill="auto"/>
          </w:tcPr>
          <w:p w14:paraId="22FAD67E" w14:textId="77777777" w:rsidR="00CF7396" w:rsidRPr="00CF7396" w:rsidRDefault="00CF7396" w:rsidP="00CF7396">
            <w:pPr>
              <w:widowControl w:val="0"/>
              <w:autoSpaceDE w:val="0"/>
              <w:autoSpaceDN w:val="0"/>
              <w:adjustRightInd w:val="0"/>
              <w:jc w:val="center"/>
              <w:rPr>
                <w:i/>
                <w:iCs/>
                <w:color w:val="000000" w:themeColor="text1"/>
                <w:lang w:val="es-CR"/>
              </w:rPr>
            </w:pPr>
            <w:r w:rsidRPr="00CF7396">
              <w:rPr>
                <w:i/>
                <w:iCs/>
                <w:color w:val="000000" w:themeColor="text1"/>
                <w:lang w:val="es-CR"/>
              </w:rPr>
              <w:t>97</w:t>
            </w:r>
          </w:p>
        </w:tc>
        <w:tc>
          <w:tcPr>
            <w:tcW w:w="1600" w:type="pct"/>
            <w:shd w:val="clear" w:color="auto" w:fill="auto"/>
          </w:tcPr>
          <w:p w14:paraId="0C035367" w14:textId="77777777" w:rsidR="00CF7396" w:rsidRPr="00CF7396" w:rsidRDefault="00CF7396" w:rsidP="00CF7396">
            <w:pPr>
              <w:jc w:val="both"/>
              <w:rPr>
                <w:i/>
                <w:iCs/>
                <w:color w:val="000000" w:themeColor="text1"/>
                <w:lang w:val="es-CR"/>
              </w:rPr>
            </w:pPr>
            <w:r w:rsidRPr="00CF7396">
              <w:rPr>
                <w:i/>
                <w:iCs/>
                <w:color w:val="000000" w:themeColor="text1"/>
                <w:lang w:val="es-CR"/>
              </w:rPr>
              <w:t>“8.20 Tomar en consideración para la elaboración de planes de descongestionamiento a nivel nacional, los diferentes indicadores críticos relacionados a que las cargas de trabajo sobrepasen su capacidad instalada y que existe compromiso por el despacho en el cumplimiento de cuotas (Clasificación E). Entre estos despachos: el Juzgado de Trabajo, Juzgado de Cobro, Tribunal Penal del Primer Circuito Judicial de la Zona Atlántica y en el caso del Juzgado Agrario de dicho Circuito en cuanto a las audiencias pendientes.”</w:t>
            </w:r>
          </w:p>
          <w:p w14:paraId="76A34FA9" w14:textId="77777777" w:rsidR="00CF7396" w:rsidRPr="00CF7396" w:rsidRDefault="00CF7396" w:rsidP="00CF7396">
            <w:pPr>
              <w:widowControl w:val="0"/>
              <w:autoSpaceDE w:val="0"/>
              <w:autoSpaceDN w:val="0"/>
              <w:adjustRightInd w:val="0"/>
              <w:jc w:val="center"/>
              <w:rPr>
                <w:i/>
                <w:iCs/>
                <w:color w:val="000000" w:themeColor="text1"/>
                <w:lang w:val="es-CR"/>
              </w:rPr>
            </w:pPr>
          </w:p>
        </w:tc>
        <w:tc>
          <w:tcPr>
            <w:tcW w:w="1500" w:type="pct"/>
            <w:shd w:val="clear" w:color="auto" w:fill="auto"/>
          </w:tcPr>
          <w:p w14:paraId="7233FDE7" w14:textId="77777777" w:rsidR="00CF7396" w:rsidRPr="00CF7396" w:rsidRDefault="00CF7396" w:rsidP="00CF7396">
            <w:pPr>
              <w:tabs>
                <w:tab w:val="left" w:pos="180"/>
                <w:tab w:val="left" w:pos="356"/>
              </w:tabs>
              <w:ind w:right="82"/>
              <w:jc w:val="both"/>
              <w:rPr>
                <w:i/>
                <w:iCs/>
                <w:color w:val="000000" w:themeColor="text1"/>
                <w:lang w:val="es-CR"/>
              </w:rPr>
            </w:pPr>
            <w:r w:rsidRPr="00CF7396">
              <w:rPr>
                <w:i/>
                <w:iCs/>
                <w:color w:val="000000" w:themeColor="text1"/>
                <w:lang w:val="es-CR"/>
              </w:rPr>
              <w:t>En la herramienta “Modelo de Análisis Integral de Despachos y Oficinas” no se tiene claridad cual “nivel de criticidad” es menos desfavorable para los despachos jurisdiccionales, si el D o el E. Parece que no hay un orden de criticidad de mayor a menor criticidad o viceversa.  Asimismo, se citan algunos de los despachos que están en estado crítico, sin embargo, no se desprende del cuerpo del informe un análisis detallado de cada uno de los indicadores de los despachos que se encuentran en los niveles de criticidad C, D y E, para que el apoyo dado por el Profesional de Planificación brinde un valor agregado al despacho, que le permita retroalimentarse para establecer los planes remediales.</w:t>
            </w:r>
          </w:p>
          <w:p w14:paraId="4FA07C54" w14:textId="77777777" w:rsidR="00CF7396" w:rsidRPr="00CF7396" w:rsidRDefault="00CF7396" w:rsidP="00CF7396">
            <w:pPr>
              <w:widowControl w:val="0"/>
              <w:autoSpaceDE w:val="0"/>
              <w:autoSpaceDN w:val="0"/>
              <w:adjustRightInd w:val="0"/>
              <w:jc w:val="both"/>
              <w:rPr>
                <w:i/>
                <w:iCs/>
                <w:color w:val="000000" w:themeColor="text1"/>
                <w:lang w:val="es-CR"/>
              </w:rPr>
            </w:pPr>
          </w:p>
        </w:tc>
        <w:tc>
          <w:tcPr>
            <w:tcW w:w="1271" w:type="pct"/>
          </w:tcPr>
          <w:p w14:paraId="5ACE94A1" w14:textId="77777777" w:rsidR="00CF7396" w:rsidRPr="00CF7396" w:rsidRDefault="00CF7396" w:rsidP="00CF7396">
            <w:pPr>
              <w:tabs>
                <w:tab w:val="left" w:pos="227"/>
              </w:tabs>
              <w:ind w:right="82"/>
              <w:jc w:val="both"/>
              <w:rPr>
                <w:b/>
                <w:i/>
                <w:color w:val="000000" w:themeColor="text1"/>
                <w:lang w:val="es-CR"/>
              </w:rPr>
            </w:pPr>
            <w:r w:rsidRPr="00CF7396">
              <w:rPr>
                <w:b/>
                <w:i/>
                <w:color w:val="000000" w:themeColor="text1"/>
                <w:lang w:val="es-CR"/>
              </w:rPr>
              <w:t>En relación con la claridad de criticidad del Modelo de Análisis Integral de Despachos”</w:t>
            </w:r>
          </w:p>
          <w:p w14:paraId="4228D6D4" w14:textId="77777777" w:rsidR="00CF7396" w:rsidRPr="00CF7396" w:rsidRDefault="00CF7396" w:rsidP="00CF7396">
            <w:pPr>
              <w:tabs>
                <w:tab w:val="left" w:pos="227"/>
              </w:tabs>
              <w:ind w:right="82"/>
              <w:jc w:val="both"/>
              <w:rPr>
                <w:b/>
                <w:i/>
                <w:color w:val="000000" w:themeColor="text1"/>
                <w:lang w:val="es-CR"/>
              </w:rPr>
            </w:pPr>
          </w:p>
          <w:p w14:paraId="33C663E6" w14:textId="77777777" w:rsidR="00CF7396" w:rsidRPr="00CF7396" w:rsidRDefault="00CF7396" w:rsidP="00CF7396">
            <w:pPr>
              <w:tabs>
                <w:tab w:val="left" w:pos="227"/>
              </w:tabs>
              <w:ind w:right="82"/>
              <w:jc w:val="both"/>
              <w:rPr>
                <w:bCs/>
                <w:iCs/>
                <w:color w:val="000000" w:themeColor="text1"/>
                <w:lang w:val="es-CR"/>
              </w:rPr>
            </w:pPr>
            <w:r w:rsidRPr="00CF7396">
              <w:rPr>
                <w:bCs/>
                <w:iCs/>
                <w:color w:val="000000" w:themeColor="text1"/>
                <w:lang w:val="es-CR"/>
              </w:rPr>
              <w:t>Es una observación reiterada por parte del CACMFJ y así aclarada dentro del contenido del informe 1274-PLA-EV-2021 el cual fue conocido por el Consejo Superior en sesión 103-2021, art. XLVI.</w:t>
            </w:r>
          </w:p>
          <w:p w14:paraId="5CF34313" w14:textId="77777777" w:rsidR="00CF7396" w:rsidRPr="00CF7396" w:rsidRDefault="00CF7396" w:rsidP="00CF7396">
            <w:pPr>
              <w:tabs>
                <w:tab w:val="left" w:pos="227"/>
              </w:tabs>
              <w:ind w:right="82"/>
              <w:jc w:val="both"/>
              <w:rPr>
                <w:bCs/>
                <w:iCs/>
                <w:color w:val="000000" w:themeColor="text1"/>
                <w:lang w:val="es-CR"/>
              </w:rPr>
            </w:pPr>
          </w:p>
          <w:p w14:paraId="7B61058B" w14:textId="77777777" w:rsidR="00CF7396" w:rsidRPr="00CF7396" w:rsidRDefault="00CF7396" w:rsidP="00CF7396">
            <w:pPr>
              <w:tabs>
                <w:tab w:val="left" w:pos="227"/>
              </w:tabs>
              <w:ind w:right="82"/>
              <w:jc w:val="both"/>
              <w:rPr>
                <w:bCs/>
                <w:iCs/>
                <w:color w:val="000000" w:themeColor="text1"/>
                <w:lang w:val="es-CR"/>
              </w:rPr>
            </w:pPr>
            <w:r w:rsidRPr="00CF7396">
              <w:rPr>
                <w:bCs/>
                <w:iCs/>
                <w:color w:val="000000" w:themeColor="text1"/>
                <w:lang w:val="es-CR"/>
              </w:rPr>
              <w:t>Se toma nota de lo indicado por parte del CACMFJ lo cual no afecta el contenido del informe.</w:t>
            </w:r>
          </w:p>
          <w:p w14:paraId="541E96F0" w14:textId="77777777" w:rsidR="00CF7396" w:rsidRPr="00CF7396" w:rsidRDefault="00CF7396" w:rsidP="00CF7396">
            <w:pPr>
              <w:widowControl w:val="0"/>
              <w:autoSpaceDE w:val="0"/>
              <w:autoSpaceDN w:val="0"/>
              <w:adjustRightInd w:val="0"/>
              <w:jc w:val="both"/>
              <w:rPr>
                <w:color w:val="000000" w:themeColor="text1"/>
                <w:lang w:val="es-CR"/>
              </w:rPr>
            </w:pPr>
          </w:p>
        </w:tc>
      </w:tr>
      <w:tr w:rsidR="00CF7396" w:rsidRPr="00CF7396" w14:paraId="1EAB5643" w14:textId="77777777" w:rsidTr="00AF369B">
        <w:trPr>
          <w:trHeight w:val="242"/>
        </w:trPr>
        <w:tc>
          <w:tcPr>
            <w:tcW w:w="214" w:type="pct"/>
          </w:tcPr>
          <w:p w14:paraId="459D10B3" w14:textId="77777777" w:rsidR="00CF7396" w:rsidRPr="00CF7396" w:rsidRDefault="00CF7396" w:rsidP="00CF7396">
            <w:pPr>
              <w:widowControl w:val="0"/>
              <w:autoSpaceDE w:val="0"/>
              <w:autoSpaceDN w:val="0"/>
              <w:adjustRightInd w:val="0"/>
              <w:jc w:val="center"/>
              <w:rPr>
                <w:color w:val="000000" w:themeColor="text1"/>
                <w:lang w:val="es-CR"/>
              </w:rPr>
            </w:pPr>
            <w:r w:rsidRPr="00CF7396">
              <w:rPr>
                <w:color w:val="000000" w:themeColor="text1"/>
                <w:lang w:val="es-CR"/>
              </w:rPr>
              <w:t>10</w:t>
            </w:r>
          </w:p>
        </w:tc>
        <w:tc>
          <w:tcPr>
            <w:tcW w:w="414" w:type="pct"/>
            <w:shd w:val="clear" w:color="auto" w:fill="auto"/>
          </w:tcPr>
          <w:p w14:paraId="35966BEF" w14:textId="77777777" w:rsidR="00CF7396" w:rsidRPr="00CF7396" w:rsidRDefault="00CF7396" w:rsidP="00CF7396">
            <w:pPr>
              <w:widowControl w:val="0"/>
              <w:autoSpaceDE w:val="0"/>
              <w:autoSpaceDN w:val="0"/>
              <w:adjustRightInd w:val="0"/>
              <w:jc w:val="center"/>
              <w:rPr>
                <w:i/>
                <w:iCs/>
                <w:color w:val="000000" w:themeColor="text1"/>
                <w:lang w:val="es-CR"/>
              </w:rPr>
            </w:pPr>
            <w:r w:rsidRPr="00CF7396">
              <w:rPr>
                <w:i/>
                <w:iCs/>
                <w:color w:val="000000" w:themeColor="text1"/>
                <w:lang w:val="es-CR"/>
              </w:rPr>
              <w:t>97</w:t>
            </w:r>
          </w:p>
        </w:tc>
        <w:tc>
          <w:tcPr>
            <w:tcW w:w="1600" w:type="pct"/>
            <w:shd w:val="clear" w:color="auto" w:fill="auto"/>
          </w:tcPr>
          <w:p w14:paraId="66B77F8C" w14:textId="77777777" w:rsidR="00CF7396" w:rsidRPr="00CF7396" w:rsidRDefault="00CF7396" w:rsidP="00CF7396">
            <w:pPr>
              <w:widowControl w:val="0"/>
              <w:autoSpaceDE w:val="0"/>
              <w:autoSpaceDN w:val="0"/>
              <w:adjustRightInd w:val="0"/>
              <w:jc w:val="both"/>
              <w:rPr>
                <w:i/>
                <w:iCs/>
                <w:color w:val="000000" w:themeColor="text1"/>
                <w:lang w:val="es-CR"/>
              </w:rPr>
            </w:pPr>
            <w:r w:rsidRPr="00CF7396">
              <w:rPr>
                <w:rFonts w:eastAsia="Book Antiqua"/>
                <w:b/>
                <w:bCs/>
                <w:i/>
                <w:iCs/>
                <w:color w:val="000000" w:themeColor="text1"/>
                <w:lang w:val="es-CR"/>
              </w:rPr>
              <w:t>“</w:t>
            </w:r>
            <w:r w:rsidRPr="00CF7396">
              <w:rPr>
                <w:rFonts w:eastAsia="Book Antiqua"/>
                <w:i/>
                <w:iCs/>
                <w:color w:val="000000" w:themeColor="text1"/>
                <w:lang w:val="es-CR"/>
              </w:rPr>
              <w:t>8.21</w:t>
            </w:r>
            <w:r w:rsidRPr="00CF7396">
              <w:rPr>
                <w:rFonts w:eastAsia="Book Antiqua"/>
                <w:b/>
                <w:bCs/>
                <w:i/>
                <w:iCs/>
                <w:color w:val="000000" w:themeColor="text1"/>
                <w:lang w:val="es-CR"/>
              </w:rPr>
              <w:t xml:space="preserve"> </w:t>
            </w:r>
            <w:r w:rsidRPr="00CF7396">
              <w:rPr>
                <w:rFonts w:eastAsia="Book Antiqua"/>
                <w:i/>
                <w:iCs/>
                <w:color w:val="000000" w:themeColor="text1"/>
                <w:lang w:val="es-CR"/>
              </w:rPr>
              <w:t>Brindar seguimiento al desempeño del Licenciado Diego Meoño Piedra, Juez Coordinador del Juzgado de Cobro del Primer Circuito Judicial de la Zona Atlántica e informar al Consejo Superior acerca de los resultados. Lo anterior considerando lo señalado en el apartado 4.2.1 de este informe.”</w:t>
            </w:r>
          </w:p>
        </w:tc>
        <w:tc>
          <w:tcPr>
            <w:tcW w:w="1500" w:type="pct"/>
            <w:shd w:val="clear" w:color="auto" w:fill="auto"/>
          </w:tcPr>
          <w:p w14:paraId="28A501E4" w14:textId="77777777" w:rsidR="00CF7396" w:rsidRPr="00CF7396" w:rsidRDefault="00CF7396" w:rsidP="00CF7396">
            <w:pPr>
              <w:jc w:val="both"/>
              <w:rPr>
                <w:rFonts w:eastAsia="Book Antiqua"/>
                <w:i/>
                <w:iCs/>
                <w:color w:val="000000" w:themeColor="text1"/>
                <w:lang w:val="es-CR"/>
              </w:rPr>
            </w:pPr>
            <w:r w:rsidRPr="00CF7396">
              <w:rPr>
                <w:rFonts w:eastAsia="Book Antiqua"/>
                <w:i/>
                <w:iCs/>
                <w:color w:val="000000" w:themeColor="text1"/>
                <w:lang w:val="es-CR"/>
              </w:rPr>
              <w:t>Eliminar la recomendación, tomando en cuenta:</w:t>
            </w:r>
          </w:p>
          <w:p w14:paraId="5D464E1C" w14:textId="77777777" w:rsidR="00CF7396" w:rsidRPr="00CF7396" w:rsidRDefault="00CF7396" w:rsidP="00CF7396">
            <w:pPr>
              <w:jc w:val="both"/>
              <w:rPr>
                <w:rFonts w:eastAsia="Book Antiqua"/>
                <w:i/>
                <w:iCs/>
                <w:color w:val="000000" w:themeColor="text1"/>
                <w:lang w:val="es-CR"/>
              </w:rPr>
            </w:pPr>
          </w:p>
          <w:p w14:paraId="6D2F708B" w14:textId="77777777" w:rsidR="00CF7396" w:rsidRPr="00CF7396" w:rsidRDefault="00CF7396" w:rsidP="00CF7396">
            <w:pPr>
              <w:numPr>
                <w:ilvl w:val="0"/>
                <w:numId w:val="62"/>
              </w:numPr>
              <w:contextualSpacing/>
              <w:jc w:val="both"/>
              <w:rPr>
                <w:rFonts w:eastAsia="Book Antiqua"/>
                <w:i/>
                <w:iCs/>
                <w:color w:val="000000" w:themeColor="text1"/>
                <w:lang w:val="es-CR"/>
              </w:rPr>
            </w:pPr>
            <w:r w:rsidRPr="00CF7396">
              <w:rPr>
                <w:rFonts w:eastAsia="Book Antiqua"/>
                <w:i/>
                <w:iCs/>
                <w:color w:val="000000" w:themeColor="text1"/>
                <w:lang w:val="es-CR"/>
              </w:rPr>
              <w:t xml:space="preserve">La situación detectada e informada al Consejo de Administración del Primer Circuito Judicial de la Zona Atlántica, la realizó la profesional de la Dirección de Planificación asignada al circuito, por lo cual, se sugiere que el seguimiento del desempeño del licenciado Diego Meoño Piedra, se continúe por la profesional de la citada Dirección, y mantenga la buena práctica de comunicar al Consejo de Administración para que sea informada al Consejo Superior si así lo amerita. </w:t>
            </w:r>
          </w:p>
          <w:p w14:paraId="4FFD85AC" w14:textId="77777777" w:rsidR="00CF7396" w:rsidRPr="00CF7396" w:rsidRDefault="00CF7396" w:rsidP="00CF7396">
            <w:pPr>
              <w:jc w:val="both"/>
              <w:rPr>
                <w:rFonts w:eastAsia="Book Antiqua"/>
                <w:i/>
                <w:iCs/>
                <w:color w:val="000000" w:themeColor="text1"/>
                <w:lang w:val="es-CR"/>
              </w:rPr>
            </w:pPr>
          </w:p>
          <w:p w14:paraId="4BFDF704" w14:textId="77777777" w:rsidR="00CF7396" w:rsidRPr="00CF7396" w:rsidRDefault="00CF7396" w:rsidP="00CF7396">
            <w:pPr>
              <w:numPr>
                <w:ilvl w:val="0"/>
                <w:numId w:val="62"/>
              </w:numPr>
              <w:tabs>
                <w:tab w:val="left" w:pos="251"/>
              </w:tabs>
              <w:ind w:left="31" w:hanging="31"/>
              <w:contextualSpacing/>
              <w:jc w:val="both"/>
              <w:rPr>
                <w:rFonts w:eastAsia="Book Antiqua"/>
                <w:i/>
                <w:iCs/>
                <w:color w:val="000000" w:themeColor="text1"/>
                <w:lang w:val="es-CR"/>
              </w:rPr>
            </w:pPr>
            <w:r w:rsidRPr="00CF7396">
              <w:rPr>
                <w:rFonts w:eastAsia="Book Antiqua"/>
                <w:i/>
                <w:iCs/>
                <w:color w:val="000000" w:themeColor="text1"/>
                <w:lang w:val="es-CR"/>
              </w:rPr>
              <w:t>Sin dejar de lado, la observación a la recomendación “8.19 asuntos disciplinarios” del presente oficio.</w:t>
            </w:r>
          </w:p>
          <w:p w14:paraId="68FA44FE" w14:textId="77777777" w:rsidR="00CF7396" w:rsidRPr="00CF7396" w:rsidRDefault="00CF7396" w:rsidP="00CF7396">
            <w:pPr>
              <w:widowControl w:val="0"/>
              <w:autoSpaceDE w:val="0"/>
              <w:autoSpaceDN w:val="0"/>
              <w:adjustRightInd w:val="0"/>
              <w:jc w:val="both"/>
              <w:rPr>
                <w:i/>
                <w:iCs/>
                <w:color w:val="000000" w:themeColor="text1"/>
                <w:lang w:val="es-CR"/>
              </w:rPr>
            </w:pPr>
          </w:p>
        </w:tc>
        <w:tc>
          <w:tcPr>
            <w:tcW w:w="1271" w:type="pct"/>
          </w:tcPr>
          <w:p w14:paraId="6435BDBB" w14:textId="77777777" w:rsidR="00CF7396" w:rsidRPr="00CF7396" w:rsidRDefault="00CF7396" w:rsidP="00CF7396">
            <w:pPr>
              <w:widowControl w:val="0"/>
              <w:autoSpaceDE w:val="0"/>
              <w:autoSpaceDN w:val="0"/>
              <w:adjustRightInd w:val="0"/>
              <w:jc w:val="both"/>
              <w:rPr>
                <w:color w:val="000000" w:themeColor="text1"/>
                <w:lang w:val="es-CR"/>
              </w:rPr>
            </w:pPr>
            <w:r w:rsidRPr="00CF7396">
              <w:rPr>
                <w:color w:val="000000" w:themeColor="text1"/>
                <w:lang w:val="es-CR"/>
              </w:rPr>
              <w:t>Se toma nota de la observación del CACFMJ. Sin embargo, es relevante destacar que dentro de las funciones propias del CACFMJ en el Modelo de Seguimiento y Sostenibilidad es fungir como ente fiscalizador, del personal juzgador.</w:t>
            </w:r>
          </w:p>
          <w:p w14:paraId="7CBC99A1" w14:textId="77777777" w:rsidR="00CF7396" w:rsidRPr="00CF7396" w:rsidRDefault="00CF7396" w:rsidP="00CF7396">
            <w:pPr>
              <w:widowControl w:val="0"/>
              <w:autoSpaceDE w:val="0"/>
              <w:autoSpaceDN w:val="0"/>
              <w:adjustRightInd w:val="0"/>
              <w:jc w:val="both"/>
              <w:rPr>
                <w:color w:val="000000" w:themeColor="text1"/>
                <w:lang w:val="es-CR"/>
              </w:rPr>
            </w:pPr>
          </w:p>
          <w:p w14:paraId="6A5EA880" w14:textId="77777777" w:rsidR="00CF7396" w:rsidRPr="00CF7396" w:rsidRDefault="00CF7396" w:rsidP="00CF7396">
            <w:pPr>
              <w:widowControl w:val="0"/>
              <w:autoSpaceDE w:val="0"/>
              <w:autoSpaceDN w:val="0"/>
              <w:adjustRightInd w:val="0"/>
              <w:jc w:val="both"/>
              <w:rPr>
                <w:color w:val="000000" w:themeColor="text1"/>
                <w:lang w:val="es-CR"/>
              </w:rPr>
            </w:pPr>
            <w:r w:rsidRPr="00CF7396">
              <w:rPr>
                <w:color w:val="000000" w:themeColor="text1"/>
                <w:lang w:val="es-CR"/>
              </w:rPr>
              <w:t>La Dirección de Planificación mensualmente informa ante el Consejo de Administración los rendimientos de los despachos que conforman el modelo, por lo que dicha labor no se ha modificado y se mantendrá en el tiempo.</w:t>
            </w:r>
          </w:p>
          <w:p w14:paraId="4C732FCF" w14:textId="77777777" w:rsidR="00CF7396" w:rsidRPr="00CF7396" w:rsidRDefault="00CF7396" w:rsidP="00CF7396">
            <w:pPr>
              <w:widowControl w:val="0"/>
              <w:autoSpaceDE w:val="0"/>
              <w:autoSpaceDN w:val="0"/>
              <w:adjustRightInd w:val="0"/>
              <w:jc w:val="both"/>
              <w:rPr>
                <w:color w:val="000000" w:themeColor="text1"/>
                <w:lang w:val="es-CR"/>
              </w:rPr>
            </w:pPr>
          </w:p>
          <w:p w14:paraId="79FDF4F5" w14:textId="77777777" w:rsidR="00CF7396" w:rsidRPr="00CF7396" w:rsidRDefault="00CF7396" w:rsidP="00CF7396">
            <w:pPr>
              <w:widowControl w:val="0"/>
              <w:autoSpaceDE w:val="0"/>
              <w:autoSpaceDN w:val="0"/>
              <w:adjustRightInd w:val="0"/>
              <w:jc w:val="both"/>
              <w:rPr>
                <w:b/>
                <w:bCs/>
                <w:color w:val="000000" w:themeColor="text1"/>
                <w:lang w:val="es-CR"/>
              </w:rPr>
            </w:pPr>
            <w:r w:rsidRPr="00CF7396">
              <w:rPr>
                <w:color w:val="000000" w:themeColor="text1"/>
                <w:lang w:val="es-CR"/>
              </w:rPr>
              <w:t>Con ocasión de lo anterior no se modifica el contenido del informe.</w:t>
            </w:r>
          </w:p>
        </w:tc>
      </w:tr>
      <w:tr w:rsidR="00CF7396" w:rsidRPr="00CF7396" w14:paraId="011671F0" w14:textId="77777777" w:rsidTr="00AF369B">
        <w:trPr>
          <w:trHeight w:val="242"/>
        </w:trPr>
        <w:tc>
          <w:tcPr>
            <w:tcW w:w="214" w:type="pct"/>
          </w:tcPr>
          <w:p w14:paraId="2E191A8A" w14:textId="77777777" w:rsidR="00CF7396" w:rsidRPr="00CF7396" w:rsidRDefault="00CF7396" w:rsidP="00CF7396">
            <w:pPr>
              <w:widowControl w:val="0"/>
              <w:autoSpaceDE w:val="0"/>
              <w:autoSpaceDN w:val="0"/>
              <w:adjustRightInd w:val="0"/>
              <w:jc w:val="center"/>
              <w:rPr>
                <w:color w:val="000000" w:themeColor="text1"/>
                <w:lang w:val="es-CR"/>
              </w:rPr>
            </w:pPr>
            <w:r w:rsidRPr="00CF7396">
              <w:rPr>
                <w:color w:val="000000" w:themeColor="text1"/>
                <w:lang w:val="es-CR"/>
              </w:rPr>
              <w:t>11</w:t>
            </w:r>
          </w:p>
        </w:tc>
        <w:tc>
          <w:tcPr>
            <w:tcW w:w="414" w:type="pct"/>
            <w:shd w:val="clear" w:color="auto" w:fill="auto"/>
          </w:tcPr>
          <w:p w14:paraId="141BDD94" w14:textId="77777777" w:rsidR="00CF7396" w:rsidRPr="00CF7396" w:rsidRDefault="00CF7396" w:rsidP="00CF7396">
            <w:pPr>
              <w:widowControl w:val="0"/>
              <w:autoSpaceDE w:val="0"/>
              <w:autoSpaceDN w:val="0"/>
              <w:adjustRightInd w:val="0"/>
              <w:jc w:val="center"/>
              <w:rPr>
                <w:i/>
                <w:iCs/>
                <w:color w:val="000000" w:themeColor="text1"/>
                <w:lang w:val="es-CR"/>
              </w:rPr>
            </w:pPr>
            <w:r w:rsidRPr="00CF7396">
              <w:rPr>
                <w:i/>
                <w:iCs/>
                <w:color w:val="000000" w:themeColor="text1"/>
                <w:lang w:val="es-CR"/>
              </w:rPr>
              <w:t>102</w:t>
            </w:r>
          </w:p>
        </w:tc>
        <w:tc>
          <w:tcPr>
            <w:tcW w:w="1600" w:type="pct"/>
            <w:shd w:val="clear" w:color="auto" w:fill="auto"/>
          </w:tcPr>
          <w:p w14:paraId="0C102826" w14:textId="77777777" w:rsidR="00CF7396" w:rsidRPr="00CF7396" w:rsidRDefault="00CF7396" w:rsidP="00CF7396">
            <w:pPr>
              <w:widowControl w:val="0"/>
              <w:autoSpaceDE w:val="0"/>
              <w:autoSpaceDN w:val="0"/>
              <w:adjustRightInd w:val="0"/>
              <w:jc w:val="both"/>
              <w:rPr>
                <w:i/>
                <w:iCs/>
                <w:color w:val="000000" w:themeColor="text1"/>
                <w:lang w:val="es-CR"/>
              </w:rPr>
            </w:pPr>
            <w:r w:rsidRPr="00CF7396">
              <w:rPr>
                <w:rFonts w:eastAsia="Book Antiqua"/>
                <w:i/>
                <w:iCs/>
                <w:color w:val="000000" w:themeColor="text1"/>
                <w:lang w:val="es-CR"/>
              </w:rPr>
              <w:t>“Circular 239-2020 y 38-2022 Obligación de las oficinas en las cuales se esté implementando el Modelo de Sostenibilidad y Seguimiento de los Proyectos de Rediseño, incluir en el Sistema de Proposición Electrónica de Nombramientos (PIN), como días no laborados solamente vacaciones, incapacidades, permisos con o sin goce de salario.”</w:t>
            </w:r>
          </w:p>
        </w:tc>
        <w:tc>
          <w:tcPr>
            <w:tcW w:w="1500" w:type="pct"/>
            <w:shd w:val="clear" w:color="auto" w:fill="auto"/>
            <w:vAlign w:val="center"/>
          </w:tcPr>
          <w:p w14:paraId="62E0E1D1" w14:textId="77777777" w:rsidR="00CF7396" w:rsidRPr="00CF7396" w:rsidRDefault="00CF7396" w:rsidP="00CF7396">
            <w:pPr>
              <w:widowControl w:val="0"/>
              <w:autoSpaceDE w:val="0"/>
              <w:autoSpaceDN w:val="0"/>
              <w:adjustRightInd w:val="0"/>
              <w:jc w:val="both"/>
              <w:rPr>
                <w:i/>
                <w:iCs/>
                <w:color w:val="000000" w:themeColor="text1"/>
                <w:lang w:val="es-CR"/>
              </w:rPr>
            </w:pPr>
            <w:r w:rsidRPr="00CF7396">
              <w:rPr>
                <w:rFonts w:eastAsia="Book Antiqua"/>
                <w:i/>
                <w:iCs/>
                <w:color w:val="000000" w:themeColor="text1"/>
                <w:lang w:val="es-CR"/>
              </w:rPr>
              <w:t>Es necesario considerar que la circular 239-2020 fue actualizada mediante circular N°187-2022, de fecha 04 de octubre de 2022, incorporándose la hora de lactancia como parte de los días no laborados.</w:t>
            </w:r>
          </w:p>
        </w:tc>
        <w:tc>
          <w:tcPr>
            <w:tcW w:w="1271" w:type="pct"/>
          </w:tcPr>
          <w:p w14:paraId="6843E89D" w14:textId="77777777" w:rsidR="00CF7396" w:rsidRPr="00CF7396" w:rsidRDefault="00CF7396" w:rsidP="00CF7396">
            <w:pPr>
              <w:tabs>
                <w:tab w:val="left" w:pos="227"/>
              </w:tabs>
              <w:ind w:right="82"/>
              <w:jc w:val="both"/>
              <w:rPr>
                <w:b/>
                <w:i/>
                <w:color w:val="000000" w:themeColor="text1"/>
                <w:lang w:val="es-CR"/>
              </w:rPr>
            </w:pPr>
            <w:r w:rsidRPr="00CF7396">
              <w:rPr>
                <w:b/>
                <w:i/>
                <w:color w:val="000000" w:themeColor="text1"/>
                <w:lang w:val="es-CR"/>
              </w:rPr>
              <w:t>En relación con la actualización de la Circular 187-2022.</w:t>
            </w:r>
          </w:p>
          <w:p w14:paraId="103FB923" w14:textId="77777777" w:rsidR="00CF7396" w:rsidRPr="00CF7396" w:rsidRDefault="00CF7396" w:rsidP="00CF7396">
            <w:pPr>
              <w:tabs>
                <w:tab w:val="left" w:pos="227"/>
              </w:tabs>
              <w:ind w:right="82"/>
              <w:jc w:val="both"/>
              <w:rPr>
                <w:b/>
                <w:i/>
                <w:color w:val="000000" w:themeColor="text1"/>
                <w:lang w:val="es-CR"/>
              </w:rPr>
            </w:pPr>
          </w:p>
          <w:p w14:paraId="77AE2EFB" w14:textId="77777777" w:rsidR="00CF7396" w:rsidRPr="00CF7396" w:rsidRDefault="00CF7396" w:rsidP="00CF7396">
            <w:pPr>
              <w:tabs>
                <w:tab w:val="left" w:pos="227"/>
              </w:tabs>
              <w:ind w:right="82"/>
              <w:jc w:val="both"/>
              <w:rPr>
                <w:color w:val="000000" w:themeColor="text1"/>
                <w:lang w:val="es-CR"/>
              </w:rPr>
            </w:pPr>
            <w:r w:rsidRPr="00CF7396">
              <w:rPr>
                <w:color w:val="000000" w:themeColor="text1"/>
                <w:lang w:val="es-CR"/>
              </w:rPr>
              <w:t>Se toma nota de lo indicado por parte del CACMFJ y en vista de la recién actualización de la 239-2022 donde incorpora la hora lactancia se ajusta el contenido del informe citando la Circular 187-2022 que mantiene como asunto:</w:t>
            </w:r>
          </w:p>
          <w:p w14:paraId="704D4705" w14:textId="77777777" w:rsidR="00CF7396" w:rsidRPr="00CF7396" w:rsidRDefault="00CF7396" w:rsidP="00CF7396">
            <w:pPr>
              <w:tabs>
                <w:tab w:val="left" w:pos="227"/>
              </w:tabs>
              <w:ind w:right="82"/>
              <w:jc w:val="both"/>
              <w:rPr>
                <w:color w:val="000000" w:themeColor="text1"/>
                <w:lang w:val="es-CR"/>
              </w:rPr>
            </w:pPr>
          </w:p>
          <w:p w14:paraId="5FAA8420" w14:textId="77777777" w:rsidR="00CF7396" w:rsidRPr="00CF7396" w:rsidRDefault="00CF7396" w:rsidP="00CF7396">
            <w:pPr>
              <w:widowControl w:val="0"/>
              <w:autoSpaceDE w:val="0"/>
              <w:autoSpaceDN w:val="0"/>
              <w:adjustRightInd w:val="0"/>
              <w:jc w:val="both"/>
              <w:rPr>
                <w:i/>
                <w:color w:val="000000" w:themeColor="text1"/>
                <w:lang w:val="es-CR"/>
              </w:rPr>
            </w:pPr>
            <w:r w:rsidRPr="00CF7396">
              <w:rPr>
                <w:i/>
                <w:color w:val="000000" w:themeColor="text1"/>
                <w:lang w:val="es-CR"/>
              </w:rPr>
              <w:t xml:space="preserve">“Actualización de la circular 239-2020, sobre la obligación de las oficinas en las cuales se esté implementando el Modelo de Sostenibilidad y Seguimiento de los Proyectos de Rediseño, de reportar como días no laborados en la matriz de indicadores los incluidos en el Sistema de Proposición Electrónica de Nombramientos (PIN). </w:t>
            </w:r>
            <w:r w:rsidRPr="00CF7396">
              <w:rPr>
                <w:b/>
                <w:i/>
                <w:color w:val="000000" w:themeColor="text1"/>
                <w:u w:val="single"/>
                <w:lang w:val="es-CR"/>
              </w:rPr>
              <w:t>Esta circular sustituye o deja sin efecto la 239-2020</w:t>
            </w:r>
            <w:r w:rsidRPr="00CF7396">
              <w:rPr>
                <w:i/>
                <w:color w:val="000000" w:themeColor="text1"/>
                <w:lang w:val="es-CR"/>
              </w:rPr>
              <w:t>.”</w:t>
            </w:r>
          </w:p>
          <w:p w14:paraId="2B9B9C76" w14:textId="77777777" w:rsidR="00CF7396" w:rsidRPr="00CF7396" w:rsidRDefault="00CF7396" w:rsidP="00CF7396">
            <w:pPr>
              <w:widowControl w:val="0"/>
              <w:autoSpaceDE w:val="0"/>
              <w:autoSpaceDN w:val="0"/>
              <w:adjustRightInd w:val="0"/>
              <w:jc w:val="both"/>
              <w:rPr>
                <w:i/>
                <w:color w:val="000000" w:themeColor="text1"/>
                <w:lang w:val="es-CR"/>
              </w:rPr>
            </w:pPr>
          </w:p>
          <w:p w14:paraId="0BCE36BC" w14:textId="77777777" w:rsidR="00CF7396" w:rsidRPr="00CF7396" w:rsidRDefault="00CF7396" w:rsidP="00CF7396">
            <w:pPr>
              <w:widowControl w:val="0"/>
              <w:autoSpaceDE w:val="0"/>
              <w:autoSpaceDN w:val="0"/>
              <w:adjustRightInd w:val="0"/>
              <w:jc w:val="both"/>
              <w:rPr>
                <w:iCs/>
                <w:color w:val="000000" w:themeColor="text1"/>
                <w:lang w:val="es-CR"/>
              </w:rPr>
            </w:pPr>
            <w:r w:rsidRPr="00CF7396">
              <w:rPr>
                <w:iCs/>
                <w:color w:val="000000" w:themeColor="text1"/>
                <w:lang w:val="es-CR"/>
              </w:rPr>
              <w:t xml:space="preserve">Por lo anterior se modifica el contenido del </w:t>
            </w:r>
            <w:proofErr w:type="gramStart"/>
            <w:r w:rsidRPr="00CF7396">
              <w:rPr>
                <w:iCs/>
                <w:color w:val="000000" w:themeColor="text1"/>
                <w:lang w:val="es-CR"/>
              </w:rPr>
              <w:t xml:space="preserve">informe </w:t>
            </w:r>
            <w:r w:rsidRPr="00CF7396">
              <w:rPr>
                <w:color w:val="000000" w:themeColor="text1"/>
                <w:shd w:val="clear" w:color="auto" w:fill="E8EBFA"/>
                <w:lang w:val="es-CR"/>
              </w:rPr>
              <w:t> </w:t>
            </w:r>
            <w:r w:rsidRPr="00CF7396">
              <w:rPr>
                <w:iCs/>
                <w:color w:val="000000" w:themeColor="text1"/>
                <w:lang w:val="es-CR"/>
              </w:rPr>
              <w:t>en</w:t>
            </w:r>
            <w:proofErr w:type="gramEnd"/>
            <w:r w:rsidRPr="00CF7396">
              <w:rPr>
                <w:iCs/>
                <w:color w:val="000000" w:themeColor="text1"/>
                <w:lang w:val="es-CR"/>
              </w:rPr>
              <w:t xml:space="preserve"> el apartado 8.25 así como en todos los apartados en donde se cita este documento..</w:t>
            </w:r>
          </w:p>
        </w:tc>
      </w:tr>
    </w:tbl>
    <w:p w14:paraId="551DBB09" w14:textId="77777777" w:rsidR="00CF7396" w:rsidRPr="00CF7396" w:rsidRDefault="00CF7396" w:rsidP="00CF7396">
      <w:pPr>
        <w:rPr>
          <w:color w:val="000000" w:themeColor="text1"/>
          <w:lang w:val="es-CR"/>
        </w:rPr>
      </w:pPr>
    </w:p>
    <w:p w14:paraId="709D209C" w14:textId="77777777" w:rsidR="00CF7396" w:rsidRPr="00CF7396" w:rsidRDefault="00CF7396" w:rsidP="00CF7396">
      <w:pPr>
        <w:contextualSpacing/>
        <w:jc w:val="both"/>
        <w:rPr>
          <w:color w:val="000000" w:themeColor="text1"/>
          <w:lang w:val="es-CR" w:eastAsia="es-ES"/>
        </w:rPr>
      </w:pPr>
      <w:r w:rsidRPr="00CF7396">
        <w:rPr>
          <w:color w:val="000000" w:themeColor="text1"/>
          <w:lang w:val="es-CR" w:eastAsia="es-ES"/>
        </w:rPr>
        <w:t>A continuación, se adjunta las observaciones recibidas:</w:t>
      </w:r>
    </w:p>
    <w:p w14:paraId="56F8EBE5" w14:textId="77777777" w:rsidR="00CF7396" w:rsidRPr="00CF7396" w:rsidRDefault="00CF7396" w:rsidP="00CF7396">
      <w:pPr>
        <w:rPr>
          <w:color w:val="000000" w:themeColor="text1"/>
          <w:lang w:val="es-CR"/>
        </w:rPr>
      </w:pPr>
    </w:p>
    <w:p w14:paraId="267E8756" w14:textId="77777777" w:rsidR="00CF7396" w:rsidRPr="00CF7396" w:rsidRDefault="00CF7396" w:rsidP="00CF7396">
      <w:pPr>
        <w:tabs>
          <w:tab w:val="left" w:pos="2563"/>
        </w:tabs>
        <w:rPr>
          <w:color w:val="000000" w:themeColor="text1"/>
          <w:lang w:val="es-CR"/>
        </w:rPr>
      </w:pPr>
      <w:r w:rsidRPr="00CF7396">
        <w:rPr>
          <w:color w:val="000000" w:themeColor="text1"/>
          <w:lang w:val="es-CR"/>
        </w:rPr>
        <w:tab/>
      </w:r>
    </w:p>
    <w:tbl>
      <w:tblPr>
        <w:tblStyle w:val="Tablaconcuadrcula"/>
        <w:tblW w:w="0" w:type="auto"/>
        <w:jc w:val="center"/>
        <w:tblLook w:val="04A0" w:firstRow="1" w:lastRow="0" w:firstColumn="1" w:lastColumn="0" w:noHBand="0" w:noVBand="1"/>
      </w:tblPr>
      <w:tblGrid>
        <w:gridCol w:w="1129"/>
        <w:gridCol w:w="4395"/>
        <w:gridCol w:w="3119"/>
      </w:tblGrid>
      <w:tr w:rsidR="00CF7396" w:rsidRPr="00CF7396" w14:paraId="0D8DEDF3" w14:textId="77777777" w:rsidTr="00AF369B">
        <w:trPr>
          <w:jc w:val="center"/>
        </w:trPr>
        <w:tc>
          <w:tcPr>
            <w:tcW w:w="1129" w:type="dxa"/>
            <w:shd w:val="clear" w:color="auto" w:fill="002060"/>
          </w:tcPr>
          <w:p w14:paraId="5F1AAB3B" w14:textId="77777777" w:rsidR="00CF7396" w:rsidRPr="00CF7396" w:rsidRDefault="00CF7396" w:rsidP="00CF7396">
            <w:pPr>
              <w:tabs>
                <w:tab w:val="left" w:pos="2563"/>
              </w:tabs>
              <w:jc w:val="center"/>
              <w:rPr>
                <w:color w:val="000000" w:themeColor="text1"/>
              </w:rPr>
            </w:pPr>
            <w:r w:rsidRPr="00CF7396">
              <w:rPr>
                <w:color w:val="000000" w:themeColor="text1"/>
              </w:rPr>
              <w:t>Número</w:t>
            </w:r>
          </w:p>
        </w:tc>
        <w:tc>
          <w:tcPr>
            <w:tcW w:w="4395" w:type="dxa"/>
            <w:shd w:val="clear" w:color="auto" w:fill="002060"/>
          </w:tcPr>
          <w:p w14:paraId="1D27F118" w14:textId="77777777" w:rsidR="00CF7396" w:rsidRPr="00CF7396" w:rsidRDefault="00CF7396" w:rsidP="00CF7396">
            <w:pPr>
              <w:tabs>
                <w:tab w:val="left" w:pos="2563"/>
              </w:tabs>
              <w:jc w:val="center"/>
              <w:rPr>
                <w:color w:val="000000" w:themeColor="text1"/>
              </w:rPr>
            </w:pPr>
            <w:r w:rsidRPr="00CF7396">
              <w:rPr>
                <w:color w:val="000000" w:themeColor="text1"/>
              </w:rPr>
              <w:t>Detalle</w:t>
            </w:r>
          </w:p>
        </w:tc>
        <w:tc>
          <w:tcPr>
            <w:tcW w:w="3119" w:type="dxa"/>
            <w:shd w:val="clear" w:color="auto" w:fill="002060"/>
          </w:tcPr>
          <w:p w14:paraId="2058E676" w14:textId="77777777" w:rsidR="00CF7396" w:rsidRPr="00CF7396" w:rsidRDefault="00CF7396" w:rsidP="00CF7396">
            <w:pPr>
              <w:tabs>
                <w:tab w:val="left" w:pos="2563"/>
              </w:tabs>
              <w:jc w:val="center"/>
              <w:rPr>
                <w:color w:val="000000" w:themeColor="text1"/>
              </w:rPr>
            </w:pPr>
            <w:r w:rsidRPr="00CF7396">
              <w:rPr>
                <w:color w:val="000000" w:themeColor="text1"/>
              </w:rPr>
              <w:t>Anexo</w:t>
            </w:r>
          </w:p>
        </w:tc>
      </w:tr>
      <w:tr w:rsidR="00CF7396" w:rsidRPr="00CF7396" w14:paraId="6FCE02BB" w14:textId="77777777" w:rsidTr="00AF369B">
        <w:trPr>
          <w:jc w:val="center"/>
        </w:trPr>
        <w:tc>
          <w:tcPr>
            <w:tcW w:w="1129" w:type="dxa"/>
          </w:tcPr>
          <w:p w14:paraId="18EE35C8" w14:textId="77777777" w:rsidR="00CF7396" w:rsidRPr="00CF7396" w:rsidRDefault="00CF7396" w:rsidP="00CF7396">
            <w:pPr>
              <w:tabs>
                <w:tab w:val="left" w:pos="2563"/>
              </w:tabs>
              <w:jc w:val="center"/>
              <w:rPr>
                <w:color w:val="000000" w:themeColor="text1"/>
              </w:rPr>
            </w:pPr>
            <w:r w:rsidRPr="00CF7396">
              <w:rPr>
                <w:color w:val="000000" w:themeColor="text1"/>
              </w:rPr>
              <w:t>1</w:t>
            </w:r>
          </w:p>
        </w:tc>
        <w:tc>
          <w:tcPr>
            <w:tcW w:w="4395" w:type="dxa"/>
          </w:tcPr>
          <w:p w14:paraId="0591FD78" w14:textId="77777777" w:rsidR="00CF7396" w:rsidRPr="00CF7396" w:rsidRDefault="00CF7396" w:rsidP="00CF7396">
            <w:pPr>
              <w:tabs>
                <w:tab w:val="left" w:pos="2563"/>
              </w:tabs>
              <w:jc w:val="both"/>
              <w:rPr>
                <w:color w:val="000000" w:themeColor="text1"/>
              </w:rPr>
            </w:pPr>
            <w:r w:rsidRPr="00CF7396">
              <w:rPr>
                <w:color w:val="000000" w:themeColor="text1"/>
              </w:rPr>
              <w:t>Correo electrónico del 21 de octubre en curso del Consejo de Administración del Primer Circuito Judicial de la Zona Atlántica</w:t>
            </w:r>
          </w:p>
        </w:tc>
        <w:tc>
          <w:tcPr>
            <w:tcW w:w="3119" w:type="dxa"/>
          </w:tcPr>
          <w:p w14:paraId="4CB5A6D4" w14:textId="77777777" w:rsidR="00CF7396" w:rsidRPr="00CF7396" w:rsidRDefault="00CF7396" w:rsidP="00CF7396">
            <w:pPr>
              <w:tabs>
                <w:tab w:val="left" w:pos="2563"/>
              </w:tabs>
              <w:jc w:val="center"/>
              <w:rPr>
                <w:color w:val="000000" w:themeColor="text1"/>
              </w:rPr>
            </w:pPr>
            <w:r w:rsidRPr="00CF7396">
              <w:rPr>
                <w:rFonts w:eastAsiaTheme="minorHAnsi"/>
                <w:color w:val="000000" w:themeColor="text1"/>
              </w:rPr>
              <w:object w:dxaOrig="1508" w:dyaOrig="983" w14:anchorId="4BC541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5pt;height:48.5pt" o:ole="">
                  <v:imagedata r:id="rId53" o:title=""/>
                </v:shape>
                <o:OLEObject Type="Embed" ProgID="Package" ShapeID="_x0000_i1026" DrawAspect="Icon" ObjectID="_1739619086" r:id="rId54"/>
              </w:object>
            </w:r>
          </w:p>
        </w:tc>
      </w:tr>
      <w:tr w:rsidR="00CF7396" w:rsidRPr="00CF7396" w14:paraId="3EA1462B" w14:textId="77777777" w:rsidTr="00AF369B">
        <w:trPr>
          <w:jc w:val="center"/>
        </w:trPr>
        <w:tc>
          <w:tcPr>
            <w:tcW w:w="1129" w:type="dxa"/>
          </w:tcPr>
          <w:p w14:paraId="4D4BB978" w14:textId="77777777" w:rsidR="00CF7396" w:rsidRPr="00CF7396" w:rsidRDefault="00CF7396" w:rsidP="00CF7396">
            <w:pPr>
              <w:tabs>
                <w:tab w:val="left" w:pos="2563"/>
              </w:tabs>
              <w:jc w:val="center"/>
              <w:rPr>
                <w:color w:val="000000" w:themeColor="text1"/>
              </w:rPr>
            </w:pPr>
            <w:r w:rsidRPr="00CF7396">
              <w:rPr>
                <w:color w:val="000000" w:themeColor="text1"/>
              </w:rPr>
              <w:t>2</w:t>
            </w:r>
          </w:p>
        </w:tc>
        <w:tc>
          <w:tcPr>
            <w:tcW w:w="4395" w:type="dxa"/>
          </w:tcPr>
          <w:p w14:paraId="6D16FC0B" w14:textId="77777777" w:rsidR="00CF7396" w:rsidRPr="00CF7396" w:rsidRDefault="00CF7396" w:rsidP="00CF7396">
            <w:pPr>
              <w:tabs>
                <w:tab w:val="left" w:pos="2563"/>
              </w:tabs>
              <w:jc w:val="both"/>
              <w:rPr>
                <w:color w:val="000000" w:themeColor="text1"/>
              </w:rPr>
            </w:pPr>
            <w:r w:rsidRPr="00CF7396">
              <w:rPr>
                <w:color w:val="000000" w:themeColor="text1"/>
              </w:rPr>
              <w:t>Oficio 71-ADM-PISAV-2022 de la Administración de la Plataforma de Servicios de Atención a la Víctima (PISAV)</w:t>
            </w:r>
          </w:p>
        </w:tc>
        <w:tc>
          <w:tcPr>
            <w:tcW w:w="3119" w:type="dxa"/>
          </w:tcPr>
          <w:p w14:paraId="25D02ED4" w14:textId="77777777" w:rsidR="00CF7396" w:rsidRPr="00CF7396" w:rsidRDefault="00CF7396" w:rsidP="00CF7396">
            <w:pPr>
              <w:tabs>
                <w:tab w:val="left" w:pos="2563"/>
              </w:tabs>
              <w:jc w:val="center"/>
              <w:rPr>
                <w:color w:val="000000" w:themeColor="text1"/>
              </w:rPr>
            </w:pPr>
            <w:r w:rsidRPr="00CF7396">
              <w:rPr>
                <w:rFonts w:eastAsiaTheme="minorHAnsi"/>
                <w:color w:val="000000" w:themeColor="text1"/>
              </w:rPr>
              <w:object w:dxaOrig="1508" w:dyaOrig="983" w14:anchorId="695C4231">
                <v:shape id="_x0000_i1027" type="#_x0000_t75" style="width:76.5pt;height:48.5pt" o:ole="">
                  <v:imagedata r:id="rId55" o:title=""/>
                </v:shape>
                <o:OLEObject Type="Embed" ProgID="Acrobat.Document.DC" ShapeID="_x0000_i1027" DrawAspect="Icon" ObjectID="_1739619087" r:id="rId56"/>
              </w:object>
            </w:r>
          </w:p>
        </w:tc>
      </w:tr>
      <w:tr w:rsidR="00CF7396" w:rsidRPr="00CF7396" w14:paraId="28E9CE2B" w14:textId="77777777" w:rsidTr="00AF369B">
        <w:trPr>
          <w:jc w:val="center"/>
        </w:trPr>
        <w:tc>
          <w:tcPr>
            <w:tcW w:w="1129" w:type="dxa"/>
          </w:tcPr>
          <w:p w14:paraId="4C0DC094" w14:textId="77777777" w:rsidR="00CF7396" w:rsidRPr="00CF7396" w:rsidRDefault="00CF7396" w:rsidP="00CF7396">
            <w:pPr>
              <w:tabs>
                <w:tab w:val="left" w:pos="2563"/>
              </w:tabs>
              <w:jc w:val="both"/>
              <w:rPr>
                <w:color w:val="000000" w:themeColor="text1"/>
              </w:rPr>
            </w:pPr>
            <w:r w:rsidRPr="00CF7396">
              <w:rPr>
                <w:color w:val="000000" w:themeColor="text1"/>
              </w:rPr>
              <w:t>3</w:t>
            </w:r>
          </w:p>
        </w:tc>
        <w:tc>
          <w:tcPr>
            <w:tcW w:w="4395" w:type="dxa"/>
          </w:tcPr>
          <w:p w14:paraId="46A1C941" w14:textId="77777777" w:rsidR="00CF7396" w:rsidRPr="00CF7396" w:rsidRDefault="00CF7396" w:rsidP="00CF7396">
            <w:pPr>
              <w:tabs>
                <w:tab w:val="left" w:pos="2563"/>
              </w:tabs>
              <w:jc w:val="both"/>
              <w:rPr>
                <w:color w:val="000000" w:themeColor="text1"/>
              </w:rPr>
            </w:pPr>
            <w:r w:rsidRPr="00CF7396">
              <w:rPr>
                <w:color w:val="000000" w:themeColor="text1"/>
              </w:rPr>
              <w:t xml:space="preserve">Oficio 368-CACMFJ-JEF-2022 del 28 de octubre de 2022 del Centro de Apoyo, Coordinación y Mejoramiento de la Función Jurisdiccional </w:t>
            </w:r>
          </w:p>
        </w:tc>
        <w:bookmarkStart w:id="22" w:name="_MON_1728889707"/>
        <w:bookmarkEnd w:id="22"/>
        <w:tc>
          <w:tcPr>
            <w:tcW w:w="3119" w:type="dxa"/>
          </w:tcPr>
          <w:p w14:paraId="47B29423" w14:textId="77777777" w:rsidR="00CF7396" w:rsidRPr="00CF7396" w:rsidRDefault="00CF7396" w:rsidP="00CF7396">
            <w:pPr>
              <w:tabs>
                <w:tab w:val="left" w:pos="2563"/>
              </w:tabs>
              <w:jc w:val="center"/>
              <w:rPr>
                <w:color w:val="000000" w:themeColor="text1"/>
              </w:rPr>
            </w:pPr>
            <w:r w:rsidRPr="00CF7396">
              <w:rPr>
                <w:rFonts w:eastAsiaTheme="minorHAnsi"/>
                <w:color w:val="000000" w:themeColor="text1"/>
              </w:rPr>
              <w:object w:dxaOrig="1537" w:dyaOrig="997" w14:anchorId="136448CA">
                <v:shape id="_x0000_i1028" type="#_x0000_t75" style="width:76.5pt;height:49.5pt" o:ole="">
                  <v:imagedata r:id="rId57" o:title=""/>
                </v:shape>
                <o:OLEObject Type="Embed" ProgID="Word.Document.12" ShapeID="_x0000_i1028" DrawAspect="Icon" ObjectID="_1739619088" r:id="rId58">
                  <o:FieldCodes>\s</o:FieldCodes>
                </o:OLEObject>
              </w:object>
            </w:r>
          </w:p>
        </w:tc>
      </w:tr>
    </w:tbl>
    <w:p w14:paraId="2C971E17" w14:textId="77777777" w:rsidR="00CF7396" w:rsidRPr="00CF7396" w:rsidRDefault="00CF7396" w:rsidP="00CF7396">
      <w:pPr>
        <w:jc w:val="both"/>
        <w:rPr>
          <w:color w:val="000000" w:themeColor="text1"/>
          <w:lang w:val="es-CR"/>
        </w:rPr>
      </w:pPr>
    </w:p>
    <w:p w14:paraId="3C6A235C" w14:textId="77777777" w:rsidR="00CF7396" w:rsidRPr="00CF7396" w:rsidRDefault="00CF7396" w:rsidP="00CF7396">
      <w:pPr>
        <w:rPr>
          <w:b/>
          <w:bCs/>
          <w:color w:val="000000" w:themeColor="text1"/>
          <w:lang w:val="es-CR"/>
        </w:rPr>
      </w:pPr>
      <w:r w:rsidRPr="00CF7396">
        <w:rPr>
          <w:b/>
          <w:bCs/>
          <w:color w:val="000000" w:themeColor="text1"/>
          <w:lang w:val="es-CR"/>
        </w:rPr>
        <w:t>10. Anexos</w:t>
      </w:r>
    </w:p>
    <w:p w14:paraId="4EDB5371" w14:textId="77777777" w:rsidR="00CF7396" w:rsidRPr="00CF7396" w:rsidRDefault="00CF7396" w:rsidP="00CF7396">
      <w:pPr>
        <w:rPr>
          <w:color w:val="000000" w:themeColor="text1"/>
          <w:lang w:val="es-CR"/>
        </w:rPr>
      </w:pPr>
    </w:p>
    <w:tbl>
      <w:tblPr>
        <w:tblStyle w:val="Listaclara-nfasis1"/>
        <w:tblW w:w="68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3904"/>
        <w:gridCol w:w="2175"/>
      </w:tblGrid>
      <w:tr w:rsidR="00CF7396" w:rsidRPr="00CF7396" w14:paraId="196D65D2" w14:textId="77777777" w:rsidTr="00AF369B">
        <w:trPr>
          <w:cnfStyle w:val="100000000000" w:firstRow="1" w:lastRow="0" w:firstColumn="0" w:lastColumn="0" w:oddVBand="0" w:evenVBand="0" w:oddHBand="0" w:evenHBand="0" w:firstRowFirstColumn="0" w:firstRowLastColumn="0" w:lastRowFirstColumn="0" w:lastRowLastColumn="0"/>
          <w:trHeight w:val="413"/>
          <w:tblHeader/>
          <w:jc w:val="center"/>
        </w:trPr>
        <w:tc>
          <w:tcPr>
            <w:cnfStyle w:val="001000000000" w:firstRow="0" w:lastRow="0" w:firstColumn="1" w:lastColumn="0" w:oddVBand="0" w:evenVBand="0" w:oddHBand="0" w:evenHBand="0" w:firstRowFirstColumn="0" w:firstRowLastColumn="0" w:lastRowFirstColumn="0" w:lastRowLastColumn="0"/>
            <w:tcW w:w="745" w:type="dxa"/>
            <w:shd w:val="clear" w:color="auto" w:fill="244061" w:themeFill="accent1" w:themeFillShade="80"/>
            <w:vAlign w:val="center"/>
          </w:tcPr>
          <w:p w14:paraId="4F1CF9C8" w14:textId="77777777" w:rsidR="00CF7396" w:rsidRPr="00CF7396" w:rsidRDefault="00CF7396" w:rsidP="00CF7396">
            <w:pPr>
              <w:ind w:right="9"/>
              <w:jc w:val="center"/>
              <w:rPr>
                <w:color w:val="000000" w:themeColor="text1"/>
                <w:lang w:eastAsia="zh-CN"/>
              </w:rPr>
            </w:pPr>
            <w:proofErr w:type="spellStart"/>
            <w:r w:rsidRPr="00CF7396">
              <w:rPr>
                <w:color w:val="000000" w:themeColor="text1"/>
                <w:lang w:eastAsia="zh-CN"/>
              </w:rPr>
              <w:t>N°</w:t>
            </w:r>
            <w:proofErr w:type="spellEnd"/>
          </w:p>
        </w:tc>
        <w:tc>
          <w:tcPr>
            <w:tcW w:w="3904" w:type="dxa"/>
            <w:shd w:val="clear" w:color="auto" w:fill="244061" w:themeFill="accent1" w:themeFillShade="80"/>
            <w:vAlign w:val="center"/>
          </w:tcPr>
          <w:p w14:paraId="25A73E6E" w14:textId="77777777" w:rsidR="00CF7396" w:rsidRPr="00CF7396" w:rsidRDefault="00CF7396" w:rsidP="00CF7396">
            <w:pPr>
              <w:ind w:right="301"/>
              <w:jc w:val="center"/>
              <w:cnfStyle w:val="100000000000" w:firstRow="1" w:lastRow="0" w:firstColumn="0" w:lastColumn="0" w:oddVBand="0" w:evenVBand="0" w:oddHBand="0" w:evenHBand="0" w:firstRowFirstColumn="0" w:firstRowLastColumn="0" w:lastRowFirstColumn="0" w:lastRowLastColumn="0"/>
              <w:rPr>
                <w:color w:val="000000" w:themeColor="text1"/>
                <w:lang w:eastAsia="zh-CN"/>
              </w:rPr>
            </w:pPr>
            <w:r w:rsidRPr="00CF7396">
              <w:rPr>
                <w:color w:val="000000" w:themeColor="text1"/>
                <w:lang w:eastAsia="zh-CN"/>
              </w:rPr>
              <w:t>Detalle</w:t>
            </w:r>
          </w:p>
        </w:tc>
        <w:tc>
          <w:tcPr>
            <w:tcW w:w="2175" w:type="dxa"/>
            <w:shd w:val="clear" w:color="auto" w:fill="244061" w:themeFill="accent1" w:themeFillShade="80"/>
            <w:vAlign w:val="center"/>
          </w:tcPr>
          <w:p w14:paraId="1C12D476" w14:textId="77777777" w:rsidR="00CF7396" w:rsidRPr="00CF7396" w:rsidRDefault="00CF7396" w:rsidP="00CF7396">
            <w:pPr>
              <w:ind w:right="301"/>
              <w:jc w:val="center"/>
              <w:cnfStyle w:val="100000000000" w:firstRow="1" w:lastRow="0" w:firstColumn="0" w:lastColumn="0" w:oddVBand="0" w:evenVBand="0" w:oddHBand="0" w:evenHBand="0" w:firstRowFirstColumn="0" w:firstRowLastColumn="0" w:lastRowFirstColumn="0" w:lastRowLastColumn="0"/>
              <w:rPr>
                <w:color w:val="000000" w:themeColor="text1"/>
                <w:lang w:eastAsia="zh-CN"/>
              </w:rPr>
            </w:pPr>
            <w:r w:rsidRPr="00CF7396">
              <w:rPr>
                <w:color w:val="000000" w:themeColor="text1"/>
                <w:lang w:eastAsia="zh-CN"/>
              </w:rPr>
              <w:t>Archivo</w:t>
            </w:r>
          </w:p>
        </w:tc>
      </w:tr>
      <w:tr w:rsidR="00CF7396" w:rsidRPr="00CF7396" w14:paraId="6F6C60F5" w14:textId="77777777" w:rsidTr="00AF369B">
        <w:trPr>
          <w:cnfStyle w:val="000000100000" w:firstRow="0" w:lastRow="0" w:firstColumn="0" w:lastColumn="0" w:oddVBand="0" w:evenVBand="0" w:oddHBand="1" w:evenHBand="0" w:firstRowFirstColumn="0" w:firstRowLastColumn="0" w:lastRowFirstColumn="0" w:lastRowLastColumn="0"/>
          <w:trHeight w:val="948"/>
          <w:jc w:val="center"/>
        </w:trPr>
        <w:tc>
          <w:tcPr>
            <w:cnfStyle w:val="001000000000" w:firstRow="0" w:lastRow="0" w:firstColumn="1" w:lastColumn="0" w:oddVBand="0" w:evenVBand="0" w:oddHBand="0" w:evenHBand="0" w:firstRowFirstColumn="0" w:firstRowLastColumn="0" w:lastRowFirstColumn="0" w:lastRowLastColumn="0"/>
            <w:tcW w:w="745" w:type="dxa"/>
            <w:vAlign w:val="center"/>
          </w:tcPr>
          <w:p w14:paraId="14E7F08C" w14:textId="77777777" w:rsidR="00CF7396" w:rsidRPr="00CF7396" w:rsidRDefault="00CF7396" w:rsidP="00CF7396">
            <w:pPr>
              <w:tabs>
                <w:tab w:val="left" w:pos="571"/>
              </w:tabs>
              <w:ind w:right="9"/>
              <w:jc w:val="center"/>
              <w:rPr>
                <w:color w:val="000000" w:themeColor="text1"/>
                <w:lang w:eastAsia="zh-CN"/>
              </w:rPr>
            </w:pPr>
          </w:p>
        </w:tc>
        <w:tc>
          <w:tcPr>
            <w:tcW w:w="3904" w:type="dxa"/>
            <w:vAlign w:val="center"/>
          </w:tcPr>
          <w:p w14:paraId="2103FABC" w14:textId="77777777" w:rsidR="00CF7396" w:rsidRPr="00CF7396" w:rsidRDefault="00CF7396" w:rsidP="00CF7396">
            <w:pPr>
              <w:ind w:right="-70"/>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CF7396">
              <w:rPr>
                <w:color w:val="000000" w:themeColor="text1"/>
                <w:lang w:eastAsia="zh-CN"/>
              </w:rPr>
              <w:t>Herramienta del Modelo de Análisis Integral de despachos judiciales y tabla de calificaciones</w:t>
            </w:r>
          </w:p>
        </w:tc>
        <w:tc>
          <w:tcPr>
            <w:tcW w:w="2175" w:type="dxa"/>
            <w:vAlign w:val="center"/>
          </w:tcPr>
          <w:p w14:paraId="30B6C9E7" w14:textId="77777777" w:rsidR="00CF7396" w:rsidRPr="00CF7396" w:rsidRDefault="00CF7396" w:rsidP="00CF7396">
            <w:pPr>
              <w:ind w:right="-68"/>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CF7396">
              <w:rPr>
                <w:b/>
                <w:i/>
                <w:color w:val="000000" w:themeColor="text1"/>
                <w:lang w:val="es-ES" w:eastAsia="en-US"/>
              </w:rPr>
              <w:object w:dxaOrig="1440" w:dyaOrig="932" w14:anchorId="094931F2">
                <v:shape id="_x0000_i1029" type="#_x0000_t75" style="width:1in;height:48.5pt" o:ole="">
                  <v:imagedata r:id="rId59" o:title=""/>
                </v:shape>
                <o:OLEObject Type="Embed" ProgID="Excel.Sheet.12" ShapeID="_x0000_i1029" DrawAspect="Icon" ObjectID="_1739619089" r:id="rId60"/>
              </w:object>
            </w:r>
          </w:p>
        </w:tc>
      </w:tr>
      <w:tr w:rsidR="00CF7396" w:rsidRPr="00CF7396" w14:paraId="3A868339" w14:textId="77777777" w:rsidTr="00AF369B">
        <w:trPr>
          <w:trHeight w:val="948"/>
          <w:jc w:val="center"/>
        </w:trPr>
        <w:tc>
          <w:tcPr>
            <w:cnfStyle w:val="001000000000" w:firstRow="0" w:lastRow="0" w:firstColumn="1" w:lastColumn="0" w:oddVBand="0" w:evenVBand="0" w:oddHBand="0" w:evenHBand="0" w:firstRowFirstColumn="0" w:firstRowLastColumn="0" w:lastRowFirstColumn="0" w:lastRowLastColumn="0"/>
            <w:tcW w:w="745" w:type="dxa"/>
            <w:vAlign w:val="center"/>
          </w:tcPr>
          <w:p w14:paraId="2BD08021" w14:textId="77777777" w:rsidR="00CF7396" w:rsidRPr="00CF7396" w:rsidRDefault="00CF7396" w:rsidP="00CF7396">
            <w:pPr>
              <w:tabs>
                <w:tab w:val="left" w:pos="571"/>
              </w:tabs>
              <w:ind w:right="9"/>
              <w:jc w:val="center"/>
              <w:rPr>
                <w:color w:val="000000" w:themeColor="text1"/>
                <w:lang w:eastAsia="zh-CN"/>
              </w:rPr>
            </w:pPr>
            <w:r w:rsidRPr="00CF7396">
              <w:rPr>
                <w:color w:val="000000" w:themeColor="text1"/>
                <w:lang w:eastAsia="zh-CN"/>
              </w:rPr>
              <w:t>1</w:t>
            </w:r>
          </w:p>
        </w:tc>
        <w:tc>
          <w:tcPr>
            <w:tcW w:w="3904" w:type="dxa"/>
            <w:vAlign w:val="center"/>
          </w:tcPr>
          <w:p w14:paraId="78D045D4" w14:textId="77777777" w:rsidR="00CF7396" w:rsidRPr="00CF7396" w:rsidRDefault="00CF7396" w:rsidP="00CF7396">
            <w:pPr>
              <w:ind w:right="-70"/>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CF7396">
              <w:rPr>
                <w:color w:val="000000" w:themeColor="text1"/>
                <w:lang w:eastAsia="zh-CN"/>
              </w:rPr>
              <w:t>Oficio 217-PLA-2020 Actualización del Modelo de Seguimiento y Sostenibilidad</w:t>
            </w:r>
          </w:p>
        </w:tc>
        <w:bookmarkStart w:id="23" w:name="_MON_1710829254"/>
        <w:bookmarkEnd w:id="23"/>
        <w:tc>
          <w:tcPr>
            <w:tcW w:w="2175" w:type="dxa"/>
            <w:vAlign w:val="center"/>
          </w:tcPr>
          <w:p w14:paraId="6913E008" w14:textId="77777777" w:rsidR="00CF7396" w:rsidRPr="00CF7396" w:rsidRDefault="00CF7396" w:rsidP="00CF7396">
            <w:pPr>
              <w:ind w:right="-68"/>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CF7396">
              <w:rPr>
                <w:color w:val="000000" w:themeColor="text1"/>
                <w:lang w:val="es-ES" w:eastAsia="zh-CN"/>
              </w:rPr>
              <w:object w:dxaOrig="1508" w:dyaOrig="983" w14:anchorId="580DCC1B">
                <v:shape id="_x0000_i1030" type="#_x0000_t75" style="width:77pt;height:52.5pt" o:ole="">
                  <v:imagedata r:id="rId61" o:title=""/>
                </v:shape>
                <o:OLEObject Type="Embed" ProgID="Word.Document.12" ShapeID="_x0000_i1030" DrawAspect="Icon" ObjectID="_1739619090" r:id="rId62">
                  <o:FieldCodes>\s</o:FieldCodes>
                </o:OLEObject>
              </w:object>
            </w:r>
          </w:p>
        </w:tc>
      </w:tr>
      <w:tr w:rsidR="00CF7396" w:rsidRPr="00CF7396" w14:paraId="21B05255" w14:textId="77777777" w:rsidTr="00AF369B">
        <w:trPr>
          <w:cnfStyle w:val="000000100000" w:firstRow="0" w:lastRow="0" w:firstColumn="0" w:lastColumn="0" w:oddVBand="0" w:evenVBand="0" w:oddHBand="1" w:evenHBand="0" w:firstRowFirstColumn="0" w:firstRowLastColumn="0" w:lastRowFirstColumn="0" w:lastRowLastColumn="0"/>
          <w:trHeight w:val="948"/>
          <w:jc w:val="center"/>
        </w:trPr>
        <w:tc>
          <w:tcPr>
            <w:cnfStyle w:val="001000000000" w:firstRow="0" w:lastRow="0" w:firstColumn="1" w:lastColumn="0" w:oddVBand="0" w:evenVBand="0" w:oddHBand="0" w:evenHBand="0" w:firstRowFirstColumn="0" w:firstRowLastColumn="0" w:lastRowFirstColumn="0" w:lastRowLastColumn="0"/>
            <w:tcW w:w="745" w:type="dxa"/>
            <w:vAlign w:val="center"/>
          </w:tcPr>
          <w:p w14:paraId="55650643" w14:textId="77777777" w:rsidR="00CF7396" w:rsidRPr="00CF7396" w:rsidRDefault="00CF7396" w:rsidP="00CF7396">
            <w:pPr>
              <w:tabs>
                <w:tab w:val="left" w:pos="571"/>
              </w:tabs>
              <w:ind w:right="9"/>
              <w:jc w:val="center"/>
              <w:rPr>
                <w:color w:val="000000" w:themeColor="text1"/>
                <w:lang w:eastAsia="zh-CN"/>
              </w:rPr>
            </w:pPr>
            <w:r w:rsidRPr="00CF7396">
              <w:rPr>
                <w:color w:val="000000" w:themeColor="text1"/>
                <w:lang w:eastAsia="zh-CN"/>
              </w:rPr>
              <w:t>2</w:t>
            </w:r>
          </w:p>
        </w:tc>
        <w:tc>
          <w:tcPr>
            <w:tcW w:w="3904" w:type="dxa"/>
            <w:vAlign w:val="center"/>
          </w:tcPr>
          <w:p w14:paraId="1FAE090A" w14:textId="77777777" w:rsidR="00CF7396" w:rsidRPr="00CF7396" w:rsidRDefault="00CF7396" w:rsidP="00CF7396">
            <w:pPr>
              <w:ind w:right="-70"/>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CF7396">
              <w:rPr>
                <w:color w:val="000000" w:themeColor="text1"/>
                <w:lang w:eastAsia="zh-CN"/>
              </w:rPr>
              <w:t>Circular 09-2018 Utilización del “formulario de solicitud de estudio a la Dirección de Planificación</w:t>
            </w:r>
          </w:p>
        </w:tc>
        <w:tc>
          <w:tcPr>
            <w:tcW w:w="2175" w:type="dxa"/>
            <w:vAlign w:val="center"/>
          </w:tcPr>
          <w:p w14:paraId="729D9028" w14:textId="77777777" w:rsidR="00CF7396" w:rsidRPr="00CF7396" w:rsidRDefault="00CF7396" w:rsidP="00CF7396">
            <w:pPr>
              <w:ind w:right="-68"/>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CF7396">
              <w:rPr>
                <w:color w:val="000000" w:themeColor="text1"/>
                <w:lang w:val="es-ES" w:eastAsia="zh-CN"/>
              </w:rPr>
              <w:object w:dxaOrig="1376" w:dyaOrig="893" w14:anchorId="245C14AE">
                <v:shape id="_x0000_i1031" type="#_x0000_t75" style="width:70pt;height:45pt" o:ole="">
                  <v:imagedata r:id="rId63" o:title=""/>
                </v:shape>
                <o:OLEObject Type="Embed" ProgID="Acrobat.Document.DC" ShapeID="_x0000_i1031" DrawAspect="Icon" ObjectID="_1739619091" r:id="rId64"/>
              </w:object>
            </w:r>
          </w:p>
        </w:tc>
      </w:tr>
      <w:tr w:rsidR="00CF7396" w:rsidRPr="00CF7396" w14:paraId="27E6EC19" w14:textId="77777777" w:rsidTr="00AF369B">
        <w:trPr>
          <w:trHeight w:val="948"/>
          <w:jc w:val="center"/>
        </w:trPr>
        <w:tc>
          <w:tcPr>
            <w:cnfStyle w:val="001000000000" w:firstRow="0" w:lastRow="0" w:firstColumn="1" w:lastColumn="0" w:oddVBand="0" w:evenVBand="0" w:oddHBand="0" w:evenHBand="0" w:firstRowFirstColumn="0" w:firstRowLastColumn="0" w:lastRowFirstColumn="0" w:lastRowLastColumn="0"/>
            <w:tcW w:w="745" w:type="dxa"/>
            <w:vAlign w:val="center"/>
          </w:tcPr>
          <w:p w14:paraId="04534DD7" w14:textId="77777777" w:rsidR="00CF7396" w:rsidRPr="00CF7396" w:rsidRDefault="00CF7396" w:rsidP="00CF7396">
            <w:pPr>
              <w:tabs>
                <w:tab w:val="left" w:pos="571"/>
              </w:tabs>
              <w:ind w:right="9"/>
              <w:jc w:val="center"/>
              <w:rPr>
                <w:color w:val="000000" w:themeColor="text1"/>
                <w:lang w:eastAsia="zh-CN"/>
              </w:rPr>
            </w:pPr>
            <w:r w:rsidRPr="00CF7396">
              <w:rPr>
                <w:color w:val="000000" w:themeColor="text1"/>
                <w:lang w:eastAsia="zh-CN"/>
              </w:rPr>
              <w:t>3</w:t>
            </w:r>
          </w:p>
        </w:tc>
        <w:tc>
          <w:tcPr>
            <w:tcW w:w="3904" w:type="dxa"/>
            <w:vAlign w:val="center"/>
          </w:tcPr>
          <w:p w14:paraId="0ADDE51C" w14:textId="77777777" w:rsidR="00CF7396" w:rsidRPr="00CF7396" w:rsidRDefault="00CF7396" w:rsidP="00CF7396">
            <w:pPr>
              <w:ind w:right="-70"/>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CF7396">
              <w:rPr>
                <w:color w:val="000000" w:themeColor="text1"/>
                <w:lang w:eastAsia="zh-CN"/>
              </w:rPr>
              <w:t>Circular 94-2019, mantener los sistemas actualizados</w:t>
            </w:r>
          </w:p>
        </w:tc>
        <w:bookmarkStart w:id="24" w:name="_MON_1710829469"/>
        <w:bookmarkEnd w:id="24"/>
        <w:tc>
          <w:tcPr>
            <w:tcW w:w="2175" w:type="dxa"/>
            <w:vAlign w:val="center"/>
          </w:tcPr>
          <w:p w14:paraId="7DAB18E4" w14:textId="77777777" w:rsidR="00CF7396" w:rsidRPr="00CF7396" w:rsidRDefault="00CF7396" w:rsidP="00CF7396">
            <w:pPr>
              <w:ind w:right="-68"/>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CF7396">
              <w:rPr>
                <w:color w:val="000000" w:themeColor="text1"/>
                <w:lang w:val="es-ES" w:eastAsia="zh-CN"/>
              </w:rPr>
              <w:object w:dxaOrig="1508" w:dyaOrig="983" w14:anchorId="7B922E20">
                <v:shape id="_x0000_i1032" type="#_x0000_t75" style="width:77pt;height:52.5pt" o:ole="">
                  <v:imagedata r:id="rId65" o:title=""/>
                </v:shape>
                <o:OLEObject Type="Embed" ProgID="Word.Document.12" ShapeID="_x0000_i1032" DrawAspect="Icon" ObjectID="_1739619092" r:id="rId66">
                  <o:FieldCodes>\s</o:FieldCodes>
                </o:OLEObject>
              </w:object>
            </w:r>
          </w:p>
        </w:tc>
      </w:tr>
      <w:tr w:rsidR="00CF7396" w:rsidRPr="00CF7396" w14:paraId="6031ABE0" w14:textId="77777777" w:rsidTr="00AF369B">
        <w:trPr>
          <w:cnfStyle w:val="000000100000" w:firstRow="0" w:lastRow="0" w:firstColumn="0" w:lastColumn="0" w:oddVBand="0" w:evenVBand="0" w:oddHBand="1" w:evenHBand="0" w:firstRowFirstColumn="0" w:firstRowLastColumn="0" w:lastRowFirstColumn="0" w:lastRowLastColumn="0"/>
          <w:trHeight w:val="948"/>
          <w:jc w:val="center"/>
        </w:trPr>
        <w:tc>
          <w:tcPr>
            <w:cnfStyle w:val="001000000000" w:firstRow="0" w:lastRow="0" w:firstColumn="1" w:lastColumn="0" w:oddVBand="0" w:evenVBand="0" w:oddHBand="0" w:evenHBand="0" w:firstRowFirstColumn="0" w:firstRowLastColumn="0" w:lastRowFirstColumn="0" w:lastRowLastColumn="0"/>
            <w:tcW w:w="745" w:type="dxa"/>
            <w:vAlign w:val="center"/>
          </w:tcPr>
          <w:p w14:paraId="60FC4BEE" w14:textId="77777777" w:rsidR="00CF7396" w:rsidRPr="00CF7396" w:rsidRDefault="00CF7396" w:rsidP="00CF7396">
            <w:pPr>
              <w:tabs>
                <w:tab w:val="left" w:pos="571"/>
              </w:tabs>
              <w:ind w:right="9"/>
              <w:jc w:val="center"/>
              <w:rPr>
                <w:color w:val="000000" w:themeColor="text1"/>
                <w:lang w:eastAsia="zh-CN"/>
              </w:rPr>
            </w:pPr>
            <w:r w:rsidRPr="00CF7396">
              <w:rPr>
                <w:color w:val="000000" w:themeColor="text1"/>
                <w:lang w:eastAsia="zh-CN"/>
              </w:rPr>
              <w:t>4</w:t>
            </w:r>
          </w:p>
        </w:tc>
        <w:tc>
          <w:tcPr>
            <w:tcW w:w="3904" w:type="dxa"/>
            <w:vAlign w:val="center"/>
          </w:tcPr>
          <w:p w14:paraId="49F9C2ED" w14:textId="77777777" w:rsidR="00CF7396" w:rsidRPr="00CF7396" w:rsidRDefault="00CF7396" w:rsidP="00CF7396">
            <w:pPr>
              <w:ind w:right="-70"/>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CF7396">
              <w:rPr>
                <w:color w:val="000000" w:themeColor="text1"/>
                <w:lang w:eastAsia="zh-CN"/>
              </w:rPr>
              <w:t>Circular 133-2018 “mantener actualizados los sistemas informáticos que apoyan la gestión de los despachos judiciales”</w:t>
            </w:r>
          </w:p>
        </w:tc>
        <w:bookmarkStart w:id="25" w:name="_MON_1710829527"/>
        <w:bookmarkEnd w:id="25"/>
        <w:tc>
          <w:tcPr>
            <w:tcW w:w="2175" w:type="dxa"/>
            <w:vAlign w:val="center"/>
          </w:tcPr>
          <w:p w14:paraId="0DB7D34B" w14:textId="77777777" w:rsidR="00CF7396" w:rsidRPr="00CF7396" w:rsidRDefault="00CF7396" w:rsidP="00CF7396">
            <w:pPr>
              <w:ind w:right="-68"/>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CF7396">
              <w:rPr>
                <w:color w:val="000000" w:themeColor="text1"/>
                <w:lang w:val="es-ES" w:eastAsia="zh-CN"/>
              </w:rPr>
              <w:object w:dxaOrig="1508" w:dyaOrig="983" w14:anchorId="32007670">
                <v:shape id="_x0000_i1033" type="#_x0000_t75" style="width:77pt;height:52.5pt" o:ole="">
                  <v:imagedata r:id="rId67" o:title=""/>
                </v:shape>
                <o:OLEObject Type="Embed" ProgID="Word.Document.12" ShapeID="_x0000_i1033" DrawAspect="Icon" ObjectID="_1739619093" r:id="rId68">
                  <o:FieldCodes>\s</o:FieldCodes>
                </o:OLEObject>
              </w:object>
            </w:r>
          </w:p>
        </w:tc>
      </w:tr>
      <w:tr w:rsidR="00CF7396" w:rsidRPr="00CF7396" w14:paraId="5F7068E3" w14:textId="77777777" w:rsidTr="00AF369B">
        <w:trPr>
          <w:trHeight w:val="948"/>
          <w:jc w:val="center"/>
        </w:trPr>
        <w:tc>
          <w:tcPr>
            <w:cnfStyle w:val="001000000000" w:firstRow="0" w:lastRow="0" w:firstColumn="1" w:lastColumn="0" w:oddVBand="0" w:evenVBand="0" w:oddHBand="0" w:evenHBand="0" w:firstRowFirstColumn="0" w:firstRowLastColumn="0" w:lastRowFirstColumn="0" w:lastRowLastColumn="0"/>
            <w:tcW w:w="745" w:type="dxa"/>
            <w:vAlign w:val="center"/>
          </w:tcPr>
          <w:p w14:paraId="6C9BA316" w14:textId="77777777" w:rsidR="00CF7396" w:rsidRPr="00CF7396" w:rsidRDefault="00CF7396" w:rsidP="00CF7396">
            <w:pPr>
              <w:tabs>
                <w:tab w:val="left" w:pos="571"/>
              </w:tabs>
              <w:ind w:right="9"/>
              <w:jc w:val="center"/>
              <w:rPr>
                <w:color w:val="000000" w:themeColor="text1"/>
                <w:lang w:eastAsia="zh-CN"/>
              </w:rPr>
            </w:pPr>
            <w:r w:rsidRPr="00CF7396">
              <w:rPr>
                <w:color w:val="000000" w:themeColor="text1"/>
                <w:lang w:eastAsia="zh-CN"/>
              </w:rPr>
              <w:t>5</w:t>
            </w:r>
          </w:p>
        </w:tc>
        <w:tc>
          <w:tcPr>
            <w:tcW w:w="3904" w:type="dxa"/>
            <w:vAlign w:val="center"/>
          </w:tcPr>
          <w:p w14:paraId="29CC86B8" w14:textId="77777777" w:rsidR="00CF7396" w:rsidRPr="00CF7396" w:rsidRDefault="00CF7396" w:rsidP="00CF7396">
            <w:pPr>
              <w:ind w:right="-70"/>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CF7396">
              <w:rPr>
                <w:color w:val="000000" w:themeColor="text1"/>
                <w:lang w:eastAsia="zh-CN"/>
              </w:rPr>
              <w:t xml:space="preserve">Circular 38-2022, 187-2022 </w:t>
            </w:r>
            <w:r w:rsidRPr="00CF7396">
              <w:rPr>
                <w:color w:val="000000" w:themeColor="text1"/>
              </w:rPr>
              <w:t>Obligación de las oficinas en las cuales se esté implementando el Modelo de Sostenibilidad y Seguimiento de los Proyectos de Rediseño, incluir en el Sistema de Proposición Electrónica de Nombramientos (PIN), como días no laborados solamente vacaciones, incapacidades, permisos con o sin goce de salario.</w:t>
            </w:r>
          </w:p>
        </w:tc>
        <w:bookmarkStart w:id="26" w:name="_MON_1716042408"/>
        <w:bookmarkEnd w:id="26"/>
        <w:tc>
          <w:tcPr>
            <w:tcW w:w="2175" w:type="dxa"/>
            <w:vAlign w:val="center"/>
          </w:tcPr>
          <w:p w14:paraId="265900E9" w14:textId="77777777" w:rsidR="00CF7396" w:rsidRPr="00CF7396" w:rsidRDefault="00CF7396" w:rsidP="00CF7396">
            <w:pPr>
              <w:ind w:right="-68"/>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CF7396">
              <w:rPr>
                <w:color w:val="000000" w:themeColor="text1"/>
                <w:lang w:val="es-ES" w:eastAsia="zh-CN"/>
              </w:rPr>
              <w:object w:dxaOrig="1537" w:dyaOrig="997" w14:anchorId="56CC876B">
                <v:shape id="_x0000_i1034" type="#_x0000_t75" style="width:76.5pt;height:49.5pt" o:ole="">
                  <v:imagedata r:id="rId69" o:title=""/>
                </v:shape>
                <o:OLEObject Type="Embed" ProgID="Word.Document.12" ShapeID="_x0000_i1034" DrawAspect="Icon" ObjectID="_1739619094" r:id="rId70">
                  <o:FieldCodes>\s</o:FieldCodes>
                </o:OLEObject>
              </w:object>
            </w:r>
          </w:p>
          <w:bookmarkStart w:id="27" w:name="_MON_1729000538"/>
          <w:bookmarkEnd w:id="27"/>
          <w:p w14:paraId="3F84A9BC" w14:textId="77777777" w:rsidR="00CF7396" w:rsidRPr="00CF7396" w:rsidRDefault="00CF7396" w:rsidP="00CF7396">
            <w:pPr>
              <w:ind w:right="-68"/>
              <w:jc w:val="center"/>
              <w:cnfStyle w:val="000000000000" w:firstRow="0" w:lastRow="0" w:firstColumn="0" w:lastColumn="0" w:oddVBand="0" w:evenVBand="0" w:oddHBand="0" w:evenHBand="0" w:firstRowFirstColumn="0" w:firstRowLastColumn="0" w:lastRowFirstColumn="0" w:lastRowLastColumn="0"/>
              <w:rPr>
                <w:color w:val="000000" w:themeColor="text1"/>
                <w:lang w:eastAsia="zh-CN"/>
              </w:rPr>
            </w:pPr>
            <w:r w:rsidRPr="00CF7396">
              <w:rPr>
                <w:color w:val="000000" w:themeColor="text1"/>
                <w:lang w:val="es-ES" w:eastAsia="zh-CN"/>
              </w:rPr>
              <w:object w:dxaOrig="1537" w:dyaOrig="997" w14:anchorId="7F7400D0">
                <v:shape id="_x0000_i1035" type="#_x0000_t75" style="width:76.5pt;height:49.5pt" o:ole="">
                  <v:imagedata r:id="rId71" o:title=""/>
                </v:shape>
                <o:OLEObject Type="Embed" ProgID="Word.Document.12" ShapeID="_x0000_i1035" DrawAspect="Icon" ObjectID="_1739619095" r:id="rId72">
                  <o:FieldCodes>\s</o:FieldCodes>
                </o:OLEObject>
              </w:object>
            </w:r>
          </w:p>
        </w:tc>
      </w:tr>
      <w:tr w:rsidR="00CF7396" w:rsidRPr="00CF7396" w14:paraId="3D407E26" w14:textId="77777777" w:rsidTr="00AF369B">
        <w:trPr>
          <w:cnfStyle w:val="000000100000" w:firstRow="0" w:lastRow="0" w:firstColumn="0" w:lastColumn="0" w:oddVBand="0" w:evenVBand="0" w:oddHBand="1" w:evenHBand="0" w:firstRowFirstColumn="0" w:firstRowLastColumn="0" w:lastRowFirstColumn="0" w:lastRowLastColumn="0"/>
          <w:trHeight w:val="948"/>
          <w:jc w:val="center"/>
        </w:trPr>
        <w:tc>
          <w:tcPr>
            <w:cnfStyle w:val="001000000000" w:firstRow="0" w:lastRow="0" w:firstColumn="1" w:lastColumn="0" w:oddVBand="0" w:evenVBand="0" w:oddHBand="0" w:evenHBand="0" w:firstRowFirstColumn="0" w:firstRowLastColumn="0" w:lastRowFirstColumn="0" w:lastRowLastColumn="0"/>
            <w:tcW w:w="745" w:type="dxa"/>
            <w:vAlign w:val="center"/>
          </w:tcPr>
          <w:p w14:paraId="7674B343" w14:textId="77777777" w:rsidR="00CF7396" w:rsidRPr="00CF7396" w:rsidRDefault="00CF7396" w:rsidP="00CF7396">
            <w:pPr>
              <w:tabs>
                <w:tab w:val="left" w:pos="571"/>
              </w:tabs>
              <w:ind w:right="9"/>
              <w:jc w:val="center"/>
              <w:rPr>
                <w:color w:val="000000" w:themeColor="text1"/>
                <w:lang w:eastAsia="zh-CN"/>
              </w:rPr>
            </w:pPr>
            <w:r w:rsidRPr="00CF7396">
              <w:rPr>
                <w:color w:val="000000" w:themeColor="text1"/>
                <w:lang w:eastAsia="zh-CN"/>
              </w:rPr>
              <w:t>6</w:t>
            </w:r>
          </w:p>
        </w:tc>
        <w:tc>
          <w:tcPr>
            <w:tcW w:w="3904" w:type="dxa"/>
            <w:vAlign w:val="center"/>
          </w:tcPr>
          <w:p w14:paraId="760E19A2" w14:textId="77777777" w:rsidR="00CF7396" w:rsidRPr="00CF7396" w:rsidRDefault="00CF7396" w:rsidP="00CF7396">
            <w:pPr>
              <w:ind w:right="-70"/>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CF7396">
              <w:rPr>
                <w:color w:val="000000" w:themeColor="text1"/>
                <w:lang w:eastAsia="zh-CN"/>
              </w:rPr>
              <w:t>Informe 312-CACMFJ-JEF-2021 seguimiento de por COVID-19</w:t>
            </w:r>
          </w:p>
        </w:tc>
        <w:bookmarkStart w:id="28" w:name="_MON_1729076095"/>
        <w:bookmarkEnd w:id="28"/>
        <w:tc>
          <w:tcPr>
            <w:tcW w:w="2175" w:type="dxa"/>
            <w:vAlign w:val="center"/>
          </w:tcPr>
          <w:p w14:paraId="15FA4547" w14:textId="77777777" w:rsidR="00CF7396" w:rsidRPr="00CF7396" w:rsidDel="009B31F1" w:rsidRDefault="00CF7396" w:rsidP="00CF7396">
            <w:pPr>
              <w:ind w:right="-68"/>
              <w:jc w:val="center"/>
              <w:cnfStyle w:val="000000100000" w:firstRow="0" w:lastRow="0" w:firstColumn="0" w:lastColumn="0" w:oddVBand="0" w:evenVBand="0" w:oddHBand="1" w:evenHBand="0" w:firstRowFirstColumn="0" w:firstRowLastColumn="0" w:lastRowFirstColumn="0" w:lastRowLastColumn="0"/>
              <w:rPr>
                <w:color w:val="000000" w:themeColor="text1"/>
                <w:lang w:eastAsia="zh-CN"/>
              </w:rPr>
            </w:pPr>
            <w:r w:rsidRPr="00CF7396">
              <w:rPr>
                <w:color w:val="000000" w:themeColor="text1"/>
                <w:lang w:val="es-ES" w:eastAsia="zh-CN"/>
              </w:rPr>
              <w:object w:dxaOrig="1508" w:dyaOrig="983" w14:anchorId="20502FD0">
                <v:shape id="_x0000_i1036" type="#_x0000_t75" style="width:74.5pt;height:48.5pt" o:ole="">
                  <v:imagedata r:id="rId73" o:title=""/>
                </v:shape>
                <o:OLEObject Type="Embed" ProgID="Word.Document.12" ShapeID="_x0000_i1036" DrawAspect="Icon" ObjectID="_1739619096" r:id="rId74">
                  <o:FieldCodes>\s</o:FieldCodes>
                </o:OLEObject>
              </w:object>
            </w:r>
          </w:p>
        </w:tc>
      </w:tr>
    </w:tbl>
    <w:p w14:paraId="6E344AF9" w14:textId="77777777" w:rsidR="00CF7396" w:rsidRPr="00CF7396" w:rsidRDefault="00CF7396" w:rsidP="00CF7396">
      <w:pPr>
        <w:rPr>
          <w:color w:val="000000" w:themeColor="text1"/>
          <w:lang w:val="es-CR"/>
        </w:rPr>
      </w:pPr>
    </w:p>
    <w:p w14:paraId="672D241F" w14:textId="77777777" w:rsidR="00CF7396" w:rsidRPr="00CF7396" w:rsidRDefault="00CF7396" w:rsidP="00CF7396">
      <w:pPr>
        <w:rPr>
          <w:color w:val="000000" w:themeColor="text1"/>
          <w:lang w:val="es-CR"/>
        </w:rPr>
      </w:pPr>
    </w:p>
    <w:p w14:paraId="49CFA83B" w14:textId="77777777" w:rsidR="00CF7396" w:rsidRPr="00CF7396" w:rsidRDefault="00CF7396" w:rsidP="00CF7396">
      <w:pPr>
        <w:ind w:left="851" w:right="851" w:firstLine="709"/>
        <w:rPr>
          <w:color w:val="000000" w:themeColor="text1"/>
          <w:lang w:val="es-CR"/>
        </w:rPr>
      </w:pPr>
      <w:r w:rsidRPr="00CF7396">
        <w:rPr>
          <w:color w:val="000000" w:themeColor="text1"/>
          <w:lang w:val="es-CR"/>
        </w:rPr>
        <w:t>[…]”.</w:t>
      </w:r>
    </w:p>
    <w:p w14:paraId="3E75B9A6" w14:textId="77777777" w:rsidR="00CF7396" w:rsidRPr="00CF7396" w:rsidRDefault="00CF7396" w:rsidP="00CF7396">
      <w:pPr>
        <w:ind w:left="851" w:right="851" w:firstLine="709"/>
        <w:jc w:val="center"/>
        <w:rPr>
          <w:color w:val="000000" w:themeColor="text1"/>
          <w:lang w:val="es-CR"/>
        </w:rPr>
      </w:pPr>
      <w:r w:rsidRPr="00CF7396">
        <w:rPr>
          <w:color w:val="000000" w:themeColor="text1"/>
          <w:lang w:val="es-CR"/>
        </w:rPr>
        <w:t>-0-</w:t>
      </w:r>
    </w:p>
    <w:p w14:paraId="455FE374" w14:textId="77777777" w:rsidR="00CF7396" w:rsidRPr="00CF7396" w:rsidRDefault="00CF7396" w:rsidP="00CF7396">
      <w:pPr>
        <w:ind w:left="851" w:right="851" w:firstLine="709"/>
        <w:rPr>
          <w:color w:val="000000" w:themeColor="text1"/>
          <w:lang w:val="es-CR"/>
        </w:rPr>
      </w:pPr>
    </w:p>
    <w:p w14:paraId="0AA5C44B" w14:textId="77777777" w:rsidR="00CF7396" w:rsidRPr="00CF7396" w:rsidRDefault="00CF7396" w:rsidP="00CF7396">
      <w:pPr>
        <w:ind w:firstLine="709"/>
        <w:jc w:val="both"/>
        <w:rPr>
          <w:color w:val="000000" w:themeColor="text1"/>
          <w:lang w:val="es-CR"/>
        </w:rPr>
      </w:pPr>
      <w:r w:rsidRPr="00CF7396">
        <w:rPr>
          <w:color w:val="000000" w:themeColor="text1"/>
          <w:lang w:val="es-CR"/>
        </w:rPr>
        <w:t xml:space="preserve">Por su parte, la Licenciada Maricruz Chacón Cubillo, </w:t>
      </w:r>
      <w:proofErr w:type="gramStart"/>
      <w:r w:rsidRPr="00CF7396">
        <w:rPr>
          <w:color w:val="000000" w:themeColor="text1"/>
          <w:lang w:val="es-CR"/>
        </w:rPr>
        <w:t>Directora</w:t>
      </w:r>
      <w:proofErr w:type="gramEnd"/>
      <w:r w:rsidRPr="00CF7396">
        <w:rPr>
          <w:color w:val="000000" w:themeColor="text1"/>
          <w:lang w:val="es-CR"/>
        </w:rPr>
        <w:t xml:space="preserve"> del Centro de Apoyo, Coordinación y Mejoramiento de la Función Jurisdiccional, mediante oficio N°403-CACMFJ-JEF-2022 del 22 de noviembre de 2022, señala lo siguiente respecto al informe: </w:t>
      </w:r>
    </w:p>
    <w:p w14:paraId="14681AFC" w14:textId="77777777" w:rsidR="00CF7396" w:rsidRPr="00CF7396" w:rsidRDefault="00CF7396" w:rsidP="00CF7396">
      <w:pPr>
        <w:ind w:left="851" w:right="851" w:firstLine="709"/>
        <w:jc w:val="both"/>
        <w:rPr>
          <w:color w:val="000000" w:themeColor="text1"/>
          <w:lang w:val="es-CR"/>
        </w:rPr>
      </w:pPr>
    </w:p>
    <w:p w14:paraId="78DFEFB0" w14:textId="77777777" w:rsidR="00CF7396" w:rsidRPr="00CF7396" w:rsidRDefault="00CF7396" w:rsidP="00CF7396">
      <w:pPr>
        <w:tabs>
          <w:tab w:val="left" w:pos="851"/>
        </w:tabs>
        <w:ind w:left="851" w:right="851" w:firstLine="709"/>
        <w:jc w:val="both"/>
        <w:rPr>
          <w:i/>
          <w:iCs/>
          <w:color w:val="000000" w:themeColor="text1"/>
          <w:lang w:val="es-CR"/>
        </w:rPr>
      </w:pPr>
      <w:r w:rsidRPr="00CF7396">
        <w:rPr>
          <w:i/>
          <w:iCs/>
          <w:color w:val="000000" w:themeColor="text1"/>
          <w:lang w:val="es-CR"/>
        </w:rPr>
        <w:t>“De la manera más atenta solicito conocer el presente oficio con el informe 1070-PLA-EV-2022, relacionado con el seguimiento del Modelo de Sostenibilidad en el Primer Circuito Judicial de la Zona Atlántica correspondiente al año 2021. Si bien, la Dirección de Planificación hizo del conocimiento del CACMFJ la primera versión del informe citado, se agrega la siguiente recomendación no venía incluida en el informe:</w:t>
      </w:r>
    </w:p>
    <w:p w14:paraId="41FB3157" w14:textId="77777777" w:rsidR="00CF7396" w:rsidRPr="00CF7396" w:rsidRDefault="00CF7396" w:rsidP="00CF7396">
      <w:pPr>
        <w:tabs>
          <w:tab w:val="left" w:pos="851"/>
        </w:tabs>
        <w:ind w:left="851" w:right="851" w:firstLine="709"/>
        <w:jc w:val="both"/>
        <w:rPr>
          <w:i/>
          <w:iCs/>
          <w:color w:val="000000" w:themeColor="text1"/>
          <w:lang w:val="es-CR"/>
        </w:rPr>
      </w:pPr>
    </w:p>
    <w:p w14:paraId="5CA0C0ED" w14:textId="77777777" w:rsidR="00CF7396" w:rsidRPr="00CF7396" w:rsidRDefault="00CF7396" w:rsidP="00CF7396">
      <w:pPr>
        <w:numPr>
          <w:ilvl w:val="0"/>
          <w:numId w:val="67"/>
        </w:numPr>
        <w:ind w:left="851" w:right="851" w:firstLine="709"/>
        <w:contextualSpacing/>
        <w:jc w:val="both"/>
        <w:rPr>
          <w:rFonts w:eastAsia="Book Antiqua"/>
          <w:b/>
          <w:bCs/>
          <w:i/>
          <w:iCs/>
          <w:color w:val="000000" w:themeColor="text1"/>
          <w:lang w:val="es-CR"/>
        </w:rPr>
      </w:pPr>
      <w:r w:rsidRPr="00CF7396">
        <w:rPr>
          <w:rFonts w:eastAsia="Book Antiqua"/>
          <w:b/>
          <w:bCs/>
          <w:i/>
          <w:iCs/>
          <w:color w:val="000000" w:themeColor="text1"/>
          <w:lang w:val="es-CR"/>
        </w:rPr>
        <w:t>Inclusión de la siguiente recomendación (pág. 98):</w:t>
      </w:r>
    </w:p>
    <w:p w14:paraId="1E163AA3" w14:textId="77777777" w:rsidR="00CF7396" w:rsidRPr="00CF7396" w:rsidRDefault="00CF7396" w:rsidP="00CF7396">
      <w:pPr>
        <w:tabs>
          <w:tab w:val="left" w:pos="851"/>
        </w:tabs>
        <w:ind w:left="851" w:right="851" w:firstLine="709"/>
        <w:jc w:val="both"/>
        <w:rPr>
          <w:i/>
          <w:iCs/>
          <w:strike/>
          <w:color w:val="000000" w:themeColor="text1"/>
          <w:lang w:val="es-CR"/>
        </w:rPr>
      </w:pPr>
    </w:p>
    <w:p w14:paraId="55D44054" w14:textId="77777777" w:rsidR="00CF7396" w:rsidRPr="00CF7396" w:rsidRDefault="00CF7396" w:rsidP="00CF7396">
      <w:pPr>
        <w:tabs>
          <w:tab w:val="left" w:pos="851"/>
        </w:tabs>
        <w:ind w:left="851" w:right="851" w:firstLine="709"/>
        <w:jc w:val="both"/>
        <w:rPr>
          <w:i/>
          <w:iCs/>
          <w:color w:val="000000" w:themeColor="text1"/>
          <w:lang w:val="es-CR"/>
        </w:rPr>
      </w:pPr>
      <w:r w:rsidRPr="00CF7396">
        <w:rPr>
          <w:i/>
          <w:iCs/>
          <w:color w:val="000000" w:themeColor="text1"/>
          <w:lang w:val="es-CR"/>
        </w:rPr>
        <w:t>“8.19 Analizar las actas del Consejo de Administración del Circuito, a fin de verificar el cumplimiento de los indicadores de gestión en los despachos y los planes de mejora implementados, a fin de remitir a conocimiento del Consejo Superior los incumplimientos trimestrales”.</w:t>
      </w:r>
    </w:p>
    <w:p w14:paraId="4AB4AA6F" w14:textId="77777777" w:rsidR="00CF7396" w:rsidRPr="00CF7396" w:rsidRDefault="00CF7396" w:rsidP="00CF7396">
      <w:pPr>
        <w:tabs>
          <w:tab w:val="left" w:pos="851"/>
        </w:tabs>
        <w:ind w:left="851" w:right="851" w:firstLine="709"/>
        <w:jc w:val="both"/>
        <w:rPr>
          <w:i/>
          <w:iCs/>
          <w:color w:val="000000" w:themeColor="text1"/>
          <w:lang w:val="es-CR"/>
        </w:rPr>
      </w:pPr>
    </w:p>
    <w:p w14:paraId="0FFB4EF3" w14:textId="77777777" w:rsidR="00CF7396" w:rsidRPr="00CF7396" w:rsidRDefault="00CF7396" w:rsidP="00CF7396">
      <w:pPr>
        <w:numPr>
          <w:ilvl w:val="0"/>
          <w:numId w:val="67"/>
        </w:numPr>
        <w:ind w:left="851" w:right="851" w:firstLine="709"/>
        <w:contextualSpacing/>
        <w:jc w:val="both"/>
        <w:rPr>
          <w:rFonts w:eastAsia="Book Antiqua"/>
          <w:b/>
          <w:bCs/>
          <w:i/>
          <w:iCs/>
          <w:color w:val="000000" w:themeColor="text1"/>
          <w:lang w:val="es-CR"/>
        </w:rPr>
      </w:pPr>
      <w:r w:rsidRPr="00CF7396">
        <w:rPr>
          <w:rFonts w:eastAsia="Book Antiqua"/>
          <w:b/>
          <w:bCs/>
          <w:i/>
          <w:iCs/>
          <w:color w:val="000000" w:themeColor="text1"/>
          <w:lang w:val="es-CR"/>
        </w:rPr>
        <w:t>Recomendación no es competencia del Centro de Apoyo (págs. 98 y 99):</w:t>
      </w:r>
    </w:p>
    <w:p w14:paraId="371085F6" w14:textId="77777777" w:rsidR="00CF7396" w:rsidRPr="00CF7396" w:rsidRDefault="00CF7396" w:rsidP="00CF7396">
      <w:pPr>
        <w:tabs>
          <w:tab w:val="left" w:pos="851"/>
        </w:tabs>
        <w:ind w:left="851" w:right="851" w:firstLine="709"/>
        <w:jc w:val="both"/>
        <w:rPr>
          <w:i/>
          <w:iCs/>
          <w:color w:val="000000" w:themeColor="text1"/>
          <w:lang w:val="es-CR"/>
        </w:rPr>
      </w:pPr>
    </w:p>
    <w:p w14:paraId="0FF0055D" w14:textId="77777777" w:rsidR="00CF7396" w:rsidRPr="00CF7396" w:rsidRDefault="00CF7396" w:rsidP="00CF7396">
      <w:pPr>
        <w:tabs>
          <w:tab w:val="left" w:pos="851"/>
        </w:tabs>
        <w:ind w:left="851" w:right="851" w:firstLine="709"/>
        <w:jc w:val="both"/>
        <w:rPr>
          <w:i/>
          <w:iCs/>
          <w:color w:val="000000" w:themeColor="text1"/>
          <w:lang w:val="es-CR"/>
        </w:rPr>
      </w:pPr>
      <w:r w:rsidRPr="00CF7396">
        <w:rPr>
          <w:i/>
          <w:iCs/>
          <w:color w:val="000000" w:themeColor="text1"/>
          <w:lang w:val="es-CR"/>
        </w:rPr>
        <w:t>“8.22 Brindar seguimiento al desempeño del Licenciado Diego Meoño Piedra, Juez Coordinador del Juzgado de Cobro del Primer Circuito Judicial de la Zona Atlántica e informar al Consejo Superior acerca de los resultados. Lo anterior considerando lo señalado en el apartado 4.2.1 de este informe.”</w:t>
      </w:r>
    </w:p>
    <w:p w14:paraId="060A6FD8" w14:textId="77777777" w:rsidR="00CF7396" w:rsidRPr="00CF7396" w:rsidRDefault="00CF7396" w:rsidP="00CF7396">
      <w:pPr>
        <w:tabs>
          <w:tab w:val="left" w:pos="851"/>
        </w:tabs>
        <w:ind w:left="851" w:right="851" w:firstLine="709"/>
        <w:jc w:val="both"/>
        <w:rPr>
          <w:i/>
          <w:iCs/>
          <w:color w:val="000000" w:themeColor="text1"/>
          <w:lang w:val="es-CR"/>
        </w:rPr>
      </w:pPr>
    </w:p>
    <w:p w14:paraId="597167A4" w14:textId="77777777" w:rsidR="00CF7396" w:rsidRPr="00CF7396" w:rsidRDefault="00CF7396" w:rsidP="00CF7396">
      <w:pPr>
        <w:tabs>
          <w:tab w:val="left" w:pos="851"/>
        </w:tabs>
        <w:ind w:left="851" w:right="851" w:firstLine="709"/>
        <w:jc w:val="both"/>
        <w:rPr>
          <w:i/>
          <w:iCs/>
          <w:color w:val="000000" w:themeColor="text1"/>
          <w:lang w:val="es-CR"/>
        </w:rPr>
      </w:pPr>
      <w:r w:rsidRPr="00CF7396">
        <w:rPr>
          <w:i/>
          <w:iCs/>
          <w:color w:val="000000" w:themeColor="text1"/>
          <w:lang w:val="es-CR"/>
        </w:rPr>
        <w:t>Observaciones:</w:t>
      </w:r>
    </w:p>
    <w:p w14:paraId="6EA1E4ED" w14:textId="77777777" w:rsidR="00CF7396" w:rsidRPr="00CF7396" w:rsidRDefault="00CF7396" w:rsidP="00CF7396">
      <w:pPr>
        <w:tabs>
          <w:tab w:val="left" w:pos="851"/>
        </w:tabs>
        <w:ind w:left="851" w:right="851" w:firstLine="709"/>
        <w:jc w:val="both"/>
        <w:rPr>
          <w:i/>
          <w:iCs/>
          <w:color w:val="000000" w:themeColor="text1"/>
          <w:lang w:val="es-CR"/>
        </w:rPr>
      </w:pPr>
    </w:p>
    <w:p w14:paraId="53D85CF2" w14:textId="77777777" w:rsidR="00CF7396" w:rsidRPr="00CF7396" w:rsidRDefault="00CF7396" w:rsidP="00CF7396">
      <w:pPr>
        <w:numPr>
          <w:ilvl w:val="0"/>
          <w:numId w:val="68"/>
        </w:numPr>
        <w:tabs>
          <w:tab w:val="left" w:pos="851"/>
        </w:tabs>
        <w:ind w:left="851" w:right="851" w:firstLine="709"/>
        <w:contextualSpacing/>
        <w:jc w:val="both"/>
        <w:rPr>
          <w:rFonts w:eastAsia="Book Antiqua"/>
          <w:i/>
          <w:iCs/>
          <w:color w:val="000000" w:themeColor="text1"/>
          <w:lang w:val="es-CR"/>
        </w:rPr>
      </w:pPr>
      <w:r w:rsidRPr="00CF7396">
        <w:rPr>
          <w:rFonts w:eastAsia="Book Antiqua"/>
          <w:i/>
          <w:iCs/>
          <w:color w:val="000000" w:themeColor="text1"/>
          <w:lang w:val="es-CR"/>
        </w:rPr>
        <w:t>La recomendación 8.19 fue agregada por la Dirección de Planificación posterior a la primera versión que fuera enviada al CACMFJ, sin permitir exponer nuestro criterio al respecto.</w:t>
      </w:r>
    </w:p>
    <w:p w14:paraId="2E728BB4" w14:textId="77777777" w:rsidR="00CF7396" w:rsidRPr="00CF7396" w:rsidRDefault="00CF7396" w:rsidP="00CF7396">
      <w:pPr>
        <w:tabs>
          <w:tab w:val="left" w:pos="851"/>
        </w:tabs>
        <w:ind w:left="851" w:right="851" w:firstLine="709"/>
        <w:jc w:val="both"/>
        <w:rPr>
          <w:i/>
          <w:iCs/>
          <w:color w:val="000000" w:themeColor="text1"/>
          <w:lang w:val="es-CR"/>
        </w:rPr>
      </w:pPr>
    </w:p>
    <w:p w14:paraId="7B663F6B" w14:textId="77777777" w:rsidR="00CF7396" w:rsidRPr="00CF7396" w:rsidRDefault="00CF7396" w:rsidP="00CF7396">
      <w:pPr>
        <w:numPr>
          <w:ilvl w:val="0"/>
          <w:numId w:val="33"/>
        </w:numPr>
        <w:tabs>
          <w:tab w:val="left" w:pos="851"/>
        </w:tabs>
        <w:ind w:left="851" w:right="851" w:firstLine="709"/>
        <w:contextualSpacing/>
        <w:jc w:val="both"/>
        <w:rPr>
          <w:i/>
          <w:iCs/>
          <w:color w:val="000000" w:themeColor="text1"/>
          <w:lang w:val="es-CR"/>
        </w:rPr>
      </w:pPr>
      <w:r w:rsidRPr="00CF7396">
        <w:rPr>
          <w:i/>
          <w:iCs/>
          <w:color w:val="000000" w:themeColor="text1"/>
          <w:lang w:val="es-CR"/>
        </w:rPr>
        <w:t xml:space="preserve">Los indicadores son analizados por los profesionales de los Circuitos (Dirección de Planificación y Administración Regional) y </w:t>
      </w:r>
      <w:r w:rsidRPr="00CF7396">
        <w:rPr>
          <w:b/>
          <w:bCs/>
          <w:i/>
          <w:iCs/>
          <w:color w:val="000000" w:themeColor="text1"/>
          <w:lang w:val="es-CR"/>
        </w:rPr>
        <w:t>ellos presentan ante los Consejos de Administración el incumplimiento de los despachos, así como de las personas juzgadoras</w:t>
      </w:r>
      <w:r w:rsidRPr="00CF7396">
        <w:rPr>
          <w:i/>
          <w:iCs/>
          <w:color w:val="000000" w:themeColor="text1"/>
          <w:lang w:val="es-CR"/>
        </w:rPr>
        <w:t xml:space="preserve">, de conformidad con lo establecido en el Modelo de </w:t>
      </w:r>
      <w:r w:rsidRPr="00CF7396">
        <w:rPr>
          <w:rFonts w:eastAsia="Book Antiqua"/>
          <w:i/>
          <w:iCs/>
          <w:color w:val="000000" w:themeColor="text1"/>
          <w:lang w:val="es-CR"/>
        </w:rPr>
        <w:t>So</w:t>
      </w:r>
      <w:r w:rsidRPr="00CF7396">
        <w:rPr>
          <w:i/>
          <w:iCs/>
          <w:color w:val="000000" w:themeColor="text1"/>
          <w:lang w:val="es-CR"/>
        </w:rPr>
        <w:t xml:space="preserve">stenibilidad (como órgano verificador), siendo estas personas las llamadas en primer lugar a comunicar la falta ante las instancias respectivas. De conformidad con las potestades que la Corte Plena le otorga a los Consejos de Administración, (Circular </w:t>
      </w:r>
      <w:proofErr w:type="spellStart"/>
      <w:r w:rsidRPr="00CF7396">
        <w:rPr>
          <w:i/>
          <w:iCs/>
          <w:color w:val="000000" w:themeColor="text1"/>
          <w:lang w:val="es-CR"/>
        </w:rPr>
        <w:t>N°</w:t>
      </w:r>
      <w:proofErr w:type="spellEnd"/>
      <w:r w:rsidRPr="00CF7396">
        <w:rPr>
          <w:i/>
          <w:iCs/>
          <w:color w:val="000000" w:themeColor="text1"/>
          <w:lang w:val="es-CR"/>
        </w:rPr>
        <w:t xml:space="preserve"> 11-2001 sobre Reglamento del Consejo de Administración de Circuito).  </w:t>
      </w:r>
    </w:p>
    <w:p w14:paraId="1C9BF392" w14:textId="77777777" w:rsidR="00CF7396" w:rsidRPr="00CF7396" w:rsidRDefault="00CF7396" w:rsidP="00CF7396">
      <w:pPr>
        <w:tabs>
          <w:tab w:val="left" w:pos="851"/>
        </w:tabs>
        <w:ind w:left="851" w:right="851" w:firstLine="709"/>
        <w:jc w:val="both"/>
        <w:rPr>
          <w:i/>
          <w:iCs/>
          <w:color w:val="000000" w:themeColor="text1"/>
          <w:lang w:val="es-CR"/>
        </w:rPr>
      </w:pPr>
    </w:p>
    <w:p w14:paraId="25DBD9B8" w14:textId="77777777" w:rsidR="00CF7396" w:rsidRPr="00CF7396" w:rsidRDefault="00CF7396" w:rsidP="00CF7396">
      <w:pPr>
        <w:numPr>
          <w:ilvl w:val="0"/>
          <w:numId w:val="33"/>
        </w:numPr>
        <w:tabs>
          <w:tab w:val="left" w:pos="851"/>
        </w:tabs>
        <w:ind w:left="851" w:right="851" w:firstLine="709"/>
        <w:contextualSpacing/>
        <w:jc w:val="both"/>
        <w:rPr>
          <w:i/>
          <w:iCs/>
          <w:color w:val="000000" w:themeColor="text1"/>
          <w:lang w:val="es-CR"/>
        </w:rPr>
      </w:pPr>
      <w:r w:rsidRPr="00CF7396">
        <w:rPr>
          <w:i/>
          <w:iCs/>
          <w:color w:val="000000" w:themeColor="text1"/>
          <w:lang w:val="es-CR"/>
        </w:rPr>
        <w:t xml:space="preserve">Los Consejos de Administración remiten al Consejo Superior el resultado del incumplimiento, por lo que el recomendarse que el Centro comunique los incumplimientos de forma trimestral, implicaría duplicar la información enviada. </w:t>
      </w:r>
    </w:p>
    <w:p w14:paraId="7E3C2BBA" w14:textId="77777777" w:rsidR="00CF7396" w:rsidRPr="00CF7396" w:rsidRDefault="00CF7396" w:rsidP="00CF7396">
      <w:pPr>
        <w:ind w:left="851" w:right="851" w:firstLine="709"/>
        <w:jc w:val="both"/>
        <w:rPr>
          <w:rFonts w:eastAsia="Book Antiqua"/>
          <w:i/>
          <w:iCs/>
          <w:color w:val="000000" w:themeColor="text1"/>
          <w:lang w:val="es-CR"/>
        </w:rPr>
      </w:pPr>
    </w:p>
    <w:p w14:paraId="65666E23" w14:textId="77777777" w:rsidR="00CF7396" w:rsidRPr="00CF7396" w:rsidRDefault="00CF7396" w:rsidP="00CF7396">
      <w:pPr>
        <w:numPr>
          <w:ilvl w:val="0"/>
          <w:numId w:val="69"/>
        </w:numPr>
        <w:ind w:left="851" w:right="851" w:firstLine="709"/>
        <w:contextualSpacing/>
        <w:jc w:val="both"/>
        <w:rPr>
          <w:rFonts w:eastAsia="Book Antiqua"/>
          <w:i/>
          <w:iCs/>
          <w:color w:val="000000" w:themeColor="text1"/>
          <w:lang w:val="es-CR"/>
        </w:rPr>
      </w:pPr>
      <w:r w:rsidRPr="00CF7396">
        <w:rPr>
          <w:rFonts w:eastAsia="Book Antiqua"/>
          <w:i/>
          <w:iCs/>
          <w:color w:val="000000" w:themeColor="text1"/>
          <w:lang w:val="es-CR"/>
        </w:rPr>
        <w:t>De acuerdo con lo establecido en el Modelo de Sostenibilidad ampliado y aprobado por el Consejo Superior N°16-2020, celebrada el 27 de febrero de 2020, artículo LXXIII, indica que la labor de fiscalización se encuentra asignada al CACMFJ, al corresponderle “Fungir como ente fiscalizador para el aseguramiento del cumplimiento del modelo de sostenibilidad de los proyectos de rediseño de los despachos jurisdiccionales en coordinación con las Administraciones Regionales y los despachos judiciales”.</w:t>
      </w:r>
    </w:p>
    <w:p w14:paraId="259C2064" w14:textId="77777777" w:rsidR="00CF7396" w:rsidRPr="00CF7396" w:rsidRDefault="00CF7396" w:rsidP="00CF7396">
      <w:pPr>
        <w:tabs>
          <w:tab w:val="left" w:pos="27"/>
        </w:tabs>
        <w:ind w:left="851" w:right="851" w:firstLine="709"/>
        <w:jc w:val="both"/>
        <w:rPr>
          <w:rFonts w:eastAsia="Book Antiqua"/>
          <w:i/>
          <w:iCs/>
          <w:color w:val="000000" w:themeColor="text1"/>
          <w:lang w:val="es-CR"/>
        </w:rPr>
      </w:pPr>
    </w:p>
    <w:p w14:paraId="7193507A" w14:textId="77777777" w:rsidR="00CF7396" w:rsidRPr="00CF7396" w:rsidRDefault="00CF7396" w:rsidP="00CF7396">
      <w:pPr>
        <w:tabs>
          <w:tab w:val="left" w:pos="27"/>
        </w:tabs>
        <w:ind w:left="851" w:right="851" w:firstLine="709"/>
        <w:jc w:val="both"/>
        <w:rPr>
          <w:i/>
          <w:iCs/>
          <w:color w:val="000000" w:themeColor="text1"/>
          <w:lang w:val="es-CR"/>
        </w:rPr>
      </w:pPr>
      <w:r w:rsidRPr="00CF7396">
        <w:rPr>
          <w:rFonts w:eastAsia="Book Antiqua"/>
          <w:i/>
          <w:iCs/>
          <w:color w:val="000000" w:themeColor="text1"/>
          <w:lang w:val="es-CR"/>
        </w:rPr>
        <w:t>“Asegurar y controlar que los despachos y oficinas judiciales remitan las actas de reunión adjuntando los indicadores de gestión y planes remediales mensualmente.</w:t>
      </w:r>
    </w:p>
    <w:p w14:paraId="3B834258" w14:textId="77777777" w:rsidR="00CF7396" w:rsidRPr="00CF7396" w:rsidRDefault="00CF7396" w:rsidP="00CF7396">
      <w:pPr>
        <w:tabs>
          <w:tab w:val="left" w:pos="27"/>
        </w:tabs>
        <w:ind w:left="851" w:right="851" w:firstLine="709"/>
        <w:jc w:val="both"/>
        <w:rPr>
          <w:rFonts w:eastAsia="Book Antiqua"/>
          <w:i/>
          <w:iCs/>
          <w:color w:val="000000" w:themeColor="text1"/>
          <w:lang w:val="es-CR"/>
        </w:rPr>
      </w:pPr>
    </w:p>
    <w:p w14:paraId="359504B5" w14:textId="77777777" w:rsidR="00CF7396" w:rsidRPr="00CF7396" w:rsidRDefault="00CF7396" w:rsidP="00CF7396">
      <w:pPr>
        <w:tabs>
          <w:tab w:val="left" w:pos="27"/>
        </w:tabs>
        <w:ind w:left="851" w:right="851" w:firstLine="709"/>
        <w:jc w:val="both"/>
        <w:rPr>
          <w:i/>
          <w:iCs/>
          <w:color w:val="000000" w:themeColor="text1"/>
          <w:lang w:val="es-CR"/>
        </w:rPr>
      </w:pPr>
      <w:r w:rsidRPr="00CF7396">
        <w:rPr>
          <w:rFonts w:eastAsia="Book Antiqua"/>
          <w:i/>
          <w:iCs/>
          <w:color w:val="000000" w:themeColor="text1"/>
          <w:lang w:val="es-CR"/>
        </w:rPr>
        <w:t xml:space="preserve">Recopilar y almacenar los indicadores de gestión y planes remediales remitidos por los despachos y oficinas judiciales. </w:t>
      </w:r>
    </w:p>
    <w:p w14:paraId="30E26C52" w14:textId="77777777" w:rsidR="00CF7396" w:rsidRPr="00CF7396" w:rsidRDefault="00CF7396" w:rsidP="00CF7396">
      <w:pPr>
        <w:tabs>
          <w:tab w:val="left" w:pos="27"/>
        </w:tabs>
        <w:ind w:left="851" w:right="851" w:firstLine="709"/>
        <w:jc w:val="both"/>
        <w:rPr>
          <w:rFonts w:eastAsia="Book Antiqua"/>
          <w:i/>
          <w:iCs/>
          <w:color w:val="000000" w:themeColor="text1"/>
          <w:lang w:val="es-CR"/>
        </w:rPr>
      </w:pPr>
    </w:p>
    <w:p w14:paraId="79625416" w14:textId="77777777" w:rsidR="00CF7396" w:rsidRPr="00CF7396" w:rsidRDefault="00CF7396" w:rsidP="00CF7396">
      <w:pPr>
        <w:tabs>
          <w:tab w:val="left" w:pos="27"/>
        </w:tabs>
        <w:ind w:left="851" w:right="851" w:firstLine="709"/>
        <w:jc w:val="both"/>
        <w:rPr>
          <w:i/>
          <w:iCs/>
          <w:color w:val="000000" w:themeColor="text1"/>
          <w:lang w:val="es-CR"/>
        </w:rPr>
      </w:pPr>
      <w:r w:rsidRPr="00CF7396">
        <w:rPr>
          <w:rFonts w:eastAsia="Book Antiqua"/>
          <w:i/>
          <w:iCs/>
          <w:color w:val="000000" w:themeColor="text1"/>
          <w:lang w:val="es-CR"/>
        </w:rPr>
        <w:t xml:space="preserve">Identificar los despachos u oficinas judiciales más críticos en cuanto al cumplimiento de los indicadores de gestión y colaborar en la formulación de los planes remediales. </w:t>
      </w:r>
    </w:p>
    <w:p w14:paraId="4C40C913" w14:textId="77777777" w:rsidR="00CF7396" w:rsidRPr="00CF7396" w:rsidRDefault="00CF7396" w:rsidP="00CF7396">
      <w:pPr>
        <w:tabs>
          <w:tab w:val="left" w:pos="27"/>
        </w:tabs>
        <w:ind w:left="851" w:right="851" w:firstLine="709"/>
        <w:jc w:val="both"/>
        <w:rPr>
          <w:rFonts w:eastAsia="Book Antiqua"/>
          <w:i/>
          <w:iCs/>
          <w:color w:val="000000" w:themeColor="text1"/>
          <w:lang w:val="es-CR"/>
        </w:rPr>
      </w:pPr>
    </w:p>
    <w:p w14:paraId="6C6ECC1F" w14:textId="77777777" w:rsidR="00CF7396" w:rsidRPr="00CF7396" w:rsidRDefault="00CF7396" w:rsidP="00CF7396">
      <w:pPr>
        <w:tabs>
          <w:tab w:val="left" w:pos="27"/>
        </w:tabs>
        <w:ind w:left="851" w:right="851" w:firstLine="709"/>
        <w:jc w:val="both"/>
        <w:rPr>
          <w:i/>
          <w:iCs/>
          <w:color w:val="000000" w:themeColor="text1"/>
          <w:lang w:val="es-CR"/>
        </w:rPr>
      </w:pPr>
      <w:r w:rsidRPr="00CF7396">
        <w:rPr>
          <w:rFonts w:eastAsia="Book Antiqua"/>
          <w:i/>
          <w:iCs/>
          <w:color w:val="000000" w:themeColor="text1"/>
          <w:lang w:val="es-CR"/>
        </w:rPr>
        <w:t xml:space="preserve">Dar seguimiento continuo en cuanto a la mejora de los indicadores de gestión y ejecución de los planes remediales de los despachos y oficinas judiciales más críticos, hasta su estabilización o cumplimiento de las metas establecidas. </w:t>
      </w:r>
    </w:p>
    <w:p w14:paraId="7199A284" w14:textId="77777777" w:rsidR="00CF7396" w:rsidRPr="00CF7396" w:rsidRDefault="00CF7396" w:rsidP="00CF7396">
      <w:pPr>
        <w:tabs>
          <w:tab w:val="left" w:pos="27"/>
        </w:tabs>
        <w:ind w:left="851" w:right="851" w:firstLine="709"/>
        <w:jc w:val="both"/>
        <w:rPr>
          <w:rFonts w:eastAsia="Book Antiqua"/>
          <w:i/>
          <w:iCs/>
          <w:color w:val="000000" w:themeColor="text1"/>
          <w:lang w:val="es-CR"/>
        </w:rPr>
      </w:pPr>
    </w:p>
    <w:p w14:paraId="2DFC9977" w14:textId="77777777" w:rsidR="00CF7396" w:rsidRPr="00CF7396" w:rsidRDefault="00CF7396" w:rsidP="00CF7396">
      <w:pPr>
        <w:tabs>
          <w:tab w:val="left" w:pos="27"/>
        </w:tabs>
        <w:ind w:left="851" w:right="851" w:firstLine="709"/>
        <w:jc w:val="both"/>
        <w:rPr>
          <w:i/>
          <w:iCs/>
          <w:color w:val="000000" w:themeColor="text1"/>
          <w:lang w:val="es-CR"/>
        </w:rPr>
      </w:pPr>
      <w:r w:rsidRPr="00CF7396">
        <w:rPr>
          <w:rFonts w:eastAsia="Book Antiqua"/>
          <w:i/>
          <w:iCs/>
          <w:color w:val="000000" w:themeColor="text1"/>
          <w:lang w:val="es-CR"/>
        </w:rPr>
        <w:t xml:space="preserve">Brindar acompañamiento y guía para la efectiva aplicación del proceso de mejora continua a los despachos y oficinas judiciales, mediante la asistencia de al menos una reunión al año por despacho u oficina. </w:t>
      </w:r>
    </w:p>
    <w:p w14:paraId="4E983947" w14:textId="77777777" w:rsidR="00CF7396" w:rsidRPr="00CF7396" w:rsidRDefault="00CF7396" w:rsidP="00CF7396">
      <w:pPr>
        <w:tabs>
          <w:tab w:val="left" w:pos="27"/>
        </w:tabs>
        <w:ind w:left="851" w:right="851" w:firstLine="709"/>
        <w:jc w:val="both"/>
        <w:rPr>
          <w:rFonts w:eastAsia="Book Antiqua"/>
          <w:i/>
          <w:iCs/>
          <w:color w:val="000000" w:themeColor="text1"/>
          <w:lang w:val="es-CR"/>
        </w:rPr>
      </w:pPr>
    </w:p>
    <w:p w14:paraId="40DA4AD6" w14:textId="77777777" w:rsidR="00CF7396" w:rsidRPr="00CF7396" w:rsidRDefault="00CF7396" w:rsidP="00CF7396">
      <w:pPr>
        <w:tabs>
          <w:tab w:val="left" w:pos="27"/>
        </w:tabs>
        <w:ind w:left="851" w:right="851" w:firstLine="709"/>
        <w:jc w:val="both"/>
        <w:rPr>
          <w:i/>
          <w:iCs/>
          <w:color w:val="000000" w:themeColor="text1"/>
          <w:lang w:val="es-CR"/>
        </w:rPr>
      </w:pPr>
      <w:r w:rsidRPr="00CF7396">
        <w:rPr>
          <w:rFonts w:eastAsia="Book Antiqua"/>
          <w:i/>
          <w:iCs/>
          <w:color w:val="000000" w:themeColor="text1"/>
          <w:lang w:val="es-CR"/>
        </w:rPr>
        <w:t xml:space="preserve">Realizar un informe semestral de las principales oportunidades de mejora identificadas en los despachos y oficinas judiciales a cargo, las mejoras realizadas, las acciones pendientes de finalizar y la colaboración que consideran requerida de parte de otras instancias judiciales. Este informe es de carácter ejecutivo, donde se incorporará los aspectos más relevantes y deberá ser remitido al Consejo de Administración del Circuito correspondiente. </w:t>
      </w:r>
    </w:p>
    <w:p w14:paraId="1175B8C1" w14:textId="77777777" w:rsidR="00CF7396" w:rsidRPr="00CF7396" w:rsidRDefault="00CF7396" w:rsidP="00CF7396">
      <w:pPr>
        <w:tabs>
          <w:tab w:val="left" w:pos="27"/>
        </w:tabs>
        <w:ind w:left="851" w:right="851" w:firstLine="709"/>
        <w:jc w:val="both"/>
        <w:rPr>
          <w:rFonts w:eastAsia="Book Antiqua"/>
          <w:i/>
          <w:iCs/>
          <w:color w:val="000000" w:themeColor="text1"/>
          <w:u w:val="single"/>
          <w:lang w:val="es-CR"/>
        </w:rPr>
      </w:pPr>
    </w:p>
    <w:p w14:paraId="6C3D82C0" w14:textId="77777777" w:rsidR="00CF7396" w:rsidRPr="00CF7396" w:rsidRDefault="00CF7396" w:rsidP="00CF7396">
      <w:pPr>
        <w:tabs>
          <w:tab w:val="left" w:pos="27"/>
        </w:tabs>
        <w:ind w:left="851" w:right="851" w:firstLine="709"/>
        <w:jc w:val="both"/>
        <w:rPr>
          <w:i/>
          <w:iCs/>
          <w:color w:val="000000" w:themeColor="text1"/>
          <w:lang w:val="es-CR"/>
        </w:rPr>
      </w:pPr>
      <w:r w:rsidRPr="00CF7396">
        <w:rPr>
          <w:rFonts w:eastAsia="Book Antiqua"/>
          <w:i/>
          <w:iCs/>
          <w:color w:val="000000" w:themeColor="text1"/>
          <w:u w:val="single"/>
          <w:lang w:val="es-CR"/>
        </w:rPr>
        <w:t>Dar a conocer al Consejo de Administración, la Contraloría de Servicios Regional y Control Interno; inconsistencias, falta de cumplimientos</w:t>
      </w:r>
      <w:r w:rsidRPr="00CF7396">
        <w:rPr>
          <w:rFonts w:eastAsia="Book Antiqua"/>
          <w:i/>
          <w:iCs/>
          <w:color w:val="000000" w:themeColor="text1"/>
          <w:lang w:val="es-CR"/>
        </w:rPr>
        <w:t xml:space="preserve"> o cualquier acción administrativa que los despachos y oficinas judiciales realicen, que afecte la operatividad del modelo de sostenibilidad de los proyectos de rediseño.</w:t>
      </w:r>
    </w:p>
    <w:p w14:paraId="0ECDFA43" w14:textId="77777777" w:rsidR="00CF7396" w:rsidRPr="00CF7396" w:rsidRDefault="00CF7396" w:rsidP="00CF7396">
      <w:pPr>
        <w:tabs>
          <w:tab w:val="left" w:pos="27"/>
        </w:tabs>
        <w:ind w:left="851" w:right="851" w:firstLine="709"/>
        <w:jc w:val="both"/>
        <w:rPr>
          <w:rFonts w:eastAsia="Book Antiqua"/>
          <w:i/>
          <w:iCs/>
          <w:color w:val="000000" w:themeColor="text1"/>
          <w:lang w:val="es-CR"/>
        </w:rPr>
      </w:pPr>
    </w:p>
    <w:p w14:paraId="0F068F38" w14:textId="77777777" w:rsidR="00CF7396" w:rsidRPr="00CF7396" w:rsidRDefault="00CF7396" w:rsidP="00CF7396">
      <w:pPr>
        <w:tabs>
          <w:tab w:val="left" w:pos="27"/>
        </w:tabs>
        <w:ind w:left="851" w:right="851" w:firstLine="709"/>
        <w:jc w:val="both"/>
        <w:rPr>
          <w:i/>
          <w:iCs/>
          <w:color w:val="000000" w:themeColor="text1"/>
          <w:lang w:val="es-CR"/>
        </w:rPr>
      </w:pPr>
      <w:r w:rsidRPr="00CF7396">
        <w:rPr>
          <w:rFonts w:eastAsia="Book Antiqua"/>
          <w:i/>
          <w:iCs/>
          <w:color w:val="000000" w:themeColor="text1"/>
          <w:lang w:val="es-CR"/>
        </w:rPr>
        <w:t xml:space="preserve">Deberán remitir las actas de reunión, los indicadores de gestión y planes remediales enviados por los despachos judiciales a su cargo, al Centro de Apoyo, Coordinación y Mejoramiento a la Función Jurisdiccional mensualmente. </w:t>
      </w:r>
    </w:p>
    <w:p w14:paraId="09B117A3" w14:textId="77777777" w:rsidR="00CF7396" w:rsidRPr="00CF7396" w:rsidRDefault="00CF7396" w:rsidP="00CF7396">
      <w:pPr>
        <w:tabs>
          <w:tab w:val="left" w:pos="27"/>
        </w:tabs>
        <w:ind w:left="851" w:right="851" w:firstLine="709"/>
        <w:jc w:val="both"/>
        <w:rPr>
          <w:rFonts w:eastAsia="Book Antiqua"/>
          <w:i/>
          <w:iCs/>
          <w:color w:val="000000" w:themeColor="text1"/>
          <w:lang w:val="es-CR"/>
        </w:rPr>
      </w:pPr>
    </w:p>
    <w:p w14:paraId="69E475D8" w14:textId="77777777" w:rsidR="00CF7396" w:rsidRPr="00CF7396" w:rsidRDefault="00CF7396" w:rsidP="00CF7396">
      <w:pPr>
        <w:tabs>
          <w:tab w:val="left" w:pos="27"/>
        </w:tabs>
        <w:ind w:left="851" w:right="851" w:firstLine="709"/>
        <w:jc w:val="both"/>
        <w:rPr>
          <w:i/>
          <w:iCs/>
          <w:color w:val="000000" w:themeColor="text1"/>
          <w:lang w:val="es-CR"/>
        </w:rPr>
      </w:pPr>
      <w:r w:rsidRPr="00CF7396">
        <w:rPr>
          <w:rFonts w:eastAsia="Book Antiqua"/>
          <w:i/>
          <w:iCs/>
          <w:color w:val="000000" w:themeColor="text1"/>
          <w:lang w:val="es-CR"/>
        </w:rPr>
        <w:t>Fungirán como punto de enlace entre los despachos judiciales y el Centro de Apoyo, Coordinación y Mejoramiento a la función jurisdiccional, en cuanto al tema de indicadores de gestión, planes remediales y el proceso de mejora continua.”  (El subrayado no corresponde al original).</w:t>
      </w:r>
    </w:p>
    <w:p w14:paraId="7C89D10F" w14:textId="77777777" w:rsidR="00CF7396" w:rsidRPr="00CF7396" w:rsidRDefault="00CF7396" w:rsidP="00CF7396">
      <w:pPr>
        <w:tabs>
          <w:tab w:val="left" w:pos="851"/>
        </w:tabs>
        <w:ind w:left="851" w:right="851" w:firstLine="709"/>
        <w:jc w:val="both"/>
        <w:rPr>
          <w:rFonts w:eastAsia="Book Antiqua"/>
          <w:i/>
          <w:iCs/>
          <w:color w:val="000000" w:themeColor="text1"/>
          <w:lang w:val="es-CR"/>
        </w:rPr>
      </w:pPr>
    </w:p>
    <w:p w14:paraId="4E261460" w14:textId="77777777" w:rsidR="00CF7396" w:rsidRPr="00CF7396" w:rsidRDefault="00CF7396" w:rsidP="00CF7396">
      <w:pPr>
        <w:tabs>
          <w:tab w:val="left" w:pos="851"/>
        </w:tabs>
        <w:ind w:left="851" w:right="851" w:firstLine="709"/>
        <w:jc w:val="both"/>
        <w:rPr>
          <w:rFonts w:eastAsia="Book Antiqua"/>
          <w:i/>
          <w:iCs/>
          <w:color w:val="000000" w:themeColor="text1"/>
          <w:lang w:val="es-CR"/>
        </w:rPr>
      </w:pPr>
      <w:r w:rsidRPr="00CF7396">
        <w:rPr>
          <w:rFonts w:eastAsia="Book Antiqua"/>
          <w:i/>
          <w:iCs/>
          <w:color w:val="000000" w:themeColor="text1"/>
          <w:lang w:val="es-CR"/>
        </w:rPr>
        <w:t>“...El Tribunal de la Inspección Judicial es un órgano dependiente del Consejo Superior; ejerce control regular y constante sobre todos los servidores del Poder Judicial, incluidos los del Organismo de Investigación Judicial y con excepción de los señalados en los dos artículos anteriores; vigila el buen cumplimiento de los deberes; tramita las quejas que se presenten contra esos servidores; instruye las informaciones al tener conocimiento de alguna irregularidad y resuelve lo que proceda respecto del régimen disciplinario, sin perjuicio de las atribuciones que tengan en la materia otros órganos y funcionarios del Poder Judicial”.</w:t>
      </w:r>
    </w:p>
    <w:p w14:paraId="25E87E51" w14:textId="77777777" w:rsidR="00CF7396" w:rsidRPr="00CF7396" w:rsidRDefault="00CF7396" w:rsidP="00CF7396">
      <w:pPr>
        <w:tabs>
          <w:tab w:val="left" w:pos="851"/>
        </w:tabs>
        <w:ind w:left="851" w:right="851" w:firstLine="709"/>
        <w:jc w:val="both"/>
        <w:rPr>
          <w:i/>
          <w:iCs/>
          <w:color w:val="000000" w:themeColor="text1"/>
          <w:lang w:val="es-CR"/>
        </w:rPr>
      </w:pPr>
    </w:p>
    <w:p w14:paraId="6342C24A" w14:textId="77777777" w:rsidR="00CF7396" w:rsidRPr="00CF7396" w:rsidRDefault="00CF7396" w:rsidP="00CF7396">
      <w:pPr>
        <w:tabs>
          <w:tab w:val="left" w:pos="851"/>
          <w:tab w:val="left" w:pos="8504"/>
        </w:tabs>
        <w:ind w:left="851" w:right="851" w:firstLine="709"/>
        <w:jc w:val="both"/>
        <w:rPr>
          <w:i/>
          <w:iCs/>
          <w:color w:val="000000" w:themeColor="text1"/>
          <w:lang w:val="es-CR"/>
        </w:rPr>
      </w:pPr>
      <w:r w:rsidRPr="00CF7396">
        <w:rPr>
          <w:rFonts w:eastAsia="Book Antiqua"/>
          <w:i/>
          <w:iCs/>
          <w:color w:val="000000" w:themeColor="text1"/>
          <w:lang w:val="es-CR"/>
        </w:rPr>
        <w:t xml:space="preserve">Por ello, la competencia para iniciar la investigación en un proceso disciplinario debe ser comunicado al Tribunal de la Inspección Judicial </w:t>
      </w:r>
      <w:r w:rsidRPr="00CF7396">
        <w:rPr>
          <w:rFonts w:eastAsia="Book Antiqua"/>
          <w:b/>
          <w:bCs/>
          <w:i/>
          <w:iCs/>
          <w:color w:val="000000" w:themeColor="text1"/>
          <w:lang w:val="es-CR"/>
        </w:rPr>
        <w:t>a partir del hallazgo de quien determine la falta</w:t>
      </w:r>
      <w:r w:rsidRPr="00CF7396">
        <w:rPr>
          <w:rFonts w:eastAsia="Book Antiqua"/>
          <w:i/>
          <w:iCs/>
          <w:color w:val="000000" w:themeColor="text1"/>
          <w:lang w:val="es-CR"/>
        </w:rPr>
        <w:t xml:space="preserve">, en ese sentido el artículo </w:t>
      </w:r>
      <w:r w:rsidRPr="00CF7396">
        <w:rPr>
          <w:i/>
          <w:iCs/>
          <w:color w:val="000000" w:themeColor="text1"/>
          <w:lang w:val="es-CR"/>
        </w:rPr>
        <w:t>N</w:t>
      </w:r>
      <w:r w:rsidRPr="00CF7396">
        <w:rPr>
          <w:i/>
          <w:iCs/>
          <w:color w:val="000000" w:themeColor="text1"/>
          <w:vertAlign w:val="superscript"/>
          <w:lang w:val="es-CR"/>
        </w:rPr>
        <w:t>O</w:t>
      </w:r>
      <w:r w:rsidRPr="00CF7396">
        <w:rPr>
          <w:rFonts w:eastAsia="Book Antiqua"/>
          <w:i/>
          <w:iCs/>
          <w:color w:val="000000" w:themeColor="text1"/>
          <w:lang w:val="es-CR"/>
        </w:rPr>
        <w:t>211, refiere:</w:t>
      </w:r>
    </w:p>
    <w:p w14:paraId="13247B0F" w14:textId="77777777" w:rsidR="00CF7396" w:rsidRPr="00CF7396" w:rsidRDefault="00CF7396" w:rsidP="00CF7396">
      <w:pPr>
        <w:tabs>
          <w:tab w:val="left" w:pos="851"/>
        </w:tabs>
        <w:ind w:left="851" w:right="851" w:firstLine="709"/>
        <w:jc w:val="both"/>
        <w:rPr>
          <w:rFonts w:eastAsia="Book Antiqua"/>
          <w:i/>
          <w:iCs/>
          <w:color w:val="000000" w:themeColor="text1"/>
          <w:lang w:val="es-CR"/>
        </w:rPr>
      </w:pPr>
    </w:p>
    <w:p w14:paraId="7991B0AF" w14:textId="77777777" w:rsidR="00CF7396" w:rsidRPr="00CF7396" w:rsidRDefault="00CF7396" w:rsidP="00CF7396">
      <w:pPr>
        <w:tabs>
          <w:tab w:val="left" w:pos="851"/>
        </w:tabs>
        <w:ind w:left="851" w:right="851" w:firstLine="709"/>
        <w:jc w:val="both"/>
        <w:rPr>
          <w:rFonts w:eastAsia="Book Antiqua"/>
          <w:i/>
          <w:iCs/>
          <w:color w:val="000000" w:themeColor="text1"/>
          <w:lang w:val="es-CR"/>
        </w:rPr>
      </w:pPr>
      <w:r w:rsidRPr="00CF7396">
        <w:rPr>
          <w:rFonts w:eastAsia="Book Antiqua"/>
          <w:i/>
          <w:iCs/>
          <w:color w:val="000000" w:themeColor="text1"/>
          <w:lang w:val="es-CR"/>
        </w:rPr>
        <w:t>“...La acción para investigar las faltas deberá iniciarse, dentro del mes siguiente a la fecha en que quien deba levantar la investigación tenga conocimiento de ellas. La investigación deberá concluirse dentro del año siguiente a la fecha de su inicio y si procediere sancionar, la sanción que corresponda deberá imponerse dentro del mes siguiente a contar del momento en que quien deba hacerlo esté en posibilidad de pronunciarse. Contra lo resuelto siempre cabrá recurso de apelación, salvo que correspondiere a la Corte, contra cuyo pronunciamiento sólo cabrá el de reposición o reconsideración.”</w:t>
      </w:r>
    </w:p>
    <w:p w14:paraId="6534194A" w14:textId="77777777" w:rsidR="00CF7396" w:rsidRPr="00CF7396" w:rsidRDefault="00CF7396" w:rsidP="00CF7396">
      <w:pPr>
        <w:tabs>
          <w:tab w:val="left" w:pos="851"/>
        </w:tabs>
        <w:ind w:left="851" w:right="851" w:firstLine="709"/>
        <w:jc w:val="both"/>
        <w:rPr>
          <w:rFonts w:eastAsia="Book Antiqua"/>
          <w:i/>
          <w:iCs/>
          <w:color w:val="000000" w:themeColor="text1"/>
          <w:lang w:val="es-CR"/>
        </w:rPr>
      </w:pPr>
    </w:p>
    <w:p w14:paraId="1ABB257E" w14:textId="77777777" w:rsidR="00CF7396" w:rsidRPr="00CF7396" w:rsidRDefault="00CF7396" w:rsidP="00CF7396">
      <w:pPr>
        <w:numPr>
          <w:ilvl w:val="0"/>
          <w:numId w:val="67"/>
        </w:numPr>
        <w:ind w:left="851" w:right="851" w:firstLine="709"/>
        <w:contextualSpacing/>
        <w:jc w:val="both"/>
        <w:rPr>
          <w:rFonts w:eastAsia="Book Antiqua"/>
          <w:b/>
          <w:bCs/>
          <w:i/>
          <w:iCs/>
          <w:color w:val="000000" w:themeColor="text1"/>
          <w:lang w:val="es-CR"/>
        </w:rPr>
      </w:pPr>
      <w:r w:rsidRPr="00CF7396">
        <w:rPr>
          <w:rFonts w:eastAsia="Book Antiqua"/>
          <w:b/>
          <w:bCs/>
          <w:i/>
          <w:iCs/>
          <w:color w:val="000000" w:themeColor="text1"/>
          <w:lang w:val="es-CR"/>
        </w:rPr>
        <w:t>Recomendación no se apega a la realidad (</w:t>
      </w:r>
      <w:proofErr w:type="spellStart"/>
      <w:r w:rsidRPr="00CF7396">
        <w:rPr>
          <w:rFonts w:eastAsia="Book Antiqua"/>
          <w:b/>
          <w:bCs/>
          <w:i/>
          <w:iCs/>
          <w:color w:val="000000" w:themeColor="text1"/>
          <w:lang w:val="es-CR"/>
        </w:rPr>
        <w:t>pág</w:t>
      </w:r>
      <w:proofErr w:type="spellEnd"/>
      <w:r w:rsidRPr="00CF7396">
        <w:rPr>
          <w:rFonts w:eastAsia="Book Antiqua"/>
          <w:b/>
          <w:bCs/>
          <w:i/>
          <w:iCs/>
          <w:color w:val="000000" w:themeColor="text1"/>
          <w:lang w:val="es-CR"/>
        </w:rPr>
        <w:t xml:space="preserve"> 97).</w:t>
      </w:r>
    </w:p>
    <w:p w14:paraId="189A250C" w14:textId="77777777" w:rsidR="00CF7396" w:rsidRPr="00CF7396" w:rsidRDefault="00CF7396" w:rsidP="00CF7396">
      <w:pPr>
        <w:widowControl w:val="0"/>
        <w:tabs>
          <w:tab w:val="left" w:pos="851"/>
          <w:tab w:val="left" w:pos="1134"/>
        </w:tabs>
        <w:autoSpaceDE w:val="0"/>
        <w:autoSpaceDN w:val="0"/>
        <w:adjustRightInd w:val="0"/>
        <w:ind w:left="851" w:right="851" w:firstLine="709"/>
        <w:jc w:val="both"/>
        <w:rPr>
          <w:rFonts w:eastAsia="Calibri"/>
          <w:i/>
          <w:iCs/>
          <w:color w:val="000000" w:themeColor="text1"/>
          <w:lang w:val="es-CR"/>
        </w:rPr>
      </w:pPr>
    </w:p>
    <w:p w14:paraId="6C8C01C4" w14:textId="77777777" w:rsidR="00CF7396" w:rsidRPr="00CF7396" w:rsidRDefault="00CF7396" w:rsidP="00CF7396">
      <w:pPr>
        <w:widowControl w:val="0"/>
        <w:tabs>
          <w:tab w:val="left" w:pos="851"/>
          <w:tab w:val="left" w:pos="1134"/>
        </w:tabs>
        <w:autoSpaceDE w:val="0"/>
        <w:autoSpaceDN w:val="0"/>
        <w:adjustRightInd w:val="0"/>
        <w:ind w:left="851" w:right="851" w:firstLine="709"/>
        <w:jc w:val="both"/>
        <w:rPr>
          <w:rFonts w:eastAsia="Calibri"/>
          <w:i/>
          <w:iCs/>
          <w:color w:val="000000" w:themeColor="text1"/>
          <w:lang w:val="es-CR"/>
        </w:rPr>
      </w:pPr>
      <w:r w:rsidRPr="00CF7396">
        <w:rPr>
          <w:rFonts w:eastAsia="Calibri"/>
          <w:i/>
          <w:iCs/>
          <w:color w:val="000000" w:themeColor="text1"/>
          <w:lang w:val="es-CR"/>
        </w:rPr>
        <w:t xml:space="preserve">“8.16 </w:t>
      </w:r>
      <w:r w:rsidRPr="00CF7396">
        <w:rPr>
          <w:i/>
          <w:iCs/>
          <w:color w:val="000000" w:themeColor="text1"/>
          <w:lang w:val="es-CR"/>
        </w:rPr>
        <w:t>Aplicar en su totalidad la recomendación emitida en el informe 1274-PLA-EV-2021 del Modelo de Seguimiento y Sostenibilidad del 2020, la cual fue aprobada por  el Consejo Superior en sesión 103-2021 del 1 de diciembre del 2021, artículo XLVI, : “Coordinar en conjunto con la Administración Regional del Circuito y la persona Profesional de la Dirección de Planificación a cargo del Modelo de Seguimiento y Sostenibilidad sobre los eventuales planes de trabajo y/o de descongestionamiento que se realicen o programen en los despachos u oficinas del Circuito, con el fin de que se genere una retroalimentación sobre las principales necesidades detectadas”. Lo anterior por cuanto dicha recomendación, en el 2021 fue aplicada parcialmente, dado que en algunos despachos el Centro de Apoyo inicia la elaboración de los planes de trabajo y/o descongestionamiento sin la coordinación previa con la profesional de la Dirección de Planificación, a fin de maximizar el aprovechamiento del personal supernumerario y evitar duplicar el reforzamiento en una misma oficina o despacho. Para lo anterior, se debe considerar que los planes de trabajo de las personas supernumerarias asignadas a la Administración Regional del Primer Circuito Judicial de la Zona Atlántica se realizan en la última semana de cada mes.”</w:t>
      </w:r>
    </w:p>
    <w:p w14:paraId="522CB630" w14:textId="77777777" w:rsidR="00CF7396" w:rsidRPr="00CF7396" w:rsidRDefault="00CF7396" w:rsidP="00CF7396">
      <w:pPr>
        <w:tabs>
          <w:tab w:val="left" w:pos="851"/>
        </w:tabs>
        <w:ind w:left="851" w:right="851" w:firstLine="709"/>
        <w:jc w:val="both"/>
        <w:rPr>
          <w:i/>
          <w:iCs/>
          <w:color w:val="000000" w:themeColor="text1"/>
          <w:lang w:val="es-CR"/>
        </w:rPr>
      </w:pPr>
    </w:p>
    <w:p w14:paraId="18561E31" w14:textId="77777777" w:rsidR="00CF7396" w:rsidRPr="00CF7396" w:rsidRDefault="00CF7396" w:rsidP="00CF7396">
      <w:pPr>
        <w:tabs>
          <w:tab w:val="left" w:pos="851"/>
        </w:tabs>
        <w:ind w:left="851" w:right="851" w:firstLine="709"/>
        <w:jc w:val="both"/>
        <w:rPr>
          <w:i/>
          <w:iCs/>
          <w:color w:val="000000" w:themeColor="text1"/>
          <w:lang w:val="es-CR"/>
        </w:rPr>
      </w:pPr>
      <w:r w:rsidRPr="00CF7396">
        <w:rPr>
          <w:i/>
          <w:iCs/>
          <w:color w:val="000000" w:themeColor="text1"/>
          <w:lang w:val="es-CR"/>
        </w:rPr>
        <w:t>Observaciones:</w:t>
      </w:r>
    </w:p>
    <w:p w14:paraId="3AD0ED9B" w14:textId="77777777" w:rsidR="00CF7396" w:rsidRPr="00CF7396" w:rsidRDefault="00CF7396" w:rsidP="00CF7396">
      <w:pPr>
        <w:tabs>
          <w:tab w:val="left" w:pos="851"/>
        </w:tabs>
        <w:ind w:left="851" w:right="851" w:firstLine="709"/>
        <w:jc w:val="both"/>
        <w:rPr>
          <w:i/>
          <w:iCs/>
          <w:color w:val="000000" w:themeColor="text1"/>
          <w:lang w:val="es-CR"/>
        </w:rPr>
      </w:pPr>
    </w:p>
    <w:p w14:paraId="7C3828CC" w14:textId="77777777" w:rsidR="00CF7396" w:rsidRPr="00CF7396" w:rsidRDefault="00CF7396" w:rsidP="00CF7396">
      <w:pPr>
        <w:numPr>
          <w:ilvl w:val="0"/>
          <w:numId w:val="66"/>
        </w:numPr>
        <w:tabs>
          <w:tab w:val="left" w:pos="851"/>
        </w:tabs>
        <w:ind w:left="851" w:right="851" w:firstLine="709"/>
        <w:contextualSpacing/>
        <w:jc w:val="both"/>
        <w:rPr>
          <w:i/>
          <w:iCs/>
          <w:strike/>
          <w:color w:val="000000" w:themeColor="text1"/>
          <w:lang w:val="es-CR"/>
        </w:rPr>
      </w:pPr>
      <w:r w:rsidRPr="00CF7396">
        <w:rPr>
          <w:i/>
          <w:iCs/>
          <w:color w:val="000000" w:themeColor="text1"/>
          <w:lang w:val="es-CR"/>
        </w:rPr>
        <w:t xml:space="preserve">No se comparte lo recomendado por la Dirección de Planificación, ya que el CACMFJ cumple a cabalidad con lo encomendado. Por otra parte, cuando la Dirección de Planificación atendió la observación realizada por el Centro de Apoyo para la primera versión del informe, indicó lo siguiente (ver </w:t>
      </w:r>
      <w:proofErr w:type="spellStart"/>
      <w:r w:rsidRPr="00CF7396">
        <w:rPr>
          <w:i/>
          <w:iCs/>
          <w:color w:val="000000" w:themeColor="text1"/>
          <w:lang w:val="es-CR"/>
        </w:rPr>
        <w:t>pág</w:t>
      </w:r>
      <w:proofErr w:type="spellEnd"/>
      <w:r w:rsidRPr="00CF7396">
        <w:rPr>
          <w:i/>
          <w:iCs/>
          <w:color w:val="000000" w:themeColor="text1"/>
          <w:lang w:val="es-CR"/>
        </w:rPr>
        <w:t xml:space="preserve"> 107): </w:t>
      </w:r>
    </w:p>
    <w:p w14:paraId="118223FB" w14:textId="77777777" w:rsidR="00CF7396" w:rsidRPr="00CF7396" w:rsidRDefault="00CF7396" w:rsidP="00CF7396">
      <w:pPr>
        <w:tabs>
          <w:tab w:val="left" w:pos="851"/>
        </w:tabs>
        <w:ind w:left="851" w:right="851" w:firstLine="709"/>
        <w:jc w:val="both"/>
        <w:rPr>
          <w:i/>
          <w:iCs/>
          <w:strike/>
          <w:color w:val="000000" w:themeColor="text1"/>
          <w:lang w:val="es-CR"/>
        </w:rPr>
      </w:pPr>
    </w:p>
    <w:p w14:paraId="48AB100D" w14:textId="77777777" w:rsidR="00CF7396" w:rsidRPr="00CF7396" w:rsidRDefault="00CF7396" w:rsidP="00CF7396">
      <w:pPr>
        <w:tabs>
          <w:tab w:val="left" w:pos="851"/>
        </w:tabs>
        <w:ind w:left="851" w:right="851" w:firstLine="709"/>
        <w:jc w:val="both"/>
        <w:rPr>
          <w:i/>
          <w:iCs/>
          <w:color w:val="000000" w:themeColor="text1"/>
          <w:lang w:val="es-CR"/>
        </w:rPr>
      </w:pPr>
      <w:r w:rsidRPr="00CF7396">
        <w:rPr>
          <w:i/>
          <w:iCs/>
          <w:color w:val="000000" w:themeColor="text1"/>
          <w:lang w:val="es-CR"/>
        </w:rPr>
        <w:t>“Lo que se hace notar en la conclusión es que exista una comunicación directa entre el Centro de Apoyo y la Profesional destacada en el Modelo de Seguimiento y Sostenibilidad de la Dirección de Planificación, y se remita copia de aquellos oficios que son también de interés para la Profesional de la Dirección de Planificación destacada en el Primer Circuito Judicial de la Zona Atlántica, tal como fue solicitado en la recomendación. Por lo anterior no se modifica el contenido del informe.</w:t>
      </w:r>
    </w:p>
    <w:p w14:paraId="6593A194" w14:textId="77777777" w:rsidR="00CF7396" w:rsidRPr="00CF7396" w:rsidRDefault="00CF7396" w:rsidP="00CF7396">
      <w:pPr>
        <w:tabs>
          <w:tab w:val="left" w:pos="851"/>
        </w:tabs>
        <w:ind w:left="851" w:right="851" w:firstLine="709"/>
        <w:jc w:val="both"/>
        <w:rPr>
          <w:i/>
          <w:iCs/>
          <w:color w:val="000000" w:themeColor="text1"/>
          <w:lang w:val="es-CR"/>
        </w:rPr>
      </w:pPr>
    </w:p>
    <w:p w14:paraId="6BAAA951" w14:textId="77777777" w:rsidR="00CF7396" w:rsidRPr="00CF7396" w:rsidRDefault="00CF7396" w:rsidP="00CF7396">
      <w:pPr>
        <w:numPr>
          <w:ilvl w:val="0"/>
          <w:numId w:val="67"/>
        </w:numPr>
        <w:ind w:left="851" w:right="851" w:firstLine="709"/>
        <w:contextualSpacing/>
        <w:rPr>
          <w:rFonts w:eastAsia="Book Antiqua"/>
          <w:b/>
          <w:bCs/>
          <w:i/>
          <w:iCs/>
          <w:color w:val="000000" w:themeColor="text1"/>
          <w:lang w:val="es-CR"/>
        </w:rPr>
      </w:pPr>
      <w:r w:rsidRPr="00CF7396">
        <w:rPr>
          <w:rFonts w:eastAsia="Book Antiqua"/>
          <w:b/>
          <w:bCs/>
          <w:i/>
          <w:iCs/>
          <w:color w:val="000000" w:themeColor="text1"/>
          <w:lang w:val="es-CR"/>
        </w:rPr>
        <w:t>Recomendación que no aplica para el Centro de Apoyo con respecto a materia penal (pág. 98)</w:t>
      </w:r>
    </w:p>
    <w:p w14:paraId="0D2E809D" w14:textId="77777777" w:rsidR="00CF7396" w:rsidRPr="00CF7396" w:rsidRDefault="00CF7396" w:rsidP="00CF7396">
      <w:pPr>
        <w:ind w:left="851" w:right="851" w:firstLine="709"/>
        <w:rPr>
          <w:i/>
          <w:iCs/>
          <w:color w:val="000000" w:themeColor="text1"/>
          <w:lang w:val="es-CR"/>
        </w:rPr>
      </w:pPr>
    </w:p>
    <w:p w14:paraId="4C08C7FF" w14:textId="77777777" w:rsidR="00CF7396" w:rsidRPr="00CF7396" w:rsidRDefault="00CF7396" w:rsidP="00CF7396">
      <w:pPr>
        <w:ind w:left="851" w:right="851" w:firstLine="709"/>
        <w:jc w:val="both"/>
        <w:rPr>
          <w:rFonts w:eastAsia="Book Antiqua"/>
          <w:b/>
          <w:bCs/>
          <w:color w:val="000000" w:themeColor="text1"/>
          <w:lang w:val="es-CR"/>
        </w:rPr>
      </w:pPr>
      <w:bookmarkStart w:id="29" w:name="_Toc127161007"/>
      <w:r w:rsidRPr="00CF7396">
        <w:rPr>
          <w:rFonts w:eastAsia="Book Antiqua"/>
          <w:color w:val="000000" w:themeColor="text1"/>
          <w:lang w:val="es-CR"/>
        </w:rPr>
        <w:t>“8.21 Tomar en consideración para la elaboración de planes de descongestionamiento a nivel nacional, los diferentes indicadores críticos relacionados a que las cargas de trabajo sobrepasen su capacidad instalada y que existe compromiso por el despacho en el cumplimiento de cuotas (Clasificación E). Entre estos despachos: el Juzgado de Trabajo, Juzgado de Cobro, Tribunal Penal del Primer Circuito Judicial de la Zona Atlántica y en el caso del Juzgado Agrario de dicho Circuito en cuanto a las audiencias pendientes.”</w:t>
      </w:r>
      <w:bookmarkEnd w:id="29"/>
    </w:p>
    <w:p w14:paraId="07ED6DFD" w14:textId="77777777" w:rsidR="00CF7396" w:rsidRPr="00CF7396" w:rsidRDefault="00CF7396" w:rsidP="00CF7396">
      <w:pPr>
        <w:jc w:val="both"/>
        <w:rPr>
          <w:rFonts w:eastAsia="Book Antiqua"/>
          <w:color w:val="000000" w:themeColor="text1"/>
          <w:lang w:val="es-CR"/>
        </w:rPr>
      </w:pPr>
    </w:p>
    <w:p w14:paraId="3AA1290D" w14:textId="77777777" w:rsidR="00CF7396" w:rsidRPr="00CF7396" w:rsidRDefault="00CF7396" w:rsidP="00CF7396">
      <w:pPr>
        <w:tabs>
          <w:tab w:val="left" w:pos="851"/>
        </w:tabs>
        <w:ind w:left="851" w:right="851" w:firstLine="709"/>
        <w:jc w:val="both"/>
        <w:rPr>
          <w:rFonts w:eastAsia="Book Antiqua"/>
          <w:i/>
          <w:iCs/>
          <w:color w:val="000000" w:themeColor="text1"/>
          <w:lang w:val="es-CR"/>
        </w:rPr>
      </w:pPr>
      <w:r w:rsidRPr="00CF7396">
        <w:rPr>
          <w:rFonts w:eastAsia="Book Antiqua"/>
          <w:i/>
          <w:iCs/>
          <w:color w:val="000000" w:themeColor="text1"/>
          <w:lang w:val="es-CR"/>
        </w:rPr>
        <w:t>Observaciones:</w:t>
      </w:r>
    </w:p>
    <w:p w14:paraId="53B09CA8" w14:textId="77777777" w:rsidR="00CF7396" w:rsidRPr="00CF7396" w:rsidRDefault="00CF7396" w:rsidP="00CF7396">
      <w:pPr>
        <w:tabs>
          <w:tab w:val="left" w:pos="851"/>
        </w:tabs>
        <w:ind w:left="851" w:right="851" w:firstLine="709"/>
        <w:jc w:val="both"/>
        <w:rPr>
          <w:i/>
          <w:iCs/>
          <w:color w:val="000000" w:themeColor="text1"/>
          <w:lang w:val="es-CR"/>
        </w:rPr>
      </w:pPr>
    </w:p>
    <w:p w14:paraId="3976B711" w14:textId="77777777" w:rsidR="00CF7396" w:rsidRPr="00CF7396" w:rsidRDefault="00CF7396" w:rsidP="00CF7396">
      <w:pPr>
        <w:numPr>
          <w:ilvl w:val="0"/>
          <w:numId w:val="65"/>
        </w:numPr>
        <w:ind w:left="851" w:right="851" w:firstLine="709"/>
        <w:contextualSpacing/>
        <w:jc w:val="both"/>
        <w:rPr>
          <w:rFonts w:eastAsia="Book Antiqua"/>
          <w:i/>
          <w:iCs/>
          <w:color w:val="000000" w:themeColor="text1"/>
          <w:lang w:val="es-CR"/>
        </w:rPr>
      </w:pPr>
      <w:r w:rsidRPr="00CF7396">
        <w:rPr>
          <w:rFonts w:eastAsia="Book Antiqua"/>
          <w:i/>
          <w:iCs/>
          <w:color w:val="000000" w:themeColor="text1"/>
          <w:lang w:val="es-CR"/>
        </w:rPr>
        <w:t>En lo que corresponde al seguimiento de la materia penal, por acuerdo de Consejo Superior tomado en sesión N°24-19, celebrada el 15 de marzo de 2019, artículo XXXVI se estableció lo siguiente:</w:t>
      </w:r>
    </w:p>
    <w:p w14:paraId="1A59DF72" w14:textId="77777777" w:rsidR="00CF7396" w:rsidRPr="00CF7396" w:rsidRDefault="00CF7396" w:rsidP="00CF7396">
      <w:pPr>
        <w:ind w:left="851" w:right="851" w:firstLine="709"/>
        <w:jc w:val="both"/>
        <w:rPr>
          <w:rFonts w:eastAsia="Book Antiqua"/>
          <w:i/>
          <w:iCs/>
          <w:color w:val="000000" w:themeColor="text1"/>
          <w:lang w:val="es-CR"/>
        </w:rPr>
      </w:pPr>
    </w:p>
    <w:p w14:paraId="04DDCAD8" w14:textId="77777777" w:rsidR="00CF7396" w:rsidRPr="00CF7396" w:rsidRDefault="00CF7396" w:rsidP="00CF7396">
      <w:pPr>
        <w:ind w:left="851" w:right="851" w:firstLine="709"/>
        <w:jc w:val="both"/>
        <w:rPr>
          <w:rFonts w:eastAsia="Book Antiqua"/>
          <w:i/>
          <w:iCs/>
          <w:color w:val="000000" w:themeColor="text1"/>
          <w:lang w:val="es-CR"/>
        </w:rPr>
      </w:pPr>
      <w:r w:rsidRPr="00CF7396">
        <w:rPr>
          <w:rFonts w:eastAsia="Book Antiqua"/>
          <w:i/>
          <w:iCs/>
          <w:color w:val="000000" w:themeColor="text1"/>
          <w:lang w:val="es-CR"/>
        </w:rPr>
        <w:t>1.) Comunicar a la Dirección de Planificación que será el encargado en los seguimientos respectivos de los despachos que están atendiendo los planes remediales para el modelo penal. 2.) Debido a lo anterior, el Centro de Apoyo, Coordinación y Mejoramiento de la Función Jurisdiccional, deberá dirigir sus recursos a la atención de planes de las demás materias.</w:t>
      </w:r>
    </w:p>
    <w:p w14:paraId="4BBB7D4F" w14:textId="77777777" w:rsidR="00CF7396" w:rsidRPr="00CF7396" w:rsidRDefault="00CF7396" w:rsidP="00CF7396">
      <w:pPr>
        <w:ind w:left="851" w:right="851" w:firstLine="709"/>
        <w:jc w:val="both"/>
        <w:rPr>
          <w:i/>
          <w:iCs/>
          <w:color w:val="000000" w:themeColor="text1"/>
          <w:lang w:val="es-CR"/>
        </w:rPr>
      </w:pPr>
    </w:p>
    <w:p w14:paraId="72C32C6B" w14:textId="77777777" w:rsidR="00CF7396" w:rsidRPr="00CF7396" w:rsidRDefault="00CF7396" w:rsidP="00CF7396">
      <w:pPr>
        <w:numPr>
          <w:ilvl w:val="0"/>
          <w:numId w:val="64"/>
        </w:numPr>
        <w:ind w:left="851" w:right="851" w:firstLine="709"/>
        <w:contextualSpacing/>
        <w:jc w:val="both"/>
        <w:rPr>
          <w:i/>
          <w:iCs/>
          <w:color w:val="000000" w:themeColor="text1"/>
          <w:lang w:val="es-CR"/>
        </w:rPr>
      </w:pPr>
      <w:r w:rsidRPr="00CF7396">
        <w:rPr>
          <w:rFonts w:eastAsia="Book Antiqua"/>
          <w:i/>
          <w:iCs/>
          <w:color w:val="000000" w:themeColor="text1"/>
          <w:lang w:val="es-CR"/>
        </w:rPr>
        <w:t>Por último, se aclara que el Subproceso de Modernización Institucional de la Dirección de Planificación es la dependencia encargada del Proyecto del Modelo Penal, por ende, elabora planes y brinda seguimiento a los despachos que conocen la materia penal”.</w:t>
      </w:r>
    </w:p>
    <w:p w14:paraId="448BF437" w14:textId="77777777" w:rsidR="00CF7396" w:rsidRPr="00CF7396" w:rsidRDefault="00CF7396" w:rsidP="00CF7396">
      <w:pPr>
        <w:ind w:left="851" w:right="851" w:firstLine="709"/>
        <w:jc w:val="both"/>
        <w:rPr>
          <w:color w:val="000000" w:themeColor="text1"/>
          <w:lang w:val="es-CR"/>
        </w:rPr>
      </w:pPr>
    </w:p>
    <w:p w14:paraId="4824B8D2" w14:textId="77777777" w:rsidR="00CF7396" w:rsidRPr="00CF7396" w:rsidRDefault="00CF7396" w:rsidP="00CF7396">
      <w:pPr>
        <w:ind w:left="851" w:right="851" w:firstLine="709"/>
        <w:jc w:val="both"/>
        <w:rPr>
          <w:color w:val="000000" w:themeColor="text1"/>
          <w:lang w:val="es-CR"/>
        </w:rPr>
      </w:pPr>
      <w:r w:rsidRPr="00CF7396">
        <w:rPr>
          <w:color w:val="000000" w:themeColor="text1"/>
          <w:lang w:val="es-CR"/>
        </w:rPr>
        <w:t xml:space="preserve">Con base en lo anterior, este Consejo Superior de previo a resolver lo que corresponda estima pertinente remitir a la Dirección de Planificación el oficio </w:t>
      </w:r>
      <w:r w:rsidRPr="00CF7396">
        <w:rPr>
          <w:bCs/>
          <w:color w:val="000000" w:themeColor="text1"/>
          <w:lang w:val="es-CR"/>
        </w:rPr>
        <w:t>N°403-CACMFJ-JEF-2022 de fecha veintidós de noviembre de dos mil veintidós</w:t>
      </w:r>
      <w:r w:rsidRPr="00CF7396">
        <w:rPr>
          <w:color w:val="000000" w:themeColor="text1"/>
          <w:lang w:val="es-CR"/>
        </w:rPr>
        <w:t xml:space="preserve">, suscrito por la Licenciada Maricruz Chacón Cubillo, Directora del Centro de Apoyo, Coordinación y Mejoramiento de la Función Jurisdiccional, en el que señala que la versión del informe puesta en conocimiento a la oficina a su cargo es distinta a la que conoce este Órgano Colegiado, lo anterior propiamente, al indicar que se incorpora en el apartado de recomendaciones una adicional que no era de su conocimiento y le atañe, además de emitir sus valoraciones respecto a otras recomendaciones, sobre el tema; por lo que, se estima prudente remitir dicho oficio a la Dirección de Planificación para que sea valorado en el informe </w:t>
      </w:r>
      <w:proofErr w:type="spellStart"/>
      <w:r w:rsidRPr="00CF7396">
        <w:rPr>
          <w:color w:val="000000" w:themeColor="text1"/>
          <w:lang w:val="es-CR"/>
        </w:rPr>
        <w:t>N°</w:t>
      </w:r>
      <w:proofErr w:type="spellEnd"/>
      <w:r w:rsidRPr="00CF7396">
        <w:rPr>
          <w:color w:val="000000" w:themeColor="text1"/>
          <w:lang w:val="es-CR"/>
        </w:rPr>
        <w:t xml:space="preserve"> 1070-PLA-EV-2022, relacionado con el informe de Seguimiento del Modelo de Sostenibilidad en el Primer Circuito Judicial de la Zona Atlántica correspondiente al año 2021, y posterior lo haga del conocimiento de este Órgano Superior.” </w:t>
      </w:r>
    </w:p>
    <w:p w14:paraId="43D33E22" w14:textId="77777777" w:rsidR="00CF7396" w:rsidRPr="00CF7396" w:rsidRDefault="00CF7396" w:rsidP="00CF7396">
      <w:pPr>
        <w:ind w:left="851" w:right="851" w:firstLine="709"/>
        <w:jc w:val="both"/>
        <w:rPr>
          <w:color w:val="000000" w:themeColor="text1"/>
          <w:lang w:val="es-CR"/>
        </w:rPr>
      </w:pPr>
    </w:p>
    <w:p w14:paraId="1A038322" w14:textId="77777777" w:rsidR="00CF7396" w:rsidRPr="00CF7396" w:rsidRDefault="00CF7396" w:rsidP="00CF7396">
      <w:pPr>
        <w:jc w:val="center"/>
        <w:rPr>
          <w:color w:val="000000" w:themeColor="text1"/>
          <w:lang w:val="es-CR"/>
        </w:rPr>
      </w:pPr>
      <w:r w:rsidRPr="00CF7396">
        <w:rPr>
          <w:color w:val="000000" w:themeColor="text1"/>
          <w:lang w:val="es-CR"/>
        </w:rPr>
        <w:t xml:space="preserve">-0-  </w:t>
      </w:r>
    </w:p>
    <w:p w14:paraId="13CA6E98" w14:textId="77777777" w:rsidR="00CF7396" w:rsidRPr="00CF7396" w:rsidRDefault="00CF7396" w:rsidP="00CF7396">
      <w:pPr>
        <w:jc w:val="center"/>
        <w:rPr>
          <w:color w:val="000000" w:themeColor="text1"/>
          <w:lang w:val="es-CR"/>
        </w:rPr>
      </w:pPr>
    </w:p>
    <w:p w14:paraId="6C516979" w14:textId="78C4212C" w:rsidR="00A064BA" w:rsidRPr="00CF7396" w:rsidRDefault="00CF7396" w:rsidP="00CF7396">
      <w:pPr>
        <w:ind w:firstLine="708"/>
        <w:jc w:val="both"/>
        <w:rPr>
          <w:b/>
          <w:bCs/>
          <w:color w:val="000000"/>
          <w:lang w:eastAsia="en-US"/>
        </w:rPr>
      </w:pPr>
      <w:r w:rsidRPr="00CF7396">
        <w:rPr>
          <w:color w:val="000000" w:themeColor="text1"/>
          <w:lang w:val="es-CR"/>
        </w:rPr>
        <w:t xml:space="preserve">De previo a resolver: </w:t>
      </w:r>
      <w:r w:rsidRPr="00CF7396">
        <w:rPr>
          <w:b/>
          <w:bCs/>
          <w:color w:val="000000" w:themeColor="text1"/>
          <w:lang w:val="es-CR"/>
        </w:rPr>
        <w:t>Se acordó: 1.)</w:t>
      </w:r>
      <w:r w:rsidRPr="00CF7396">
        <w:rPr>
          <w:color w:val="000000" w:themeColor="text1"/>
          <w:lang w:val="es-CR"/>
        </w:rPr>
        <w:t xml:space="preserve"> Remitir el oficio </w:t>
      </w:r>
      <w:r w:rsidRPr="00CF7396">
        <w:rPr>
          <w:bCs/>
          <w:color w:val="000000" w:themeColor="text1"/>
          <w:lang w:val="es-CR"/>
        </w:rPr>
        <w:t>N°403-CACMFJ-JEF-2022 de fecha veintidós de noviembre de dos mil veintidós</w:t>
      </w:r>
      <w:r w:rsidRPr="00CF7396">
        <w:rPr>
          <w:color w:val="000000" w:themeColor="text1"/>
          <w:lang w:val="es-CR"/>
        </w:rPr>
        <w:t xml:space="preserve">, suscrito por la Licenciada Maricruz Chacón Cubillo, Directora del Centro de Apoyo, Coordinación y Mejoramiento de la Función Jurisdiccional, para que sea valorado por la Dirección de Planificación en el informe </w:t>
      </w:r>
      <w:proofErr w:type="spellStart"/>
      <w:r w:rsidRPr="00CF7396">
        <w:rPr>
          <w:color w:val="000000" w:themeColor="text1"/>
          <w:lang w:val="es-CR"/>
        </w:rPr>
        <w:t>N°</w:t>
      </w:r>
      <w:proofErr w:type="spellEnd"/>
      <w:r w:rsidRPr="00CF7396">
        <w:rPr>
          <w:color w:val="000000" w:themeColor="text1"/>
          <w:lang w:val="es-CR"/>
        </w:rPr>
        <w:t xml:space="preserve"> 1070-PLA-EV-2022, relacionado con el informe de Seguimiento del Modelo de Sostenibilidad en el Primer Circuito Judicial de la Zona Atlántica correspondiente al año 2021, para posterior conocimiento de este Órgano Superior. </w:t>
      </w:r>
      <w:r w:rsidRPr="00CF7396">
        <w:rPr>
          <w:b/>
          <w:bCs/>
          <w:color w:val="000000" w:themeColor="text1"/>
          <w:lang w:val="es-CR"/>
        </w:rPr>
        <w:t>2.)</w:t>
      </w:r>
      <w:r w:rsidRPr="00CF7396">
        <w:rPr>
          <w:color w:val="000000" w:themeColor="text1"/>
          <w:lang w:val="es-CR"/>
        </w:rPr>
        <w:t xml:space="preserve"> Hacer el presente acuerdo de conocimiento del Centro de Apoyo, Coordinación y Mejoramiento de la Función Jurisdiccional y de la Dirección de Planificación para lo que corresponda </w:t>
      </w:r>
      <w:proofErr w:type="gramStart"/>
      <w:r w:rsidRPr="00CF7396">
        <w:rPr>
          <w:color w:val="000000" w:themeColor="text1"/>
          <w:lang w:val="es-CR"/>
        </w:rPr>
        <w:t>de acuerdo a</w:t>
      </w:r>
      <w:proofErr w:type="gramEnd"/>
      <w:r w:rsidRPr="00CF7396">
        <w:rPr>
          <w:color w:val="000000" w:themeColor="text1"/>
          <w:lang w:val="es-CR"/>
        </w:rPr>
        <w:t xml:space="preserve"> sus </w:t>
      </w:r>
      <w:r w:rsidRPr="00CF7396">
        <w:rPr>
          <w:lang w:val="es-CR"/>
        </w:rPr>
        <w:t xml:space="preserve">competencias. </w:t>
      </w:r>
      <w:r w:rsidRPr="00CF7396">
        <w:rPr>
          <w:b/>
          <w:bCs/>
          <w:lang w:val="es-CR"/>
        </w:rPr>
        <w:t>Se declara acuerdo firme.</w:t>
      </w:r>
      <w:r w:rsidR="001B424A" w:rsidRPr="00CF7396">
        <w:rPr>
          <w:b/>
          <w:bCs/>
          <w:color w:val="000000"/>
          <w:shd w:val="clear" w:color="auto" w:fill="FFFFFF"/>
          <w:lang w:val="es-ES_tradnl"/>
        </w:rPr>
        <w:t>”</w:t>
      </w:r>
    </w:p>
    <w:p w14:paraId="44BE41D2" w14:textId="77777777" w:rsidR="00FF5E3C" w:rsidRPr="00CF7396" w:rsidRDefault="00FF5E3C" w:rsidP="00CF7396">
      <w:pPr>
        <w:ind w:left="708"/>
        <w:jc w:val="both"/>
        <w:rPr>
          <w:b/>
          <w:bCs/>
          <w:lang w:val="es-ES_tradnl"/>
        </w:rPr>
      </w:pPr>
    </w:p>
    <w:p w14:paraId="65D25861" w14:textId="69987854" w:rsidR="00516055" w:rsidRPr="00CF7396" w:rsidRDefault="00516055" w:rsidP="00CF7396">
      <w:pPr>
        <w:autoSpaceDE w:val="0"/>
        <w:autoSpaceDN w:val="0"/>
        <w:jc w:val="center"/>
        <w:rPr>
          <w:b/>
          <w:bCs/>
        </w:rPr>
      </w:pPr>
      <w:r w:rsidRPr="00CF7396">
        <w:rPr>
          <w:b/>
          <w:bCs/>
        </w:rPr>
        <w:t xml:space="preserve">     </w:t>
      </w:r>
    </w:p>
    <w:p w14:paraId="73D77DB6" w14:textId="77777777" w:rsidR="00B44A2F" w:rsidRPr="00CF7396" w:rsidRDefault="00B44A2F" w:rsidP="00CF7396">
      <w:pPr>
        <w:tabs>
          <w:tab w:val="left" w:pos="4295"/>
        </w:tabs>
        <w:jc w:val="both"/>
        <w:rPr>
          <w:b/>
          <w:bCs/>
        </w:rPr>
      </w:pPr>
    </w:p>
    <w:p w14:paraId="2CFE9CD0" w14:textId="01CF0521" w:rsidR="00B44A2F" w:rsidRPr="00CF7396" w:rsidRDefault="00B44A2F" w:rsidP="00CF7396">
      <w:pPr>
        <w:tabs>
          <w:tab w:val="left" w:pos="4295"/>
        </w:tabs>
        <w:jc w:val="center"/>
        <w:rPr>
          <w:b/>
          <w:bCs/>
        </w:rPr>
      </w:pPr>
      <w:r w:rsidRPr="00CF7396">
        <w:rPr>
          <w:b/>
          <w:bCs/>
        </w:rPr>
        <w:t>Atentamente,</w:t>
      </w:r>
    </w:p>
    <w:p w14:paraId="3ED2AE68" w14:textId="77777777" w:rsidR="00B44A2F" w:rsidRPr="00CF7396" w:rsidRDefault="00B44A2F" w:rsidP="00CF7396">
      <w:pPr>
        <w:tabs>
          <w:tab w:val="left" w:pos="4295"/>
        </w:tabs>
        <w:jc w:val="center"/>
        <w:rPr>
          <w:b/>
          <w:bCs/>
        </w:rPr>
      </w:pPr>
    </w:p>
    <w:p w14:paraId="33799344" w14:textId="77777777" w:rsidR="00B44A2F" w:rsidRPr="00CF7396" w:rsidRDefault="00B44A2F" w:rsidP="00CF7396">
      <w:pPr>
        <w:tabs>
          <w:tab w:val="left" w:pos="4295"/>
        </w:tabs>
        <w:jc w:val="center"/>
        <w:rPr>
          <w:b/>
          <w:bCs/>
        </w:rPr>
      </w:pPr>
    </w:p>
    <w:p w14:paraId="5A13561E" w14:textId="77777777" w:rsidR="00B44A2F" w:rsidRPr="00CF7396" w:rsidRDefault="00B44A2F" w:rsidP="00CF7396">
      <w:pPr>
        <w:tabs>
          <w:tab w:val="left" w:pos="4295"/>
        </w:tabs>
        <w:jc w:val="center"/>
        <w:rPr>
          <w:b/>
          <w:bCs/>
        </w:rPr>
      </w:pPr>
    </w:p>
    <w:p w14:paraId="32DBA281" w14:textId="77777777" w:rsidR="00B44A2F" w:rsidRPr="00CF7396" w:rsidRDefault="00B44A2F" w:rsidP="00CF7396">
      <w:pPr>
        <w:tabs>
          <w:tab w:val="left" w:pos="4295"/>
        </w:tabs>
        <w:jc w:val="center"/>
        <w:rPr>
          <w:b/>
          <w:bCs/>
        </w:rPr>
      </w:pPr>
      <w:r w:rsidRPr="00CF7396">
        <w:rPr>
          <w:b/>
          <w:bCs/>
        </w:rPr>
        <w:t>Licda. Vanessa Fernández Salas</w:t>
      </w:r>
    </w:p>
    <w:p w14:paraId="2EF5EE07" w14:textId="7E047EED" w:rsidR="00B44A2F" w:rsidRPr="00CF7396" w:rsidRDefault="00B44A2F" w:rsidP="00CF7396">
      <w:pPr>
        <w:tabs>
          <w:tab w:val="left" w:pos="4295"/>
        </w:tabs>
        <w:jc w:val="center"/>
        <w:rPr>
          <w:b/>
          <w:bCs/>
        </w:rPr>
      </w:pPr>
      <w:r w:rsidRPr="00CF7396">
        <w:rPr>
          <w:b/>
          <w:bCs/>
        </w:rPr>
        <w:t>Prosecretaria General</w:t>
      </w:r>
    </w:p>
    <w:p w14:paraId="41244B86" w14:textId="2BB9611B" w:rsidR="001F72C0" w:rsidRPr="00CF7396" w:rsidRDefault="00B44A2F" w:rsidP="00CF7396">
      <w:pPr>
        <w:tabs>
          <w:tab w:val="left" w:pos="4295"/>
        </w:tabs>
        <w:jc w:val="center"/>
        <w:rPr>
          <w:b/>
          <w:bCs/>
        </w:rPr>
      </w:pPr>
      <w:r w:rsidRPr="00CF7396">
        <w:rPr>
          <w:b/>
          <w:bCs/>
        </w:rPr>
        <w:t>Secretaría General de la Corte</w:t>
      </w:r>
    </w:p>
    <w:p w14:paraId="20851D6B" w14:textId="77777777" w:rsidR="007B3C57" w:rsidRPr="00CF7396" w:rsidRDefault="007B3C57" w:rsidP="00CF7396">
      <w:pPr>
        <w:tabs>
          <w:tab w:val="left" w:pos="4295"/>
        </w:tabs>
        <w:jc w:val="both"/>
      </w:pPr>
    </w:p>
    <w:p w14:paraId="7F126211" w14:textId="77777777" w:rsidR="00CF7396" w:rsidRDefault="00790B81" w:rsidP="00CF7396">
      <w:pPr>
        <w:ind w:left="702" w:hanging="702"/>
      </w:pPr>
      <w:proofErr w:type="spellStart"/>
      <w:r w:rsidRPr="00CF7396">
        <w:t>C</w:t>
      </w:r>
      <w:r w:rsidR="00B46B14" w:rsidRPr="00CF7396">
        <w:t>c</w:t>
      </w:r>
      <w:bookmarkStart w:id="30" w:name="_Hlk114074346"/>
      <w:proofErr w:type="spellEnd"/>
      <w:r w:rsidR="00D67E23" w:rsidRPr="00CF7396">
        <w:tab/>
      </w:r>
      <w:bookmarkEnd w:id="30"/>
      <w:r w:rsidR="00CF7396">
        <w:t>Centro de Apoyo, Coordinación y Mejoramiento de la Función Jurisdiccional.</w:t>
      </w:r>
    </w:p>
    <w:p w14:paraId="7F492EC4" w14:textId="77777777" w:rsidR="00CF7396" w:rsidRDefault="00CF7396" w:rsidP="00CF7396">
      <w:pPr>
        <w:ind w:left="702"/>
      </w:pPr>
      <w:r>
        <w:t>Administración Regional del Primer Circuito Judicial de la Zona Atlántica.</w:t>
      </w:r>
    </w:p>
    <w:p w14:paraId="1AB4CA04" w14:textId="25381E35" w:rsidR="003255C9" w:rsidRPr="00CF7396" w:rsidRDefault="004C277C" w:rsidP="00CF7396">
      <w:pPr>
        <w:ind w:left="702" w:hanging="702"/>
        <w:rPr>
          <w:b/>
          <w:bCs/>
        </w:rPr>
      </w:pPr>
      <w:r w:rsidRPr="00CF7396">
        <w:tab/>
      </w:r>
      <w:r w:rsidR="00D26C08" w:rsidRPr="00CF7396">
        <w:tab/>
      </w:r>
      <w:r w:rsidR="0029216A" w:rsidRPr="00CF7396">
        <w:t xml:space="preserve">Diligencias / </w:t>
      </w:r>
      <w:proofErr w:type="spellStart"/>
      <w:r w:rsidR="0029216A" w:rsidRPr="00CF7396">
        <w:t>Refs</w:t>
      </w:r>
      <w:proofErr w:type="spellEnd"/>
      <w:r w:rsidR="003255C9" w:rsidRPr="00CF7396">
        <w:t xml:space="preserve"> (</w:t>
      </w:r>
      <w:r w:rsidR="00CF7396" w:rsidRPr="00CF7396">
        <w:rPr>
          <w:b/>
          <w:bCs/>
        </w:rPr>
        <w:t>13515, 13857-2022</w:t>
      </w:r>
      <w:r w:rsidR="006D797F" w:rsidRPr="00CF7396">
        <w:rPr>
          <w:b/>
          <w:bCs/>
        </w:rPr>
        <w:t>)</w:t>
      </w:r>
    </w:p>
    <w:p w14:paraId="4BD0E4F2" w14:textId="5328C588" w:rsidR="000850AB" w:rsidRDefault="000850AB" w:rsidP="00CF7396">
      <w:pPr>
        <w:autoSpaceDE w:val="0"/>
        <w:autoSpaceDN w:val="0"/>
        <w:ind w:firstLine="702"/>
        <w:rPr>
          <w:bCs/>
          <w:i/>
          <w:iCs/>
          <w:shd w:val="clear" w:color="auto" w:fill="FFFFFF"/>
          <w:lang w:val="es-ES_tradnl"/>
        </w:rPr>
      </w:pPr>
      <w:proofErr w:type="spellStart"/>
      <w:r w:rsidRPr="00CF7396">
        <w:rPr>
          <w:bCs/>
          <w:i/>
          <w:iCs/>
          <w:shd w:val="clear" w:color="auto" w:fill="FFFFFF"/>
          <w:lang w:val="es-ES_tradnl"/>
        </w:rPr>
        <w:t>L</w:t>
      </w:r>
      <w:r w:rsidR="007E1F3F" w:rsidRPr="00CF7396">
        <w:rPr>
          <w:bCs/>
          <w:i/>
          <w:iCs/>
          <w:shd w:val="clear" w:color="auto" w:fill="FFFFFF"/>
          <w:lang w:val="es-ES_tradnl"/>
        </w:rPr>
        <w:t>bm</w:t>
      </w:r>
      <w:proofErr w:type="spellEnd"/>
    </w:p>
    <w:p w14:paraId="5E2EC43A" w14:textId="41442D1E" w:rsidR="00CF7396" w:rsidRPr="00CF7396" w:rsidRDefault="00CF7396" w:rsidP="00CF7396">
      <w:pPr>
        <w:autoSpaceDE w:val="0"/>
        <w:autoSpaceDN w:val="0"/>
        <w:ind w:firstLine="702"/>
        <w:rPr>
          <w:b/>
          <w:shd w:val="clear" w:color="auto" w:fill="FFFFFF"/>
          <w:lang w:val="es-ES_tradnl"/>
        </w:rPr>
      </w:pPr>
      <w:r w:rsidRPr="00CF7396">
        <w:rPr>
          <w:b/>
          <w:shd w:val="clear" w:color="auto" w:fill="FFFFFF"/>
          <w:lang w:val="es-ES_tradnl"/>
        </w:rPr>
        <w:t>PT</w:t>
      </w:r>
    </w:p>
    <w:sectPr w:rsidR="00CF7396" w:rsidRPr="00CF7396" w:rsidSect="00186ADE">
      <w:headerReference w:type="default" r:id="rId75"/>
      <w:footerReference w:type="default" r:id="rId76"/>
      <w:footnotePr>
        <w:pos w:val="beneathText"/>
      </w:footnotePr>
      <w:pgSz w:w="12240" w:h="15840"/>
      <w:pgMar w:top="2372" w:right="1418" w:bottom="2126" w:left="1417" w:header="1417" w:footer="141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5E9385" w14:textId="77777777" w:rsidR="002911D9" w:rsidRDefault="002911D9">
      <w:r>
        <w:separator/>
      </w:r>
    </w:p>
  </w:endnote>
  <w:endnote w:type="continuationSeparator" w:id="0">
    <w:p w14:paraId="00C87007" w14:textId="77777777" w:rsidR="002911D9" w:rsidRDefault="002911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Roman">
    <w:altName w:val="Times New Roman"/>
    <w:charset w:val="00"/>
    <w:family w:val="roman"/>
    <w:pitch w:val="default"/>
  </w:font>
  <w:font w:name="Quattrocento Sans">
    <w:charset w:val="00"/>
    <w:family w:val="swiss"/>
    <w:pitch w:val="variable"/>
    <w:sig w:usb0="800000BF" w:usb1="4000005B"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tarSymbol">
    <w:altName w:val="MS Mincho"/>
    <w:charset w:val="00"/>
    <w:family w:val="auto"/>
    <w:pitch w:val="default"/>
    <w:sig w:usb0="00000003" w:usb1="08070000" w:usb2="00000010" w:usb3="00000000" w:csb0="00020001"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10cpi">
    <w:altName w:val="Times New Roman"/>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oronto">
    <w:altName w:val="Calibri"/>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MS Sans Serif">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roman"/>
    <w:pitch w:val="fixed"/>
    <w:sig w:usb0="00000001" w:usb1="08070000" w:usb2="00000010" w:usb3="00000000" w:csb0="00020000" w:csb1="00000000"/>
  </w:font>
  <w:font w:name="Century Schoolbook">
    <w:panose1 w:val="02040604050505020304"/>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pitch w:val="variable"/>
    <w:sig w:usb0="00002000" w:usb1="00000000" w:usb2="00000000" w:usb3="00000000" w:csb0="00000000"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Batang">
    <w:altName w:val="바탕"/>
    <w:panose1 w:val="02030600000101010101"/>
    <w:charset w:val="81"/>
    <w:family w:val="auto"/>
    <w:pitch w:val="fixed"/>
    <w:sig w:usb0="00000001" w:usb1="09060000" w:usb2="00000010" w:usb3="00000000" w:csb0="00080000" w:csb1="00000000"/>
  </w:font>
  <w:font w:name="STKaiti">
    <w:charset w:val="86"/>
    <w:family w:val="auto"/>
    <w:pitch w:val="variable"/>
    <w:sig w:usb0="00000287" w:usb1="080F0000" w:usb2="00000010" w:usb3="00000000" w:csb0="0004009F" w:csb1="00000000"/>
  </w:font>
  <w:font w:name="Microsoft YaHei">
    <w:panose1 w:val="020B0503020204020204"/>
    <w:charset w:val="86"/>
    <w:family w:val="swiss"/>
    <w:pitch w:val="variable"/>
    <w:sig w:usb0="80000287" w:usb1="2ACF3C50" w:usb2="00000016" w:usb3="00000000" w:csb0="0004001F" w:csb1="00000000"/>
  </w:font>
  <w:font w:name="Montserrat">
    <w:charset w:val="00"/>
    <w:family w:val="auto"/>
    <w:pitch w:val="variable"/>
    <w:sig w:usb0="2000020F" w:usb1="00000003" w:usb2="00000000" w:usb3="00000000" w:csb0="00000197" w:csb1="00000000"/>
  </w:font>
  <w:font w:name="Noto Sans Devanagari">
    <w:charset w:val="00"/>
    <w:family w:val="swiss"/>
    <w:pitch w:val="variable"/>
    <w:sig w:usb0="80008023" w:usb1="00002046" w:usb2="00000000" w:usb3="00000000" w:csb0="00000001" w:csb1="00000000"/>
  </w:font>
  <w:font w:name="GillSans-Light;Calibri">
    <w:altName w:val="Gubbi"/>
    <w:panose1 w:val="00000000000000000000"/>
    <w:charset w:val="00"/>
    <w:family w:val="roman"/>
    <w:notTrueType/>
    <w:pitch w:val="default"/>
  </w:font>
  <w:font w:name="Yu Gothic Light">
    <w:panose1 w:val="020B0300000000000000"/>
    <w:charset w:val="80"/>
    <w:family w:val="swiss"/>
    <w:pitch w:val="variable"/>
    <w:sig w:usb0="E00002FF" w:usb1="2AC7FDFF" w:usb2="00000016" w:usb3="00000000" w:csb0="0002009F"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Nimbus Roman No9 L">
    <w:charset w:val="00"/>
    <w:family w:val="auto"/>
    <w:pitch w:val="default"/>
  </w:font>
  <w:font w:name="Arial Black">
    <w:panose1 w:val="020B0A04020102020204"/>
    <w:charset w:val="00"/>
    <w:family w:val="swiss"/>
    <w:pitch w:val="variable"/>
    <w:sig w:usb0="A00002AF" w:usb1="400078FB" w:usb2="00000000" w:usb3="00000000" w:csb0="0000009F" w:csb1="00000000"/>
  </w:font>
  <w:font w:name="AvantGardeITCbyBT-Book">
    <w:altName w:val="Times New Roman"/>
    <w:charset w:val="00"/>
    <w:family w:val="auto"/>
    <w:pitch w:val="default"/>
  </w:font>
  <w:font w:name="Cooper Md BT">
    <w:charset w:val="00"/>
    <w:family w:val="auto"/>
    <w:pitch w:val="default"/>
  </w:font>
  <w:font w:name="Myriad Pro">
    <w:panose1 w:val="00000000000000000000"/>
    <w:charset w:val="00"/>
    <w:family w:val="swiss"/>
    <w:notTrueType/>
    <w:pitch w:val="variable"/>
    <w:sig w:usb0="20000287" w:usb1="00000001"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Bold">
    <w:altName w:val="Calibr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font337">
    <w:altName w:val="Calibri"/>
    <w:charset w:val="00"/>
    <w:family w:val="auto"/>
    <w:pitch w:val="variable"/>
  </w:font>
  <w:font w:name="font346">
    <w:altName w:val="Calibri"/>
    <w:charset w:val="00"/>
    <w:family w:val="auto"/>
    <w:pitch w:val="variable"/>
  </w:font>
  <w:font w:name="font336">
    <w:altName w:val="Calibri"/>
    <w:charset w:val="00"/>
    <w:family w:val="auto"/>
    <w:pitch w:val="variable"/>
  </w:font>
  <w:font w:name="SimSun;宋体">
    <w:altName w:val="Yu Gothic"/>
    <w:panose1 w:val="00000000000000000000"/>
    <w:charset w:val="80"/>
    <w:family w:val="roman"/>
    <w:notTrueType/>
    <w:pitch w:val="default"/>
  </w:font>
  <w:font w:name="TT188t00">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27FFB"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 xml:space="preserve">Teléfonos: </w:t>
    </w:r>
    <w:r w:rsidR="00895F92">
      <w:rPr>
        <w:rFonts w:ascii="Times New Roman" w:hAnsi="Times New Roman" w:cs="Times New Roman"/>
        <w:b/>
        <w:sz w:val="16"/>
        <w:szCs w:val="16"/>
        <w:u w:val="none"/>
        <w:lang w:val="es-ES_tradnl"/>
      </w:rPr>
      <w:t>2295-3</w:t>
    </w:r>
    <w:r w:rsidR="00CF3853">
      <w:rPr>
        <w:rFonts w:ascii="Times New Roman" w:hAnsi="Times New Roman" w:cs="Times New Roman"/>
        <w:b/>
        <w:sz w:val="16"/>
        <w:szCs w:val="16"/>
        <w:u w:val="none"/>
        <w:lang w:val="es-ES_tradnl"/>
      </w:rPr>
      <w:t>845</w:t>
    </w:r>
    <w:r w:rsidR="00895F92">
      <w:rPr>
        <w:rFonts w:ascii="Times New Roman" w:hAnsi="Times New Roman" w:cs="Times New Roman"/>
        <w:b/>
        <w:sz w:val="16"/>
        <w:szCs w:val="16"/>
        <w:u w:val="none"/>
        <w:lang w:val="es-ES_tradnl"/>
      </w:rPr>
      <w:t xml:space="preserve"> //</w:t>
    </w:r>
    <w:r>
      <w:rPr>
        <w:rFonts w:ascii="Times New Roman" w:hAnsi="Times New Roman" w:cs="Times New Roman"/>
        <w:b/>
        <w:sz w:val="16"/>
        <w:szCs w:val="16"/>
        <w:u w:val="none"/>
        <w:lang w:val="es-ES_tradnl"/>
      </w:rPr>
      <w:t xml:space="preserve"> 2295-3711</w:t>
    </w:r>
    <w:r>
      <w:rPr>
        <w:rFonts w:ascii="Times New Roman" w:hAnsi="Times New Roman" w:cs="Times New Roman"/>
        <w:b/>
        <w:sz w:val="16"/>
        <w:szCs w:val="16"/>
        <w:u w:val="none"/>
        <w:lang w:val="es-ES_tradnl"/>
      </w:rPr>
      <w:tab/>
      <w:t xml:space="preserve"> Correo: </w:t>
    </w:r>
    <w:hyperlink r:id="rId1" w:history="1">
      <w:r>
        <w:rPr>
          <w:rStyle w:val="Hipervnculo"/>
          <w:rFonts w:ascii="Times New Roman" w:hAnsi="Times New Roman"/>
        </w:rPr>
        <w:t>secrecorte@poder-judicial.go.cr</w:t>
      </w:r>
    </w:hyperlink>
    <w:r>
      <w:rPr>
        <w:rFonts w:ascii="Times New Roman" w:hAnsi="Times New Roman" w:cs="Times New Roman"/>
        <w:b/>
        <w:sz w:val="16"/>
        <w:szCs w:val="16"/>
        <w:u w:val="none"/>
        <w:lang w:val="es-ES_tradnl"/>
      </w:rPr>
      <w:t xml:space="preserve"> Fax: (506) 2295-3706 </w:t>
    </w:r>
    <w:proofErr w:type="spellStart"/>
    <w:r>
      <w:rPr>
        <w:rFonts w:ascii="Times New Roman" w:hAnsi="Times New Roman" w:cs="Times New Roman"/>
        <w:b/>
        <w:sz w:val="16"/>
        <w:szCs w:val="16"/>
        <w:u w:val="none"/>
        <w:lang w:val="es-ES_tradnl"/>
      </w:rPr>
      <w:t>Apdo</w:t>
    </w:r>
    <w:proofErr w:type="spellEnd"/>
    <w:r>
      <w:rPr>
        <w:rFonts w:ascii="Times New Roman" w:hAnsi="Times New Roman" w:cs="Times New Roman"/>
        <w:b/>
        <w:sz w:val="16"/>
        <w:szCs w:val="16"/>
        <w:u w:val="none"/>
        <w:lang w:val="es-ES_tradnl"/>
      </w:rPr>
      <w:t>: 1-1003 San José</w:t>
    </w:r>
  </w:p>
  <w:p w14:paraId="7694B644"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bCs/>
        <w:sz w:val="16"/>
        <w:szCs w:val="16"/>
        <w:u w:val="none"/>
        <w:shd w:val="clear" w:color="auto" w:fill="auto"/>
        <w:lang w:val="es-ES_tradnl"/>
      </w:rPr>
    </w:pPr>
  </w:p>
  <w:p w14:paraId="42215919" w14:textId="77777777" w:rsidR="00186ADE" w:rsidRDefault="00EF6FF8">
    <w:pPr>
      <w:jc w:val="center"/>
    </w:pPr>
    <w:r>
      <w:rPr>
        <w:b/>
        <w:sz w:val="16"/>
        <w:szCs w:val="16"/>
        <w:lang w:val="es-CR"/>
      </w:rPr>
      <w:fldChar w:fldCharType="begin"/>
    </w:r>
    <w:r w:rsidR="00186ADE">
      <w:rPr>
        <w:b/>
        <w:sz w:val="16"/>
        <w:szCs w:val="16"/>
        <w:lang w:val="es-CR"/>
      </w:rPr>
      <w:instrText xml:space="preserve"> PAGE </w:instrText>
    </w:r>
    <w:r>
      <w:rPr>
        <w:b/>
        <w:sz w:val="16"/>
        <w:szCs w:val="16"/>
        <w:lang w:val="es-CR"/>
      </w:rPr>
      <w:fldChar w:fldCharType="separate"/>
    </w:r>
    <w:r w:rsidR="009C666D">
      <w:rPr>
        <w:b/>
        <w:noProof/>
        <w:sz w:val="16"/>
        <w:szCs w:val="16"/>
        <w:lang w:val="es-CR"/>
      </w:rPr>
      <w:t>1</w:t>
    </w:r>
    <w:r>
      <w:rPr>
        <w:b/>
        <w:sz w:val="16"/>
        <w:szCs w:val="16"/>
        <w:lang w:val="es-C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E477D6" w14:textId="77777777" w:rsidR="002911D9" w:rsidRDefault="002911D9">
      <w:r>
        <w:separator/>
      </w:r>
    </w:p>
  </w:footnote>
  <w:footnote w:type="continuationSeparator" w:id="0">
    <w:p w14:paraId="4067AA3B" w14:textId="77777777" w:rsidR="002911D9" w:rsidRDefault="002911D9">
      <w:r>
        <w:continuationSeparator/>
      </w:r>
    </w:p>
  </w:footnote>
  <w:footnote w:id="1">
    <w:p w14:paraId="3C44B423" w14:textId="77777777" w:rsidR="00CF7396" w:rsidRPr="00860876" w:rsidRDefault="00CF7396" w:rsidP="00CF7396">
      <w:pPr>
        <w:pStyle w:val="Textonotapie"/>
        <w:jc w:val="both"/>
        <w:rPr>
          <w:lang w:val="es-CR"/>
        </w:rPr>
      </w:pPr>
      <w:r w:rsidRPr="0040720B">
        <w:rPr>
          <w:rStyle w:val="Refdenotaalpie"/>
          <w:sz w:val="14"/>
          <w:szCs w:val="14"/>
        </w:rPr>
        <w:footnoteRef/>
      </w:r>
      <w:r w:rsidRPr="0040720B">
        <w:rPr>
          <w:sz w:val="14"/>
          <w:szCs w:val="14"/>
        </w:rPr>
        <w:t xml:space="preserve"> </w:t>
      </w:r>
      <w:r w:rsidRPr="0040720B">
        <w:rPr>
          <w:sz w:val="14"/>
          <w:szCs w:val="14"/>
          <w:lang w:val="es-CR"/>
        </w:rPr>
        <w:t xml:space="preserve">A partir de junio del 2021 se dio prioridad y trabajó arduamente en el Tribunal Penal y la Sección de Flagrancia del Primer Circuito Judicial de la Zona Atlántica, es por ello por lo que varias realimentaciones mensuales </w:t>
      </w:r>
      <w:r>
        <w:rPr>
          <w:sz w:val="14"/>
          <w:szCs w:val="14"/>
          <w:lang w:val="es-CR"/>
        </w:rPr>
        <w:t xml:space="preserve">del 2021 </w:t>
      </w:r>
      <w:r w:rsidRPr="0040720B">
        <w:rPr>
          <w:sz w:val="14"/>
          <w:szCs w:val="14"/>
          <w:lang w:val="es-CR"/>
        </w:rPr>
        <w:t>se efectuaron hasta el 2022.</w:t>
      </w:r>
    </w:p>
  </w:footnote>
  <w:footnote w:id="2">
    <w:p w14:paraId="32BF6A0C" w14:textId="77777777" w:rsidR="00CF7396" w:rsidRPr="0061631D" w:rsidRDefault="00CF7396" w:rsidP="00CF7396">
      <w:pPr>
        <w:pStyle w:val="Textonotapie"/>
        <w:rPr>
          <w:lang w:val="es-MX"/>
        </w:rPr>
      </w:pPr>
      <w:r>
        <w:rPr>
          <w:rStyle w:val="Refdenotaalpie"/>
        </w:rPr>
        <w:footnoteRef/>
      </w:r>
      <w:r>
        <w:t xml:space="preserve"> </w:t>
      </w:r>
      <w:r w:rsidRPr="0061631D">
        <w:rPr>
          <w:rFonts w:ascii="Book Antiqua" w:hAnsi="Book Antiqua"/>
          <w:sz w:val="16"/>
          <w:szCs w:val="16"/>
          <w:lang w:val="es-MX"/>
        </w:rPr>
        <w:t>Acuerdo del Consejo Superior, de la sesión 30-2022, del 5 de abril del 2022, artículo XL.</w:t>
      </w:r>
    </w:p>
  </w:footnote>
  <w:footnote w:id="3">
    <w:p w14:paraId="74542533" w14:textId="77777777" w:rsidR="00CF7396" w:rsidRPr="00CF2098" w:rsidRDefault="00CF7396" w:rsidP="00CF7396">
      <w:pPr>
        <w:pStyle w:val="Textonotapie"/>
        <w:rPr>
          <w:lang w:val="es-MX"/>
        </w:rPr>
      </w:pPr>
      <w:r>
        <w:rPr>
          <w:rStyle w:val="Refdenotaalpie"/>
        </w:rPr>
        <w:footnoteRef/>
      </w:r>
      <w:r>
        <w:t xml:space="preserve"> </w:t>
      </w:r>
      <w:r w:rsidRPr="00360EC8">
        <w:rPr>
          <w:rFonts w:ascii="Book Antiqua" w:hAnsi="Book Antiqua"/>
          <w:sz w:val="16"/>
          <w:szCs w:val="16"/>
          <w:lang w:val="es-MX"/>
        </w:rPr>
        <w:t>Acuerdo del Consejo Superior de la sesión N</w:t>
      </w:r>
      <w:r w:rsidRPr="00360EC8">
        <w:rPr>
          <w:rFonts w:ascii="Book Antiqua" w:hAnsi="Book Antiqua"/>
          <w:sz w:val="16"/>
          <w:szCs w:val="16"/>
          <w:vertAlign w:val="superscript"/>
          <w:lang w:val="es-MX"/>
        </w:rPr>
        <w:t>O</w:t>
      </w:r>
      <w:r w:rsidRPr="00360EC8">
        <w:rPr>
          <w:rFonts w:ascii="Book Antiqua" w:hAnsi="Book Antiqua"/>
          <w:sz w:val="16"/>
          <w:szCs w:val="16"/>
          <w:lang w:val="es-MX"/>
        </w:rPr>
        <w:t>49-2022 del 9 de junio del 2022 artículo XLVI.</w:t>
      </w:r>
    </w:p>
  </w:footnote>
  <w:footnote w:id="4">
    <w:p w14:paraId="5B24035F" w14:textId="77777777" w:rsidR="00CF7396" w:rsidRPr="00327A6E" w:rsidRDefault="00CF7396" w:rsidP="00CF7396">
      <w:pPr>
        <w:pStyle w:val="Textonotapie"/>
        <w:rPr>
          <w:lang w:val="es-CR"/>
        </w:rPr>
      </w:pPr>
      <w:r>
        <w:rPr>
          <w:rStyle w:val="Refdenotaalpie"/>
        </w:rPr>
        <w:footnoteRef/>
      </w:r>
      <w:r>
        <w:t xml:space="preserve"> </w:t>
      </w:r>
      <w:r>
        <w:rPr>
          <w:lang w:val="es-CR"/>
        </w:rPr>
        <w:t>El 31 de mayo del 2022 se consultó a la Administración y no se obtuvo respuesta.</w:t>
      </w:r>
    </w:p>
  </w:footnote>
  <w:footnote w:id="5">
    <w:p w14:paraId="0FA23872" w14:textId="77777777" w:rsidR="00CF7396" w:rsidRPr="0061631D" w:rsidRDefault="00CF7396" w:rsidP="00CF7396">
      <w:pPr>
        <w:pStyle w:val="Textonotapie"/>
        <w:rPr>
          <w:lang w:val="es-MX"/>
        </w:rPr>
      </w:pPr>
      <w:r>
        <w:rPr>
          <w:rStyle w:val="Refdenotaalpie"/>
        </w:rPr>
        <w:footnoteRef/>
      </w:r>
      <w:r>
        <w:t xml:space="preserve"> </w:t>
      </w:r>
      <w:r w:rsidRPr="0061631D">
        <w:rPr>
          <w:rFonts w:ascii="Book Antiqua" w:hAnsi="Book Antiqua"/>
          <w:sz w:val="16"/>
          <w:szCs w:val="16"/>
          <w:lang w:val="es-MX"/>
        </w:rPr>
        <w:t>Acuerdo del Consejo Superior, de la sesión 30-2022, del 5 de abril del 2022, artículo XL.</w:t>
      </w:r>
    </w:p>
  </w:footnote>
  <w:footnote w:id="6">
    <w:p w14:paraId="5D5C143A" w14:textId="77777777" w:rsidR="00CF7396" w:rsidRPr="00CF2098" w:rsidRDefault="00CF7396" w:rsidP="00CF7396">
      <w:pPr>
        <w:pStyle w:val="Textonotapie"/>
        <w:rPr>
          <w:lang w:val="es-MX"/>
        </w:rPr>
      </w:pPr>
      <w:r>
        <w:rPr>
          <w:rStyle w:val="Refdenotaalpie"/>
        </w:rPr>
        <w:footnoteRef/>
      </w:r>
      <w:r>
        <w:t xml:space="preserve"> </w:t>
      </w:r>
      <w:r w:rsidRPr="00360EC8">
        <w:rPr>
          <w:rFonts w:ascii="Book Antiqua" w:hAnsi="Book Antiqua"/>
          <w:sz w:val="16"/>
          <w:szCs w:val="16"/>
          <w:lang w:val="es-MX"/>
        </w:rPr>
        <w:t>Acuerdo del Consejo Superior de la sesión N</w:t>
      </w:r>
      <w:r w:rsidRPr="00360EC8">
        <w:rPr>
          <w:rFonts w:ascii="Book Antiqua" w:hAnsi="Book Antiqua"/>
          <w:sz w:val="16"/>
          <w:szCs w:val="16"/>
          <w:vertAlign w:val="superscript"/>
          <w:lang w:val="es-MX"/>
        </w:rPr>
        <w:t>O</w:t>
      </w:r>
      <w:r w:rsidRPr="00360EC8">
        <w:rPr>
          <w:rFonts w:ascii="Book Antiqua" w:hAnsi="Book Antiqua"/>
          <w:sz w:val="16"/>
          <w:szCs w:val="16"/>
          <w:lang w:val="es-MX"/>
        </w:rPr>
        <w:t>49-2022 del 9 de junio del 2022 artículo XLVI.</w:t>
      </w:r>
    </w:p>
  </w:footnote>
  <w:footnote w:id="7">
    <w:p w14:paraId="3080D25B" w14:textId="77777777" w:rsidR="00CF7396" w:rsidRPr="00014699" w:rsidRDefault="00CF7396" w:rsidP="00CF7396">
      <w:pPr>
        <w:autoSpaceDE w:val="0"/>
        <w:autoSpaceDN w:val="0"/>
        <w:adjustRightInd w:val="0"/>
        <w:jc w:val="both"/>
        <w:rPr>
          <w:rFonts w:ascii="Book Antiqua" w:hAnsi="Book Antiqua"/>
          <w:sz w:val="16"/>
          <w:szCs w:val="16"/>
          <w:lang w:val="es-MX"/>
        </w:rPr>
      </w:pPr>
      <w:r w:rsidRPr="00014699">
        <w:rPr>
          <w:rStyle w:val="Refdenotaalpie"/>
          <w:rFonts w:ascii="Book Antiqua" w:hAnsi="Book Antiqua"/>
          <w:sz w:val="16"/>
          <w:szCs w:val="16"/>
        </w:rPr>
        <w:footnoteRef/>
      </w:r>
      <w:r w:rsidRPr="00014699">
        <w:rPr>
          <w:rFonts w:ascii="Book Antiqua" w:hAnsi="Book Antiqua"/>
          <w:sz w:val="16"/>
          <w:szCs w:val="16"/>
        </w:rPr>
        <w:t xml:space="preserve"> Acuerdo de </w:t>
      </w:r>
      <w:r w:rsidRPr="00014699">
        <w:rPr>
          <w:rFonts w:ascii="Book Antiqua" w:hAnsi="Book Antiqua" w:cs="TT188t00"/>
          <w:sz w:val="16"/>
          <w:szCs w:val="16"/>
        </w:rPr>
        <w:t>Corte Plena en sesión N° 3-2001, celebrada el 22 de enero del 2001, artículo XXXVIII. Circular 11-2001.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594DA1" w14:textId="71AD557A" w:rsidR="00186ADE" w:rsidRDefault="006C58AD">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rPr>
      <mc:AlternateContent>
        <mc:Choice Requires="wps">
          <w:drawing>
            <wp:anchor distT="0" distB="0" distL="114935" distR="114935" simplePos="0" relativeHeight="251657728" behindDoc="1" locked="0" layoutInCell="1" allowOverlap="1" wp14:anchorId="056DDC23" wp14:editId="049560C0">
              <wp:simplePos x="0" y="0"/>
              <wp:positionH relativeFrom="column">
                <wp:posOffset>0</wp:posOffset>
              </wp:positionH>
              <wp:positionV relativeFrom="paragraph">
                <wp:posOffset>-358140</wp:posOffset>
              </wp:positionV>
              <wp:extent cx="615315" cy="662940"/>
              <wp:effectExtent l="0" t="381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A2E5C2" w14:textId="77777777" w:rsidR="00186ADE" w:rsidRDefault="00621217" w:rsidP="00186ADE">
                          <w:pPr>
                            <w:ind w:right="3"/>
                          </w:pPr>
                          <w:r>
                            <w:rPr>
                              <w:noProof/>
                              <w:lang w:eastAsia="es-ES"/>
                            </w:rPr>
                            <w:drawing>
                              <wp:inline distT="0" distB="0" distL="0" distR="0" wp14:anchorId="3C707F0A" wp14:editId="42C663F8">
                                <wp:extent cx="594360" cy="66294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56DDC23" id="_x0000_t202" coordsize="21600,21600" o:spt="202" path="m,l,21600r21600,l21600,xe">
              <v:stroke joinstyle="miter"/>
              <v:path gradientshapeok="t" o:connecttype="rect"/>
            </v:shapetype>
            <v:shape id="Text Box 1" o:spid="_x0000_s1026" type="#_x0000_t202" style="position:absolute;margin-left:0;margin-top:-28.2pt;width:48.45pt;height:52.2pt;z-index:-251658752;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" stroked="f">
              <v:textbox style="mso-fit-shape-to-text:t" inset="0,0,0,0">
                <w:txbxContent>
                  <w:p w14:paraId="62A2E5C2" w14:textId="77777777" w:rsidR="00186ADE" w:rsidRDefault="00621217" w:rsidP="00186ADE">
                    <w:pPr>
                      <w:ind w:right="3"/>
                    </w:pPr>
                    <w:r>
                      <w:rPr>
                        <w:noProof/>
                        <w:lang w:eastAsia="es-ES"/>
                      </w:rPr>
                      <w:drawing>
                        <wp:inline distT="0" distB="0" distL="0" distR="0" wp14:anchorId="3C707F0A" wp14:editId="42C663F8">
                          <wp:extent cx="594360" cy="66294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sidR="00186ADE">
      <w:rPr>
        <w:rFonts w:cs="Times New Roman"/>
        <w:u w:val="none"/>
        <w:shd w:val="clear" w:color="auto" w:fill="auto"/>
      </w:rPr>
      <w:t xml:space="preserve">                    </w:t>
    </w:r>
    <w:r w:rsidR="00186ADE">
      <w:rPr>
        <w:rFonts w:ascii="Times New Roman" w:hAnsi="Times New Roman" w:cs="Times New Roman"/>
        <w:b/>
        <w:i/>
        <w:u w:val="none"/>
        <w:shd w:val="clear" w:color="auto" w:fill="auto"/>
        <w:lang w:val="es-CR"/>
      </w:rPr>
      <w:t>Corte Suprema de Justicia</w:t>
    </w:r>
  </w:p>
  <w:p w14:paraId="1203DAE7" w14:textId="77777777" w:rsidR="00186ADE" w:rsidRDefault="00186ADE">
    <w:pPr>
      <w:rPr>
        <w:b/>
        <w:bCs/>
        <w:i/>
        <w:iCs/>
        <w:lang w:val="es-ES_tradnl"/>
      </w:rPr>
    </w:pPr>
    <w:r>
      <w:rPr>
        <w:b/>
        <w:bCs/>
        <w:i/>
        <w:iCs/>
        <w:lang w:val="es-ES_tradnl"/>
      </w:rPr>
      <w:t xml:space="preserve">                           Secretaría General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D26FEB8"/>
    <w:styleLink w:val="111111111211"/>
    <w:lvl w:ilvl="0">
      <w:start w:val="1"/>
      <w:numFmt w:val="decimal"/>
      <w:pStyle w:val="Listaconnmeros5"/>
      <w:lvlText w:val="%1."/>
      <w:lvlJc w:val="left"/>
      <w:pPr>
        <w:tabs>
          <w:tab w:val="num" w:pos="1492"/>
        </w:tabs>
        <w:ind w:left="1492" w:hanging="360"/>
      </w:pPr>
    </w:lvl>
  </w:abstractNum>
  <w:abstractNum w:abstractNumId="1" w15:restartNumberingAfterBreak="0">
    <w:nsid w:val="FFFFFF7F"/>
    <w:multiLevelType w:val="singleLevel"/>
    <w:tmpl w:val="FFFFFF7F"/>
    <w:lvl w:ilvl="0">
      <w:start w:val="1"/>
      <w:numFmt w:val="decimal"/>
      <w:pStyle w:val="Listaconnmeros2"/>
      <w:lvlText w:val="%1."/>
      <w:lvlJc w:val="left"/>
      <w:pPr>
        <w:tabs>
          <w:tab w:val="left" w:pos="643"/>
        </w:tabs>
        <w:ind w:left="643" w:hanging="360"/>
      </w:pPr>
    </w:lvl>
  </w:abstractNum>
  <w:abstractNum w:abstractNumId="2"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FD90365C"/>
    <w:styleLink w:val="11111111112"/>
    <w:lvl w:ilvl="0">
      <w:start w:val="1"/>
      <w:numFmt w:val="decimal"/>
      <w:pStyle w:val="Listaconnmeros"/>
      <w:lvlText w:val="%1."/>
      <w:lvlJc w:val="left"/>
      <w:pPr>
        <w:tabs>
          <w:tab w:val="num" w:pos="360"/>
        </w:tabs>
        <w:ind w:left="360" w:hanging="360"/>
      </w:pPr>
    </w:lvl>
  </w:abstractNum>
  <w:abstractNum w:abstractNumId="4"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15:restartNumberingAfterBreak="0">
    <w:nsid w:val="00BF3EA1"/>
    <w:multiLevelType w:val="hybridMultilevel"/>
    <w:tmpl w:val="2C58A9FE"/>
    <w:name w:val="WW8Num14"/>
    <w:lvl w:ilvl="0" w:tplc="FFFFFFFF">
      <w:start w:val="20"/>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6" w15:restartNumberingAfterBreak="0">
    <w:nsid w:val="00EC0078"/>
    <w:multiLevelType w:val="hybridMultilevel"/>
    <w:tmpl w:val="9D4870EA"/>
    <w:name w:val="WW8Num15"/>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15:restartNumberingAfterBreak="0">
    <w:nsid w:val="027325C7"/>
    <w:multiLevelType w:val="hybridMultilevel"/>
    <w:tmpl w:val="1E0E71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03881BAD"/>
    <w:multiLevelType w:val="hybridMultilevel"/>
    <w:tmpl w:val="EC180A56"/>
    <w:name w:val="WW8Num1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5A23FB1"/>
    <w:multiLevelType w:val="multilevel"/>
    <w:tmpl w:val="4ABA120E"/>
    <w:styleLink w:val="WW8Num241"/>
    <w:lvl w:ilvl="0">
      <w:start w:val="1"/>
      <w:numFmt w:val="none"/>
      <w:lvlText w:val="%1"/>
      <w:lvlJc w:val="left"/>
      <w:rPr>
        <w:rFonts w:ascii="Calibri" w:eastAsia="Arial Unicode MS" w:hAnsi="Calibri" w:cs="Calibri"/>
        <w:iCs/>
        <w:lang w:val="es-ES"/>
      </w:rPr>
    </w:lvl>
    <w:lvl w:ilvl="1">
      <w:start w:val="1"/>
      <w:numFmt w:val="none"/>
      <w:lvlText w:val="%2"/>
      <w:lvlJc w:val="left"/>
      <w:rPr>
        <w:rFonts w:cs="Calibri"/>
      </w:rPr>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0" w15:restartNumberingAfterBreak="0">
    <w:nsid w:val="0B2376AF"/>
    <w:multiLevelType w:val="hybridMultilevel"/>
    <w:tmpl w:val="6AAA73E0"/>
    <w:lvl w:ilvl="0" w:tplc="19F6686C">
      <w:start w:val="19"/>
      <w:numFmt w:val="bullet"/>
      <w:pStyle w:val="heading5"/>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C33AC9B"/>
    <w:multiLevelType w:val="hybridMultilevel"/>
    <w:tmpl w:val="19C4EFEE"/>
    <w:lvl w:ilvl="0" w:tplc="2AC4195C">
      <w:start w:val="1"/>
      <w:numFmt w:val="bullet"/>
      <w:lvlText w:val=""/>
      <w:lvlJc w:val="left"/>
      <w:pPr>
        <w:ind w:left="720" w:hanging="360"/>
      </w:pPr>
      <w:rPr>
        <w:rFonts w:ascii="Wingdings" w:hAnsi="Wingdings" w:hint="default"/>
      </w:rPr>
    </w:lvl>
    <w:lvl w:ilvl="1" w:tplc="3C1A2F0E">
      <w:start w:val="1"/>
      <w:numFmt w:val="bullet"/>
      <w:lvlText w:val="o"/>
      <w:lvlJc w:val="left"/>
      <w:pPr>
        <w:ind w:left="1440" w:hanging="360"/>
      </w:pPr>
      <w:rPr>
        <w:rFonts w:ascii="Courier New" w:hAnsi="Courier New" w:hint="default"/>
      </w:rPr>
    </w:lvl>
    <w:lvl w:ilvl="2" w:tplc="745C905E">
      <w:start w:val="1"/>
      <w:numFmt w:val="bullet"/>
      <w:lvlText w:val=""/>
      <w:lvlJc w:val="left"/>
      <w:pPr>
        <w:ind w:left="2160" w:hanging="360"/>
      </w:pPr>
      <w:rPr>
        <w:rFonts w:ascii="Wingdings" w:hAnsi="Wingdings" w:hint="default"/>
      </w:rPr>
    </w:lvl>
    <w:lvl w:ilvl="3" w:tplc="05AC0156">
      <w:start w:val="1"/>
      <w:numFmt w:val="bullet"/>
      <w:lvlText w:val=""/>
      <w:lvlJc w:val="left"/>
      <w:pPr>
        <w:ind w:left="2880" w:hanging="360"/>
      </w:pPr>
      <w:rPr>
        <w:rFonts w:ascii="Symbol" w:hAnsi="Symbol" w:hint="default"/>
      </w:rPr>
    </w:lvl>
    <w:lvl w:ilvl="4" w:tplc="9C260878">
      <w:start w:val="1"/>
      <w:numFmt w:val="bullet"/>
      <w:lvlText w:val="o"/>
      <w:lvlJc w:val="left"/>
      <w:pPr>
        <w:ind w:left="3600" w:hanging="360"/>
      </w:pPr>
      <w:rPr>
        <w:rFonts w:ascii="Courier New" w:hAnsi="Courier New" w:hint="default"/>
      </w:rPr>
    </w:lvl>
    <w:lvl w:ilvl="5" w:tplc="35A20D54">
      <w:start w:val="1"/>
      <w:numFmt w:val="bullet"/>
      <w:lvlText w:val=""/>
      <w:lvlJc w:val="left"/>
      <w:pPr>
        <w:ind w:left="4320" w:hanging="360"/>
      </w:pPr>
      <w:rPr>
        <w:rFonts w:ascii="Wingdings" w:hAnsi="Wingdings" w:hint="default"/>
      </w:rPr>
    </w:lvl>
    <w:lvl w:ilvl="6" w:tplc="C2722F8A">
      <w:start w:val="1"/>
      <w:numFmt w:val="bullet"/>
      <w:lvlText w:val=""/>
      <w:lvlJc w:val="left"/>
      <w:pPr>
        <w:ind w:left="5040" w:hanging="360"/>
      </w:pPr>
      <w:rPr>
        <w:rFonts w:ascii="Symbol" w:hAnsi="Symbol" w:hint="default"/>
      </w:rPr>
    </w:lvl>
    <w:lvl w:ilvl="7" w:tplc="1DD831A8">
      <w:start w:val="1"/>
      <w:numFmt w:val="bullet"/>
      <w:lvlText w:val="o"/>
      <w:lvlJc w:val="left"/>
      <w:pPr>
        <w:ind w:left="5760" w:hanging="360"/>
      </w:pPr>
      <w:rPr>
        <w:rFonts w:ascii="Courier New" w:hAnsi="Courier New" w:hint="default"/>
      </w:rPr>
    </w:lvl>
    <w:lvl w:ilvl="8" w:tplc="767C08C2">
      <w:start w:val="1"/>
      <w:numFmt w:val="bullet"/>
      <w:lvlText w:val=""/>
      <w:lvlJc w:val="left"/>
      <w:pPr>
        <w:ind w:left="6480" w:hanging="360"/>
      </w:pPr>
      <w:rPr>
        <w:rFonts w:ascii="Wingdings" w:hAnsi="Wingdings" w:hint="default"/>
      </w:rPr>
    </w:lvl>
  </w:abstractNum>
  <w:abstractNum w:abstractNumId="12" w15:restartNumberingAfterBreak="0">
    <w:nsid w:val="0E087FB8"/>
    <w:multiLevelType w:val="multilevel"/>
    <w:tmpl w:val="453EEDFE"/>
    <w:styleLink w:val="111111111311"/>
    <w:lvl w:ilvl="0">
      <w:start w:val="1"/>
      <w:numFmt w:val="decimal"/>
      <w:pStyle w:val="Bgestinconnmero"/>
      <w:lvlText w:val="%1."/>
      <w:lvlJc w:val="left"/>
      <w:pPr>
        <w:ind w:left="720" w:hanging="360"/>
      </w:pPr>
      <w:rPr>
        <w:b/>
        <w:i w:val="0"/>
        <w:color w:val="auto"/>
        <w:sz w:val="24"/>
        <w:szCs w:val="24"/>
      </w:rPr>
    </w:lvl>
    <w:lvl w:ilvl="1">
      <w:start w:val="1"/>
      <w:numFmt w:val="decimal"/>
      <w:isLgl/>
      <w:lvlText w:val="%1.%2."/>
      <w:lvlJc w:val="left"/>
      <w:pPr>
        <w:ind w:left="1080" w:hanging="720"/>
      </w:pPr>
      <w:rPr>
        <w:rFonts w:ascii="Times New Roman" w:hAnsi="Times New Roman" w:cs="Times New Roman" w:hint="default"/>
        <w:b/>
        <w:color w:val="000099"/>
        <w:sz w:val="24"/>
      </w:rPr>
    </w:lvl>
    <w:lvl w:ilvl="2">
      <w:start w:val="1"/>
      <w:numFmt w:val="decimal"/>
      <w:isLgl/>
      <w:lvlText w:val="%1.%2.%3."/>
      <w:lvlJc w:val="left"/>
      <w:pPr>
        <w:ind w:left="1080" w:hanging="720"/>
      </w:pPr>
      <w:rPr>
        <w:rFonts w:ascii="Book Antiqua" w:hAnsi="Book Antiqua" w:hint="default"/>
        <w:color w:val="auto"/>
        <w:sz w:val="24"/>
      </w:rPr>
    </w:lvl>
    <w:lvl w:ilvl="3">
      <w:start w:val="1"/>
      <w:numFmt w:val="decimal"/>
      <w:isLgl/>
      <w:lvlText w:val="%1.%2.%3.%4."/>
      <w:lvlJc w:val="left"/>
      <w:pPr>
        <w:ind w:left="1440" w:hanging="1080"/>
      </w:pPr>
      <w:rPr>
        <w:rFonts w:ascii="Book Antiqua" w:hAnsi="Book Antiqua" w:hint="default"/>
        <w:color w:val="auto"/>
        <w:sz w:val="24"/>
      </w:rPr>
    </w:lvl>
    <w:lvl w:ilvl="4">
      <w:start w:val="1"/>
      <w:numFmt w:val="decimal"/>
      <w:isLgl/>
      <w:lvlText w:val="%1.%2.%3.%4.%5."/>
      <w:lvlJc w:val="left"/>
      <w:pPr>
        <w:ind w:left="1440" w:hanging="1080"/>
      </w:pPr>
      <w:rPr>
        <w:rFonts w:ascii="Book Antiqua" w:hAnsi="Book Antiqua" w:hint="default"/>
        <w:color w:val="auto"/>
        <w:sz w:val="24"/>
      </w:rPr>
    </w:lvl>
    <w:lvl w:ilvl="5">
      <w:start w:val="1"/>
      <w:numFmt w:val="decimal"/>
      <w:isLgl/>
      <w:lvlText w:val="%1.%2.%3.%4.%5.%6."/>
      <w:lvlJc w:val="left"/>
      <w:pPr>
        <w:ind w:left="1800" w:hanging="1440"/>
      </w:pPr>
      <w:rPr>
        <w:rFonts w:ascii="Book Antiqua" w:hAnsi="Book Antiqua" w:hint="default"/>
        <w:color w:val="auto"/>
        <w:sz w:val="24"/>
      </w:rPr>
    </w:lvl>
    <w:lvl w:ilvl="6">
      <w:start w:val="1"/>
      <w:numFmt w:val="decimal"/>
      <w:isLgl/>
      <w:lvlText w:val="%1.%2.%3.%4.%5.%6.%7."/>
      <w:lvlJc w:val="left"/>
      <w:pPr>
        <w:ind w:left="1800" w:hanging="1440"/>
      </w:pPr>
      <w:rPr>
        <w:rFonts w:ascii="Book Antiqua" w:hAnsi="Book Antiqua" w:hint="default"/>
        <w:color w:val="auto"/>
        <w:sz w:val="24"/>
      </w:rPr>
    </w:lvl>
    <w:lvl w:ilvl="7">
      <w:start w:val="1"/>
      <w:numFmt w:val="decimal"/>
      <w:isLgl/>
      <w:lvlText w:val="%1.%2.%3.%4.%5.%6.%7.%8."/>
      <w:lvlJc w:val="left"/>
      <w:pPr>
        <w:ind w:left="2160" w:hanging="1800"/>
      </w:pPr>
      <w:rPr>
        <w:rFonts w:ascii="Book Antiqua" w:hAnsi="Book Antiqua" w:hint="default"/>
        <w:color w:val="auto"/>
        <w:sz w:val="24"/>
      </w:rPr>
    </w:lvl>
    <w:lvl w:ilvl="8">
      <w:start w:val="1"/>
      <w:numFmt w:val="decimal"/>
      <w:isLgl/>
      <w:lvlText w:val="%1.%2.%3.%4.%5.%6.%7.%8.%9."/>
      <w:lvlJc w:val="left"/>
      <w:pPr>
        <w:ind w:left="2520" w:hanging="2160"/>
      </w:pPr>
      <w:rPr>
        <w:rFonts w:ascii="Book Antiqua" w:hAnsi="Book Antiqua" w:hint="default"/>
        <w:color w:val="auto"/>
        <w:sz w:val="24"/>
      </w:rPr>
    </w:lvl>
  </w:abstractNum>
  <w:abstractNum w:abstractNumId="13" w15:restartNumberingAfterBreak="0">
    <w:nsid w:val="11E12691"/>
    <w:multiLevelType w:val="hybridMultilevel"/>
    <w:tmpl w:val="CF300842"/>
    <w:styleLink w:val="11111111134212"/>
    <w:lvl w:ilvl="0" w:tplc="140A0017">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4" w15:restartNumberingAfterBreak="0">
    <w:nsid w:val="12DD59E0"/>
    <w:multiLevelType w:val="hybridMultilevel"/>
    <w:tmpl w:val="4A343A6E"/>
    <w:lvl w:ilvl="0" w:tplc="140A000D">
      <w:start w:val="1"/>
      <w:numFmt w:val="bullet"/>
      <w:lvlText w:val=""/>
      <w:lvlJc w:val="left"/>
      <w:pPr>
        <w:ind w:left="1146" w:hanging="360"/>
      </w:pPr>
      <w:rPr>
        <w:rFonts w:ascii="Wingdings" w:hAnsi="Wingdings"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15" w15:restartNumberingAfterBreak="0">
    <w:nsid w:val="162A01FB"/>
    <w:multiLevelType w:val="multilevel"/>
    <w:tmpl w:val="59906D82"/>
    <w:styleLink w:val="11111111111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6AB8D5A"/>
    <w:multiLevelType w:val="hybridMultilevel"/>
    <w:tmpl w:val="4A4A7628"/>
    <w:lvl w:ilvl="0" w:tplc="68CE1EAE">
      <w:start w:val="1"/>
      <w:numFmt w:val="bullet"/>
      <w:lvlText w:val="Ø"/>
      <w:lvlJc w:val="left"/>
      <w:pPr>
        <w:ind w:left="720" w:hanging="360"/>
      </w:pPr>
      <w:rPr>
        <w:rFonts w:ascii="Wingdings" w:hAnsi="Wingdings" w:hint="default"/>
      </w:rPr>
    </w:lvl>
    <w:lvl w:ilvl="1" w:tplc="7E5E7892">
      <w:start w:val="1"/>
      <w:numFmt w:val="bullet"/>
      <w:lvlText w:val="o"/>
      <w:lvlJc w:val="left"/>
      <w:pPr>
        <w:ind w:left="1440" w:hanging="360"/>
      </w:pPr>
      <w:rPr>
        <w:rFonts w:ascii="Courier New" w:hAnsi="Courier New" w:hint="default"/>
      </w:rPr>
    </w:lvl>
    <w:lvl w:ilvl="2" w:tplc="15E67074">
      <w:start w:val="1"/>
      <w:numFmt w:val="bullet"/>
      <w:lvlText w:val=""/>
      <w:lvlJc w:val="left"/>
      <w:pPr>
        <w:ind w:left="2160" w:hanging="360"/>
      </w:pPr>
      <w:rPr>
        <w:rFonts w:ascii="Wingdings" w:hAnsi="Wingdings" w:hint="default"/>
      </w:rPr>
    </w:lvl>
    <w:lvl w:ilvl="3" w:tplc="91F883FE">
      <w:start w:val="1"/>
      <w:numFmt w:val="bullet"/>
      <w:lvlText w:val=""/>
      <w:lvlJc w:val="left"/>
      <w:pPr>
        <w:ind w:left="2880" w:hanging="360"/>
      </w:pPr>
      <w:rPr>
        <w:rFonts w:ascii="Symbol" w:hAnsi="Symbol" w:hint="default"/>
      </w:rPr>
    </w:lvl>
    <w:lvl w:ilvl="4" w:tplc="0B3AED94">
      <w:start w:val="1"/>
      <w:numFmt w:val="bullet"/>
      <w:lvlText w:val="o"/>
      <w:lvlJc w:val="left"/>
      <w:pPr>
        <w:ind w:left="3600" w:hanging="360"/>
      </w:pPr>
      <w:rPr>
        <w:rFonts w:ascii="Courier New" w:hAnsi="Courier New" w:hint="default"/>
      </w:rPr>
    </w:lvl>
    <w:lvl w:ilvl="5" w:tplc="D9482512">
      <w:start w:val="1"/>
      <w:numFmt w:val="bullet"/>
      <w:lvlText w:val=""/>
      <w:lvlJc w:val="left"/>
      <w:pPr>
        <w:ind w:left="4320" w:hanging="360"/>
      </w:pPr>
      <w:rPr>
        <w:rFonts w:ascii="Wingdings" w:hAnsi="Wingdings" w:hint="default"/>
      </w:rPr>
    </w:lvl>
    <w:lvl w:ilvl="6" w:tplc="77DA4F56">
      <w:start w:val="1"/>
      <w:numFmt w:val="bullet"/>
      <w:lvlText w:val=""/>
      <w:lvlJc w:val="left"/>
      <w:pPr>
        <w:ind w:left="5040" w:hanging="360"/>
      </w:pPr>
      <w:rPr>
        <w:rFonts w:ascii="Symbol" w:hAnsi="Symbol" w:hint="default"/>
      </w:rPr>
    </w:lvl>
    <w:lvl w:ilvl="7" w:tplc="1C30BAFE">
      <w:start w:val="1"/>
      <w:numFmt w:val="bullet"/>
      <w:lvlText w:val="o"/>
      <w:lvlJc w:val="left"/>
      <w:pPr>
        <w:ind w:left="5760" w:hanging="360"/>
      </w:pPr>
      <w:rPr>
        <w:rFonts w:ascii="Courier New" w:hAnsi="Courier New" w:hint="default"/>
      </w:rPr>
    </w:lvl>
    <w:lvl w:ilvl="8" w:tplc="15FE0056">
      <w:start w:val="1"/>
      <w:numFmt w:val="bullet"/>
      <w:lvlText w:val=""/>
      <w:lvlJc w:val="left"/>
      <w:pPr>
        <w:ind w:left="6480" w:hanging="360"/>
      </w:pPr>
      <w:rPr>
        <w:rFonts w:ascii="Wingdings" w:hAnsi="Wingdings" w:hint="default"/>
      </w:rPr>
    </w:lvl>
  </w:abstractNum>
  <w:abstractNum w:abstractNumId="17" w15:restartNumberingAfterBreak="0">
    <w:nsid w:val="16CC507B"/>
    <w:multiLevelType w:val="hybridMultilevel"/>
    <w:tmpl w:val="FA1A4C6E"/>
    <w:styleLink w:val="1111111112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8" w15:restartNumberingAfterBreak="0">
    <w:nsid w:val="1A04530F"/>
    <w:multiLevelType w:val="hybridMultilevel"/>
    <w:tmpl w:val="5CBC09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1D7D7FDC"/>
    <w:multiLevelType w:val="multilevel"/>
    <w:tmpl w:val="FEF8119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1DD364FD"/>
    <w:multiLevelType w:val="hybridMultilevel"/>
    <w:tmpl w:val="0F544F04"/>
    <w:styleLink w:val="WW8Num311"/>
    <w:lvl w:ilvl="0" w:tplc="B3C2A198">
      <w:start w:val="1"/>
      <w:numFmt w:val="decimal"/>
      <w:lvlText w:val="%1)"/>
      <w:lvlJc w:val="left"/>
      <w:pPr>
        <w:ind w:left="101" w:hanging="311"/>
      </w:pPr>
      <w:rPr>
        <w:rFonts w:ascii="Georgia" w:eastAsia="Georgia" w:hAnsi="Georgia" w:cs="Georgia" w:hint="default"/>
        <w:w w:val="99"/>
        <w:sz w:val="24"/>
        <w:szCs w:val="24"/>
        <w:lang w:val="es-ES" w:eastAsia="en-US" w:bidi="ar-SA"/>
      </w:rPr>
    </w:lvl>
    <w:lvl w:ilvl="1" w:tplc="F3164776">
      <w:numFmt w:val="bullet"/>
      <w:lvlText w:val="•"/>
      <w:lvlJc w:val="left"/>
      <w:pPr>
        <w:ind w:left="996" w:hanging="311"/>
      </w:pPr>
      <w:rPr>
        <w:rFonts w:hint="default"/>
        <w:lang w:val="es-ES" w:eastAsia="en-US" w:bidi="ar-SA"/>
      </w:rPr>
    </w:lvl>
    <w:lvl w:ilvl="2" w:tplc="0CC2CEE2">
      <w:numFmt w:val="bullet"/>
      <w:lvlText w:val="•"/>
      <w:lvlJc w:val="left"/>
      <w:pPr>
        <w:ind w:left="1892" w:hanging="311"/>
      </w:pPr>
      <w:rPr>
        <w:rFonts w:hint="default"/>
        <w:lang w:val="es-ES" w:eastAsia="en-US" w:bidi="ar-SA"/>
      </w:rPr>
    </w:lvl>
    <w:lvl w:ilvl="3" w:tplc="5E6833CA">
      <w:numFmt w:val="bullet"/>
      <w:lvlText w:val="•"/>
      <w:lvlJc w:val="left"/>
      <w:pPr>
        <w:ind w:left="2788" w:hanging="311"/>
      </w:pPr>
      <w:rPr>
        <w:rFonts w:hint="default"/>
        <w:lang w:val="es-ES" w:eastAsia="en-US" w:bidi="ar-SA"/>
      </w:rPr>
    </w:lvl>
    <w:lvl w:ilvl="4" w:tplc="4984A13C">
      <w:numFmt w:val="bullet"/>
      <w:lvlText w:val="•"/>
      <w:lvlJc w:val="left"/>
      <w:pPr>
        <w:ind w:left="3684" w:hanging="311"/>
      </w:pPr>
      <w:rPr>
        <w:rFonts w:hint="default"/>
        <w:lang w:val="es-ES" w:eastAsia="en-US" w:bidi="ar-SA"/>
      </w:rPr>
    </w:lvl>
    <w:lvl w:ilvl="5" w:tplc="0BC4C7FE">
      <w:numFmt w:val="bullet"/>
      <w:lvlText w:val="•"/>
      <w:lvlJc w:val="left"/>
      <w:pPr>
        <w:ind w:left="4580" w:hanging="311"/>
      </w:pPr>
      <w:rPr>
        <w:rFonts w:hint="default"/>
        <w:lang w:val="es-ES" w:eastAsia="en-US" w:bidi="ar-SA"/>
      </w:rPr>
    </w:lvl>
    <w:lvl w:ilvl="6" w:tplc="E97AAF1C">
      <w:numFmt w:val="bullet"/>
      <w:lvlText w:val="•"/>
      <w:lvlJc w:val="left"/>
      <w:pPr>
        <w:ind w:left="5476" w:hanging="311"/>
      </w:pPr>
      <w:rPr>
        <w:rFonts w:hint="default"/>
        <w:lang w:val="es-ES" w:eastAsia="en-US" w:bidi="ar-SA"/>
      </w:rPr>
    </w:lvl>
    <w:lvl w:ilvl="7" w:tplc="41F47EC2">
      <w:numFmt w:val="bullet"/>
      <w:lvlText w:val="•"/>
      <w:lvlJc w:val="left"/>
      <w:pPr>
        <w:ind w:left="6372" w:hanging="311"/>
      </w:pPr>
      <w:rPr>
        <w:rFonts w:hint="default"/>
        <w:lang w:val="es-ES" w:eastAsia="en-US" w:bidi="ar-SA"/>
      </w:rPr>
    </w:lvl>
    <w:lvl w:ilvl="8" w:tplc="55925048">
      <w:numFmt w:val="bullet"/>
      <w:lvlText w:val="•"/>
      <w:lvlJc w:val="left"/>
      <w:pPr>
        <w:ind w:left="7268" w:hanging="311"/>
      </w:pPr>
      <w:rPr>
        <w:rFonts w:hint="default"/>
        <w:lang w:val="es-ES" w:eastAsia="en-US" w:bidi="ar-SA"/>
      </w:rPr>
    </w:lvl>
  </w:abstractNum>
  <w:abstractNum w:abstractNumId="21" w15:restartNumberingAfterBreak="0">
    <w:nsid w:val="1EAF5612"/>
    <w:multiLevelType w:val="hybridMultilevel"/>
    <w:tmpl w:val="7C043B8E"/>
    <w:styleLink w:val="WW8Num3111"/>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1F762467"/>
    <w:multiLevelType w:val="hybridMultilevel"/>
    <w:tmpl w:val="4DE4837A"/>
    <w:styleLink w:val="WW8Num22"/>
    <w:lvl w:ilvl="0" w:tplc="6278EB42">
      <w:start w:val="1"/>
      <w:numFmt w:val="decimal"/>
      <w:lvlText w:val="%1."/>
      <w:lvlJc w:val="left"/>
      <w:pPr>
        <w:ind w:left="720" w:hanging="360"/>
      </w:pPr>
      <w:rPr>
        <w:rFonts w:ascii="Calibri" w:hAnsi="Calibri" w:cs="Times New Roman" w:hint="default"/>
        <w:i w:val="0"/>
        <w:iCs w:val="0"/>
        <w:sz w:val="22"/>
        <w:szCs w:val="22"/>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3" w15:restartNumberingAfterBreak="0">
    <w:nsid w:val="216718CF"/>
    <w:multiLevelType w:val="hybridMultilevel"/>
    <w:tmpl w:val="88267B0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225604B8"/>
    <w:multiLevelType w:val="multilevel"/>
    <w:tmpl w:val="4EE63314"/>
    <w:styleLink w:val="WW8Num1"/>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5" w15:restartNumberingAfterBreak="0">
    <w:nsid w:val="22A427E6"/>
    <w:multiLevelType w:val="hybridMultilevel"/>
    <w:tmpl w:val="D5EE89A0"/>
    <w:styleLink w:val="11111111121113"/>
    <w:lvl w:ilvl="0" w:tplc="D1DA331A">
      <w:numFmt w:val="bullet"/>
      <w:lvlText w:val="-"/>
      <w:lvlJc w:val="left"/>
      <w:pPr>
        <w:ind w:left="720" w:hanging="360"/>
      </w:pPr>
      <w:rPr>
        <w:rFonts w:ascii="Book Antiqua" w:eastAsia="Times New Roman" w:hAnsi="Book Antiqua" w:cs="Book Antiqua"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246B5B55"/>
    <w:multiLevelType w:val="hybridMultilevel"/>
    <w:tmpl w:val="96747FA4"/>
    <w:name w:val="WW8Num32"/>
    <w:lvl w:ilvl="0" w:tplc="6F4E8134">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27" w15:restartNumberingAfterBreak="0">
    <w:nsid w:val="252536B8"/>
    <w:multiLevelType w:val="multilevel"/>
    <w:tmpl w:val="CFC687DC"/>
    <w:lvl w:ilvl="0">
      <w:start w:val="1"/>
      <w:numFmt w:val="decimal"/>
      <w:lvlText w:val="%1."/>
      <w:lvlJc w:val="left"/>
      <w:pPr>
        <w:tabs>
          <w:tab w:val="num" w:pos="0"/>
        </w:tabs>
        <w:ind w:left="720" w:hanging="360"/>
      </w:p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start w:val="1"/>
      <w:numFmt w:val="decimal"/>
      <w:lvlText w:val="%9."/>
      <w:lvlJc w:val="left"/>
      <w:pPr>
        <w:tabs>
          <w:tab w:val="num" w:pos="0"/>
        </w:tabs>
        <w:ind w:left="6480" w:hanging="360"/>
      </w:pPr>
    </w:lvl>
  </w:abstractNum>
  <w:abstractNum w:abstractNumId="28" w15:restartNumberingAfterBreak="0">
    <w:nsid w:val="274A6F61"/>
    <w:multiLevelType w:val="hybridMultilevel"/>
    <w:tmpl w:val="D2D82CBA"/>
    <w:name w:val="WW8Num82"/>
    <w:lvl w:ilvl="0" w:tplc="5D38C7B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277C7DFB"/>
    <w:multiLevelType w:val="multilevel"/>
    <w:tmpl w:val="CE02DAE6"/>
    <w:styleLink w:val="11111111121115"/>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2908517D"/>
    <w:multiLevelType w:val="hybridMultilevel"/>
    <w:tmpl w:val="E6003E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29974F34"/>
    <w:multiLevelType w:val="hybridMultilevel"/>
    <w:tmpl w:val="0B9E1AC8"/>
    <w:styleLink w:val="WWNum313"/>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2" w15:restartNumberingAfterBreak="0">
    <w:nsid w:val="2B010C15"/>
    <w:multiLevelType w:val="hybridMultilevel"/>
    <w:tmpl w:val="7D6E4F38"/>
    <w:lvl w:ilvl="0" w:tplc="140A000D">
      <w:start w:val="1"/>
      <w:numFmt w:val="bullet"/>
      <w:lvlText w:val=""/>
      <w:lvlJc w:val="left"/>
      <w:pPr>
        <w:ind w:left="1146" w:hanging="360"/>
      </w:pPr>
      <w:rPr>
        <w:rFonts w:ascii="Wingdings" w:hAnsi="Wingdings"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33" w15:restartNumberingAfterBreak="0">
    <w:nsid w:val="2D4E37CB"/>
    <w:multiLevelType w:val="hybridMultilevel"/>
    <w:tmpl w:val="3B4C362E"/>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4" w15:restartNumberingAfterBreak="0">
    <w:nsid w:val="2F144A0B"/>
    <w:multiLevelType w:val="multilevel"/>
    <w:tmpl w:val="D8223F9A"/>
    <w:styleLink w:val="1111111114"/>
    <w:lvl w:ilvl="0">
      <w:start w:val="4"/>
      <w:numFmt w:val="upperRoman"/>
      <w:lvlText w:val="%1."/>
      <w:lvlJc w:val="left"/>
      <w:pPr>
        <w:ind w:left="1080" w:hanging="720"/>
      </w:pPr>
    </w:lvl>
    <w:lvl w:ilvl="1">
      <w:start w:val="4"/>
      <w:numFmt w:val="decimal"/>
      <w:isLgl/>
      <w:lvlText w:val="%1.%2"/>
      <w:lvlJc w:val="left"/>
      <w:pPr>
        <w:ind w:left="720" w:hanging="360"/>
      </w:pPr>
    </w:lvl>
    <w:lvl w:ilvl="2">
      <w:start w:val="1"/>
      <w:numFmt w:val="decimal"/>
      <w:isLgl/>
      <w:lvlText w:val="%1.%2.%3"/>
      <w:lvlJc w:val="left"/>
      <w:pPr>
        <w:ind w:left="1080" w:hanging="720"/>
      </w:pPr>
      <w:rPr>
        <w:b/>
      </w:r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5" w15:restartNumberingAfterBreak="0">
    <w:nsid w:val="3AA76605"/>
    <w:multiLevelType w:val="hybridMultilevel"/>
    <w:tmpl w:val="49DCD120"/>
    <w:lvl w:ilvl="0" w:tplc="140A000D">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6" w15:restartNumberingAfterBreak="0">
    <w:nsid w:val="3CB1A723"/>
    <w:multiLevelType w:val="hybridMultilevel"/>
    <w:tmpl w:val="582A9830"/>
    <w:lvl w:ilvl="0" w:tplc="09985B38">
      <w:start w:val="1"/>
      <w:numFmt w:val="bullet"/>
      <w:lvlText w:val=""/>
      <w:lvlJc w:val="left"/>
      <w:pPr>
        <w:ind w:left="720" w:hanging="360"/>
      </w:pPr>
      <w:rPr>
        <w:rFonts w:ascii="Wingdings" w:hAnsi="Wingdings" w:hint="default"/>
      </w:rPr>
    </w:lvl>
    <w:lvl w:ilvl="1" w:tplc="DC8ED08E">
      <w:start w:val="1"/>
      <w:numFmt w:val="bullet"/>
      <w:lvlText w:val="o"/>
      <w:lvlJc w:val="left"/>
      <w:pPr>
        <w:ind w:left="1440" w:hanging="360"/>
      </w:pPr>
      <w:rPr>
        <w:rFonts w:ascii="Courier New" w:hAnsi="Courier New" w:hint="default"/>
      </w:rPr>
    </w:lvl>
    <w:lvl w:ilvl="2" w:tplc="877641E8">
      <w:start w:val="1"/>
      <w:numFmt w:val="bullet"/>
      <w:lvlText w:val=""/>
      <w:lvlJc w:val="left"/>
      <w:pPr>
        <w:ind w:left="2160" w:hanging="360"/>
      </w:pPr>
      <w:rPr>
        <w:rFonts w:ascii="Wingdings" w:hAnsi="Wingdings" w:hint="default"/>
      </w:rPr>
    </w:lvl>
    <w:lvl w:ilvl="3" w:tplc="F1F27726">
      <w:start w:val="1"/>
      <w:numFmt w:val="bullet"/>
      <w:lvlText w:val=""/>
      <w:lvlJc w:val="left"/>
      <w:pPr>
        <w:ind w:left="2880" w:hanging="360"/>
      </w:pPr>
      <w:rPr>
        <w:rFonts w:ascii="Symbol" w:hAnsi="Symbol" w:hint="default"/>
      </w:rPr>
    </w:lvl>
    <w:lvl w:ilvl="4" w:tplc="51221A5C">
      <w:start w:val="1"/>
      <w:numFmt w:val="bullet"/>
      <w:lvlText w:val="o"/>
      <w:lvlJc w:val="left"/>
      <w:pPr>
        <w:ind w:left="3600" w:hanging="360"/>
      </w:pPr>
      <w:rPr>
        <w:rFonts w:ascii="Courier New" w:hAnsi="Courier New" w:hint="default"/>
      </w:rPr>
    </w:lvl>
    <w:lvl w:ilvl="5" w:tplc="AC18C020">
      <w:start w:val="1"/>
      <w:numFmt w:val="bullet"/>
      <w:lvlText w:val=""/>
      <w:lvlJc w:val="left"/>
      <w:pPr>
        <w:ind w:left="4320" w:hanging="360"/>
      </w:pPr>
      <w:rPr>
        <w:rFonts w:ascii="Wingdings" w:hAnsi="Wingdings" w:hint="default"/>
      </w:rPr>
    </w:lvl>
    <w:lvl w:ilvl="6" w:tplc="099E52C4">
      <w:start w:val="1"/>
      <w:numFmt w:val="bullet"/>
      <w:lvlText w:val=""/>
      <w:lvlJc w:val="left"/>
      <w:pPr>
        <w:ind w:left="5040" w:hanging="360"/>
      </w:pPr>
      <w:rPr>
        <w:rFonts w:ascii="Symbol" w:hAnsi="Symbol" w:hint="default"/>
      </w:rPr>
    </w:lvl>
    <w:lvl w:ilvl="7" w:tplc="89BC7F84">
      <w:start w:val="1"/>
      <w:numFmt w:val="bullet"/>
      <w:lvlText w:val="o"/>
      <w:lvlJc w:val="left"/>
      <w:pPr>
        <w:ind w:left="5760" w:hanging="360"/>
      </w:pPr>
      <w:rPr>
        <w:rFonts w:ascii="Courier New" w:hAnsi="Courier New" w:hint="default"/>
      </w:rPr>
    </w:lvl>
    <w:lvl w:ilvl="8" w:tplc="6DC48F0A">
      <w:start w:val="1"/>
      <w:numFmt w:val="bullet"/>
      <w:lvlText w:val=""/>
      <w:lvlJc w:val="left"/>
      <w:pPr>
        <w:ind w:left="6480" w:hanging="360"/>
      </w:pPr>
      <w:rPr>
        <w:rFonts w:ascii="Wingdings" w:hAnsi="Wingdings" w:hint="default"/>
      </w:rPr>
    </w:lvl>
  </w:abstractNum>
  <w:abstractNum w:abstractNumId="37" w15:restartNumberingAfterBreak="0">
    <w:nsid w:val="3CD8700B"/>
    <w:multiLevelType w:val="hybridMultilevel"/>
    <w:tmpl w:val="32381130"/>
    <w:lvl w:ilvl="0" w:tplc="140A000D">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8" w15:restartNumberingAfterBreak="0">
    <w:nsid w:val="3D077CCF"/>
    <w:multiLevelType w:val="hybridMultilevel"/>
    <w:tmpl w:val="83F4965A"/>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3D54102B"/>
    <w:multiLevelType w:val="multilevel"/>
    <w:tmpl w:val="2BC22CDA"/>
    <w:lvl w:ilvl="0">
      <w:start w:val="1"/>
      <w:numFmt w:val="decimal"/>
      <w:lvlText w:val="%1."/>
      <w:lvlJc w:val="left"/>
      <w:pPr>
        <w:ind w:left="720" w:hanging="360"/>
      </w:pPr>
      <w:rPr>
        <w:rFonts w:hint="default"/>
      </w:rPr>
    </w:lvl>
    <w:lvl w:ilvl="1">
      <w:start w:val="17"/>
      <w:numFmt w:val="decimal"/>
      <w:isLgl/>
      <w:lvlText w:val="%1.%2."/>
      <w:lvlJc w:val="left"/>
      <w:pPr>
        <w:ind w:left="1080" w:hanging="720"/>
      </w:pPr>
      <w:rPr>
        <w:rFonts w:hint="default"/>
        <w:b w:val="0"/>
        <w:i w:val="0"/>
      </w:rPr>
    </w:lvl>
    <w:lvl w:ilvl="2">
      <w:start w:val="1"/>
      <w:numFmt w:val="decimal"/>
      <w:isLgl/>
      <w:lvlText w:val="%1.%2.%3."/>
      <w:lvlJc w:val="left"/>
      <w:pPr>
        <w:ind w:left="1080" w:hanging="720"/>
      </w:pPr>
      <w:rPr>
        <w:rFonts w:hint="default"/>
        <w:b w:val="0"/>
        <w:i w:val="0"/>
      </w:rPr>
    </w:lvl>
    <w:lvl w:ilvl="3">
      <w:start w:val="1"/>
      <w:numFmt w:val="decimal"/>
      <w:isLgl/>
      <w:lvlText w:val="%1.%2.%3.%4."/>
      <w:lvlJc w:val="left"/>
      <w:pPr>
        <w:ind w:left="1440" w:hanging="1080"/>
      </w:pPr>
      <w:rPr>
        <w:rFonts w:hint="default"/>
        <w:b w:val="0"/>
        <w:i w:val="0"/>
      </w:rPr>
    </w:lvl>
    <w:lvl w:ilvl="4">
      <w:start w:val="1"/>
      <w:numFmt w:val="decimal"/>
      <w:isLgl/>
      <w:lvlText w:val="%1.%2.%3.%4.%5."/>
      <w:lvlJc w:val="left"/>
      <w:pPr>
        <w:ind w:left="1440" w:hanging="1080"/>
      </w:pPr>
      <w:rPr>
        <w:rFonts w:hint="default"/>
        <w:b w:val="0"/>
        <w:i w:val="0"/>
      </w:rPr>
    </w:lvl>
    <w:lvl w:ilvl="5">
      <w:start w:val="1"/>
      <w:numFmt w:val="decimal"/>
      <w:isLgl/>
      <w:lvlText w:val="%1.%2.%3.%4.%5.%6."/>
      <w:lvlJc w:val="left"/>
      <w:pPr>
        <w:ind w:left="1800" w:hanging="1440"/>
      </w:pPr>
      <w:rPr>
        <w:rFonts w:hint="default"/>
        <w:b w:val="0"/>
        <w:i w:val="0"/>
      </w:rPr>
    </w:lvl>
    <w:lvl w:ilvl="6">
      <w:start w:val="1"/>
      <w:numFmt w:val="decimal"/>
      <w:isLgl/>
      <w:lvlText w:val="%1.%2.%3.%4.%5.%6.%7."/>
      <w:lvlJc w:val="left"/>
      <w:pPr>
        <w:ind w:left="1800" w:hanging="1440"/>
      </w:pPr>
      <w:rPr>
        <w:rFonts w:hint="default"/>
        <w:b w:val="0"/>
        <w:i w:val="0"/>
      </w:rPr>
    </w:lvl>
    <w:lvl w:ilvl="7">
      <w:start w:val="1"/>
      <w:numFmt w:val="decimal"/>
      <w:isLgl/>
      <w:lvlText w:val="%1.%2.%3.%4.%5.%6.%7.%8."/>
      <w:lvlJc w:val="left"/>
      <w:pPr>
        <w:ind w:left="2160" w:hanging="1800"/>
      </w:pPr>
      <w:rPr>
        <w:rFonts w:hint="default"/>
        <w:b w:val="0"/>
        <w:i w:val="0"/>
      </w:rPr>
    </w:lvl>
    <w:lvl w:ilvl="8">
      <w:start w:val="1"/>
      <w:numFmt w:val="decimal"/>
      <w:isLgl/>
      <w:lvlText w:val="%1.%2.%3.%4.%5.%6.%7.%8.%9."/>
      <w:lvlJc w:val="left"/>
      <w:pPr>
        <w:ind w:left="2520" w:hanging="2160"/>
      </w:pPr>
      <w:rPr>
        <w:rFonts w:hint="default"/>
        <w:b w:val="0"/>
        <w:i w:val="0"/>
      </w:rPr>
    </w:lvl>
  </w:abstractNum>
  <w:abstractNum w:abstractNumId="40" w15:restartNumberingAfterBreak="0">
    <w:nsid w:val="3E057E5D"/>
    <w:multiLevelType w:val="hybridMultilevel"/>
    <w:tmpl w:val="AD1695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40B77316"/>
    <w:multiLevelType w:val="multilevel"/>
    <w:tmpl w:val="DDE43778"/>
    <w:styleLink w:val="List123"/>
    <w:lvl w:ilvl="0">
      <w:start w:val="1"/>
      <w:numFmt w:val="decimal"/>
      <w:lvlText w:val="%1."/>
      <w:lvlJc w:val="left"/>
      <w:rPr>
        <w:position w:val="0"/>
        <w:shd w:val="clear" w:color="auto" w:fill="FFFFFF"/>
      </w:rPr>
    </w:lvl>
    <w:lvl w:ilvl="1">
      <w:start w:val="1"/>
      <w:numFmt w:val="lowerLetter"/>
      <w:lvlText w:val="%2."/>
      <w:lvlJc w:val="left"/>
      <w:rPr>
        <w:position w:val="0"/>
        <w:shd w:val="clear" w:color="auto" w:fill="FFFFFF"/>
      </w:rPr>
    </w:lvl>
    <w:lvl w:ilvl="2">
      <w:start w:val="1"/>
      <w:numFmt w:val="lowerRoman"/>
      <w:lvlText w:val="%3."/>
      <w:lvlJc w:val="left"/>
      <w:rPr>
        <w:position w:val="0"/>
        <w:shd w:val="clear" w:color="auto" w:fill="FFFFFF"/>
      </w:rPr>
    </w:lvl>
    <w:lvl w:ilvl="3">
      <w:start w:val="1"/>
      <w:numFmt w:val="decimal"/>
      <w:lvlText w:val="%4."/>
      <w:lvlJc w:val="left"/>
      <w:rPr>
        <w:position w:val="0"/>
        <w:shd w:val="clear" w:color="auto" w:fill="FFFFFF"/>
      </w:rPr>
    </w:lvl>
    <w:lvl w:ilvl="4">
      <w:start w:val="1"/>
      <w:numFmt w:val="lowerLetter"/>
      <w:lvlText w:val="%5."/>
      <w:lvlJc w:val="left"/>
      <w:rPr>
        <w:position w:val="0"/>
        <w:shd w:val="clear" w:color="auto" w:fill="FFFFFF"/>
      </w:rPr>
    </w:lvl>
    <w:lvl w:ilvl="5">
      <w:start w:val="1"/>
      <w:numFmt w:val="lowerRoman"/>
      <w:lvlText w:val="%6."/>
      <w:lvlJc w:val="left"/>
      <w:rPr>
        <w:position w:val="0"/>
        <w:shd w:val="clear" w:color="auto" w:fill="FFFFFF"/>
      </w:rPr>
    </w:lvl>
    <w:lvl w:ilvl="6">
      <w:start w:val="1"/>
      <w:numFmt w:val="decimal"/>
      <w:lvlText w:val="%7."/>
      <w:lvlJc w:val="left"/>
      <w:rPr>
        <w:position w:val="0"/>
        <w:shd w:val="clear" w:color="auto" w:fill="FFFFFF"/>
      </w:rPr>
    </w:lvl>
    <w:lvl w:ilvl="7">
      <w:start w:val="1"/>
      <w:numFmt w:val="lowerLetter"/>
      <w:lvlText w:val="%8."/>
      <w:lvlJc w:val="left"/>
      <w:rPr>
        <w:position w:val="0"/>
        <w:shd w:val="clear" w:color="auto" w:fill="FFFFFF"/>
      </w:rPr>
    </w:lvl>
    <w:lvl w:ilvl="8">
      <w:start w:val="1"/>
      <w:numFmt w:val="lowerRoman"/>
      <w:lvlText w:val="%9."/>
      <w:lvlJc w:val="left"/>
      <w:rPr>
        <w:position w:val="0"/>
        <w:shd w:val="clear" w:color="auto" w:fill="FFFFFF"/>
      </w:rPr>
    </w:lvl>
  </w:abstractNum>
  <w:abstractNum w:abstractNumId="42" w15:restartNumberingAfterBreak="0">
    <w:nsid w:val="421816A0"/>
    <w:multiLevelType w:val="hybridMultilevel"/>
    <w:tmpl w:val="77E85DE8"/>
    <w:lvl w:ilvl="0" w:tplc="1C64849E">
      <w:start w:val="1"/>
      <w:numFmt w:val="bullet"/>
      <w:lvlText w:val=""/>
      <w:lvlJc w:val="left"/>
      <w:pPr>
        <w:ind w:left="720" w:hanging="360"/>
      </w:pPr>
      <w:rPr>
        <w:rFonts w:ascii="Wingdings" w:hAnsi="Wingdings" w:hint="default"/>
      </w:rPr>
    </w:lvl>
    <w:lvl w:ilvl="1" w:tplc="368E768C">
      <w:start w:val="1"/>
      <w:numFmt w:val="bullet"/>
      <w:lvlText w:val="o"/>
      <w:lvlJc w:val="left"/>
      <w:pPr>
        <w:ind w:left="1440" w:hanging="360"/>
      </w:pPr>
      <w:rPr>
        <w:rFonts w:ascii="Courier New" w:hAnsi="Courier New" w:hint="default"/>
      </w:rPr>
    </w:lvl>
    <w:lvl w:ilvl="2" w:tplc="52C4A358">
      <w:start w:val="1"/>
      <w:numFmt w:val="bullet"/>
      <w:lvlText w:val=""/>
      <w:lvlJc w:val="left"/>
      <w:pPr>
        <w:ind w:left="2160" w:hanging="360"/>
      </w:pPr>
      <w:rPr>
        <w:rFonts w:ascii="Wingdings" w:hAnsi="Wingdings" w:hint="default"/>
      </w:rPr>
    </w:lvl>
    <w:lvl w:ilvl="3" w:tplc="09ECF35E">
      <w:start w:val="1"/>
      <w:numFmt w:val="bullet"/>
      <w:lvlText w:val=""/>
      <w:lvlJc w:val="left"/>
      <w:pPr>
        <w:ind w:left="2880" w:hanging="360"/>
      </w:pPr>
      <w:rPr>
        <w:rFonts w:ascii="Symbol" w:hAnsi="Symbol" w:hint="default"/>
      </w:rPr>
    </w:lvl>
    <w:lvl w:ilvl="4" w:tplc="1772E2A6">
      <w:start w:val="1"/>
      <w:numFmt w:val="bullet"/>
      <w:lvlText w:val="o"/>
      <w:lvlJc w:val="left"/>
      <w:pPr>
        <w:ind w:left="3600" w:hanging="360"/>
      </w:pPr>
      <w:rPr>
        <w:rFonts w:ascii="Courier New" w:hAnsi="Courier New" w:hint="default"/>
      </w:rPr>
    </w:lvl>
    <w:lvl w:ilvl="5" w:tplc="9F261536">
      <w:start w:val="1"/>
      <w:numFmt w:val="bullet"/>
      <w:lvlText w:val=""/>
      <w:lvlJc w:val="left"/>
      <w:pPr>
        <w:ind w:left="4320" w:hanging="360"/>
      </w:pPr>
      <w:rPr>
        <w:rFonts w:ascii="Wingdings" w:hAnsi="Wingdings" w:hint="default"/>
      </w:rPr>
    </w:lvl>
    <w:lvl w:ilvl="6" w:tplc="F75E9154">
      <w:start w:val="1"/>
      <w:numFmt w:val="bullet"/>
      <w:lvlText w:val=""/>
      <w:lvlJc w:val="left"/>
      <w:pPr>
        <w:ind w:left="5040" w:hanging="360"/>
      </w:pPr>
      <w:rPr>
        <w:rFonts w:ascii="Symbol" w:hAnsi="Symbol" w:hint="default"/>
      </w:rPr>
    </w:lvl>
    <w:lvl w:ilvl="7" w:tplc="E938BB0E">
      <w:start w:val="1"/>
      <w:numFmt w:val="bullet"/>
      <w:lvlText w:val="o"/>
      <w:lvlJc w:val="left"/>
      <w:pPr>
        <w:ind w:left="5760" w:hanging="360"/>
      </w:pPr>
      <w:rPr>
        <w:rFonts w:ascii="Courier New" w:hAnsi="Courier New" w:hint="default"/>
      </w:rPr>
    </w:lvl>
    <w:lvl w:ilvl="8" w:tplc="9D3EBB9C">
      <w:start w:val="1"/>
      <w:numFmt w:val="bullet"/>
      <w:lvlText w:val=""/>
      <w:lvlJc w:val="left"/>
      <w:pPr>
        <w:ind w:left="6480" w:hanging="360"/>
      </w:pPr>
      <w:rPr>
        <w:rFonts w:ascii="Wingdings" w:hAnsi="Wingdings" w:hint="default"/>
      </w:rPr>
    </w:lvl>
  </w:abstractNum>
  <w:abstractNum w:abstractNumId="43" w15:restartNumberingAfterBreak="0">
    <w:nsid w:val="435E2C12"/>
    <w:multiLevelType w:val="hybridMultilevel"/>
    <w:tmpl w:val="C374AF94"/>
    <w:lvl w:ilvl="0" w:tplc="1584BDF2">
      <w:start w:val="1"/>
      <w:numFmt w:val="lowerLetter"/>
      <w:pStyle w:val="ListBulletBold"/>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4" w15:restartNumberingAfterBreak="0">
    <w:nsid w:val="43B533E2"/>
    <w:multiLevelType w:val="singleLevel"/>
    <w:tmpl w:val="9F6A5670"/>
    <w:lvl w:ilvl="0">
      <w:start w:val="1"/>
      <w:numFmt w:val="bullet"/>
      <w:pStyle w:val="Continuarlista"/>
      <w:lvlText w:val=""/>
      <w:lvlJc w:val="left"/>
      <w:pPr>
        <w:tabs>
          <w:tab w:val="num" w:pos="717"/>
        </w:tabs>
        <w:ind w:left="714" w:hanging="357"/>
      </w:pPr>
      <w:rPr>
        <w:rFonts w:ascii="Wingdings" w:hAnsi="Wingdings" w:cs="Wingdings" w:hint="default"/>
      </w:rPr>
    </w:lvl>
  </w:abstractNum>
  <w:abstractNum w:abstractNumId="45" w15:restartNumberingAfterBreak="0">
    <w:nsid w:val="47DE5EB0"/>
    <w:multiLevelType w:val="hybridMultilevel"/>
    <w:tmpl w:val="971EE09C"/>
    <w:lvl w:ilvl="0" w:tplc="758ACA3A">
      <w:start w:val="1"/>
      <w:numFmt w:val="bullet"/>
      <w:lvlText w:val="◉"/>
      <w:lvlJc w:val="left"/>
      <w:pPr>
        <w:tabs>
          <w:tab w:val="num" w:pos="720"/>
        </w:tabs>
        <w:ind w:left="720" w:hanging="360"/>
      </w:pPr>
      <w:rPr>
        <w:rFonts w:ascii="Quattrocento Sans" w:hAnsi="Quattrocento Sans" w:hint="default"/>
      </w:rPr>
    </w:lvl>
    <w:lvl w:ilvl="1" w:tplc="89B45210" w:tentative="1">
      <w:start w:val="1"/>
      <w:numFmt w:val="bullet"/>
      <w:lvlText w:val="◉"/>
      <w:lvlJc w:val="left"/>
      <w:pPr>
        <w:tabs>
          <w:tab w:val="num" w:pos="1440"/>
        </w:tabs>
        <w:ind w:left="1440" w:hanging="360"/>
      </w:pPr>
      <w:rPr>
        <w:rFonts w:ascii="Quattrocento Sans" w:hAnsi="Quattrocento Sans" w:hint="default"/>
      </w:rPr>
    </w:lvl>
    <w:lvl w:ilvl="2" w:tplc="857C8810" w:tentative="1">
      <w:start w:val="1"/>
      <w:numFmt w:val="bullet"/>
      <w:lvlText w:val="◉"/>
      <w:lvlJc w:val="left"/>
      <w:pPr>
        <w:tabs>
          <w:tab w:val="num" w:pos="2160"/>
        </w:tabs>
        <w:ind w:left="2160" w:hanging="360"/>
      </w:pPr>
      <w:rPr>
        <w:rFonts w:ascii="Quattrocento Sans" w:hAnsi="Quattrocento Sans" w:hint="default"/>
      </w:rPr>
    </w:lvl>
    <w:lvl w:ilvl="3" w:tplc="424CBCD8" w:tentative="1">
      <w:start w:val="1"/>
      <w:numFmt w:val="bullet"/>
      <w:lvlText w:val="◉"/>
      <w:lvlJc w:val="left"/>
      <w:pPr>
        <w:tabs>
          <w:tab w:val="num" w:pos="2880"/>
        </w:tabs>
        <w:ind w:left="2880" w:hanging="360"/>
      </w:pPr>
      <w:rPr>
        <w:rFonts w:ascii="Quattrocento Sans" w:hAnsi="Quattrocento Sans" w:hint="default"/>
      </w:rPr>
    </w:lvl>
    <w:lvl w:ilvl="4" w:tplc="19563F42" w:tentative="1">
      <w:start w:val="1"/>
      <w:numFmt w:val="bullet"/>
      <w:lvlText w:val="◉"/>
      <w:lvlJc w:val="left"/>
      <w:pPr>
        <w:tabs>
          <w:tab w:val="num" w:pos="3600"/>
        </w:tabs>
        <w:ind w:left="3600" w:hanging="360"/>
      </w:pPr>
      <w:rPr>
        <w:rFonts w:ascii="Quattrocento Sans" w:hAnsi="Quattrocento Sans" w:hint="default"/>
      </w:rPr>
    </w:lvl>
    <w:lvl w:ilvl="5" w:tplc="4BBCF2FC" w:tentative="1">
      <w:start w:val="1"/>
      <w:numFmt w:val="bullet"/>
      <w:lvlText w:val="◉"/>
      <w:lvlJc w:val="left"/>
      <w:pPr>
        <w:tabs>
          <w:tab w:val="num" w:pos="4320"/>
        </w:tabs>
        <w:ind w:left="4320" w:hanging="360"/>
      </w:pPr>
      <w:rPr>
        <w:rFonts w:ascii="Quattrocento Sans" w:hAnsi="Quattrocento Sans" w:hint="default"/>
      </w:rPr>
    </w:lvl>
    <w:lvl w:ilvl="6" w:tplc="36A0155A" w:tentative="1">
      <w:start w:val="1"/>
      <w:numFmt w:val="bullet"/>
      <w:lvlText w:val="◉"/>
      <w:lvlJc w:val="left"/>
      <w:pPr>
        <w:tabs>
          <w:tab w:val="num" w:pos="5040"/>
        </w:tabs>
        <w:ind w:left="5040" w:hanging="360"/>
      </w:pPr>
      <w:rPr>
        <w:rFonts w:ascii="Quattrocento Sans" w:hAnsi="Quattrocento Sans" w:hint="default"/>
      </w:rPr>
    </w:lvl>
    <w:lvl w:ilvl="7" w:tplc="812E2830" w:tentative="1">
      <w:start w:val="1"/>
      <w:numFmt w:val="bullet"/>
      <w:lvlText w:val="◉"/>
      <w:lvlJc w:val="left"/>
      <w:pPr>
        <w:tabs>
          <w:tab w:val="num" w:pos="5760"/>
        </w:tabs>
        <w:ind w:left="5760" w:hanging="360"/>
      </w:pPr>
      <w:rPr>
        <w:rFonts w:ascii="Quattrocento Sans" w:hAnsi="Quattrocento Sans" w:hint="default"/>
      </w:rPr>
    </w:lvl>
    <w:lvl w:ilvl="8" w:tplc="09D6D284" w:tentative="1">
      <w:start w:val="1"/>
      <w:numFmt w:val="bullet"/>
      <w:lvlText w:val="◉"/>
      <w:lvlJc w:val="left"/>
      <w:pPr>
        <w:tabs>
          <w:tab w:val="num" w:pos="6480"/>
        </w:tabs>
        <w:ind w:left="6480" w:hanging="360"/>
      </w:pPr>
      <w:rPr>
        <w:rFonts w:ascii="Quattrocento Sans" w:hAnsi="Quattrocento Sans" w:hint="default"/>
      </w:rPr>
    </w:lvl>
  </w:abstractNum>
  <w:abstractNum w:abstractNumId="46" w15:restartNumberingAfterBreak="0">
    <w:nsid w:val="4D0B534E"/>
    <w:multiLevelType w:val="hybridMultilevel"/>
    <w:tmpl w:val="FFA4BC7E"/>
    <w:styleLink w:val="111111111211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4D5277C1"/>
    <w:multiLevelType w:val="hybridMultilevel"/>
    <w:tmpl w:val="F8DA575A"/>
    <w:lvl w:ilvl="0" w:tplc="7950692A">
      <w:numFmt w:val="bullet"/>
      <w:lvlText w:val="-"/>
      <w:lvlJc w:val="left"/>
      <w:pPr>
        <w:ind w:left="502" w:hanging="360"/>
      </w:pPr>
      <w:rPr>
        <w:rFonts w:ascii="Book Antiqua" w:eastAsia="Times New Roman" w:hAnsi="Book Antiqua" w:cs="Times New Roman" w:hint="default"/>
      </w:rPr>
    </w:lvl>
    <w:lvl w:ilvl="1" w:tplc="140A0003" w:tentative="1">
      <w:start w:val="1"/>
      <w:numFmt w:val="bullet"/>
      <w:lvlText w:val="o"/>
      <w:lvlJc w:val="left"/>
      <w:pPr>
        <w:ind w:left="1222" w:hanging="360"/>
      </w:pPr>
      <w:rPr>
        <w:rFonts w:ascii="Courier New" w:hAnsi="Courier New" w:cs="Courier New" w:hint="default"/>
      </w:rPr>
    </w:lvl>
    <w:lvl w:ilvl="2" w:tplc="140A0005" w:tentative="1">
      <w:start w:val="1"/>
      <w:numFmt w:val="bullet"/>
      <w:lvlText w:val=""/>
      <w:lvlJc w:val="left"/>
      <w:pPr>
        <w:ind w:left="1942" w:hanging="360"/>
      </w:pPr>
      <w:rPr>
        <w:rFonts w:ascii="Wingdings" w:hAnsi="Wingdings" w:hint="default"/>
      </w:rPr>
    </w:lvl>
    <w:lvl w:ilvl="3" w:tplc="140A0001" w:tentative="1">
      <w:start w:val="1"/>
      <w:numFmt w:val="bullet"/>
      <w:lvlText w:val=""/>
      <w:lvlJc w:val="left"/>
      <w:pPr>
        <w:ind w:left="2662" w:hanging="360"/>
      </w:pPr>
      <w:rPr>
        <w:rFonts w:ascii="Symbol" w:hAnsi="Symbol" w:hint="default"/>
      </w:rPr>
    </w:lvl>
    <w:lvl w:ilvl="4" w:tplc="140A0003" w:tentative="1">
      <w:start w:val="1"/>
      <w:numFmt w:val="bullet"/>
      <w:lvlText w:val="o"/>
      <w:lvlJc w:val="left"/>
      <w:pPr>
        <w:ind w:left="3382" w:hanging="360"/>
      </w:pPr>
      <w:rPr>
        <w:rFonts w:ascii="Courier New" w:hAnsi="Courier New" w:cs="Courier New" w:hint="default"/>
      </w:rPr>
    </w:lvl>
    <w:lvl w:ilvl="5" w:tplc="140A0005" w:tentative="1">
      <w:start w:val="1"/>
      <w:numFmt w:val="bullet"/>
      <w:lvlText w:val=""/>
      <w:lvlJc w:val="left"/>
      <w:pPr>
        <w:ind w:left="4102" w:hanging="360"/>
      </w:pPr>
      <w:rPr>
        <w:rFonts w:ascii="Wingdings" w:hAnsi="Wingdings" w:hint="default"/>
      </w:rPr>
    </w:lvl>
    <w:lvl w:ilvl="6" w:tplc="140A0001" w:tentative="1">
      <w:start w:val="1"/>
      <w:numFmt w:val="bullet"/>
      <w:lvlText w:val=""/>
      <w:lvlJc w:val="left"/>
      <w:pPr>
        <w:ind w:left="4822" w:hanging="360"/>
      </w:pPr>
      <w:rPr>
        <w:rFonts w:ascii="Symbol" w:hAnsi="Symbol" w:hint="default"/>
      </w:rPr>
    </w:lvl>
    <w:lvl w:ilvl="7" w:tplc="140A0003" w:tentative="1">
      <w:start w:val="1"/>
      <w:numFmt w:val="bullet"/>
      <w:lvlText w:val="o"/>
      <w:lvlJc w:val="left"/>
      <w:pPr>
        <w:ind w:left="5542" w:hanging="360"/>
      </w:pPr>
      <w:rPr>
        <w:rFonts w:ascii="Courier New" w:hAnsi="Courier New" w:cs="Courier New" w:hint="default"/>
      </w:rPr>
    </w:lvl>
    <w:lvl w:ilvl="8" w:tplc="140A0005" w:tentative="1">
      <w:start w:val="1"/>
      <w:numFmt w:val="bullet"/>
      <w:lvlText w:val=""/>
      <w:lvlJc w:val="left"/>
      <w:pPr>
        <w:ind w:left="6262" w:hanging="360"/>
      </w:pPr>
      <w:rPr>
        <w:rFonts w:ascii="Wingdings" w:hAnsi="Wingdings" w:hint="default"/>
      </w:rPr>
    </w:lvl>
  </w:abstractNum>
  <w:abstractNum w:abstractNumId="48" w15:restartNumberingAfterBreak="0">
    <w:nsid w:val="4EBB3176"/>
    <w:multiLevelType w:val="hybridMultilevel"/>
    <w:tmpl w:val="69B0046A"/>
    <w:lvl w:ilvl="0" w:tplc="953494CA">
      <w:start w:val="1"/>
      <w:numFmt w:val="bullet"/>
      <w:lvlText w:val=""/>
      <w:lvlJc w:val="left"/>
      <w:pPr>
        <w:tabs>
          <w:tab w:val="num" w:pos="720"/>
        </w:tabs>
        <w:ind w:left="720" w:hanging="360"/>
      </w:pPr>
      <w:rPr>
        <w:rFonts w:ascii="Wingdings" w:hAnsi="Wingdings" w:hint="default"/>
      </w:rPr>
    </w:lvl>
    <w:lvl w:ilvl="1" w:tplc="9A6E0478" w:tentative="1">
      <w:start w:val="1"/>
      <w:numFmt w:val="bullet"/>
      <w:lvlText w:val=""/>
      <w:lvlJc w:val="left"/>
      <w:pPr>
        <w:tabs>
          <w:tab w:val="num" w:pos="1440"/>
        </w:tabs>
        <w:ind w:left="1440" w:hanging="360"/>
      </w:pPr>
      <w:rPr>
        <w:rFonts w:ascii="Wingdings" w:hAnsi="Wingdings" w:hint="default"/>
      </w:rPr>
    </w:lvl>
    <w:lvl w:ilvl="2" w:tplc="B9744AC2" w:tentative="1">
      <w:start w:val="1"/>
      <w:numFmt w:val="bullet"/>
      <w:lvlText w:val=""/>
      <w:lvlJc w:val="left"/>
      <w:pPr>
        <w:tabs>
          <w:tab w:val="num" w:pos="2160"/>
        </w:tabs>
        <w:ind w:left="2160" w:hanging="360"/>
      </w:pPr>
      <w:rPr>
        <w:rFonts w:ascii="Wingdings" w:hAnsi="Wingdings" w:hint="default"/>
      </w:rPr>
    </w:lvl>
    <w:lvl w:ilvl="3" w:tplc="5A4ED4E8" w:tentative="1">
      <w:start w:val="1"/>
      <w:numFmt w:val="bullet"/>
      <w:lvlText w:val=""/>
      <w:lvlJc w:val="left"/>
      <w:pPr>
        <w:tabs>
          <w:tab w:val="num" w:pos="2880"/>
        </w:tabs>
        <w:ind w:left="2880" w:hanging="360"/>
      </w:pPr>
      <w:rPr>
        <w:rFonts w:ascii="Wingdings" w:hAnsi="Wingdings" w:hint="default"/>
      </w:rPr>
    </w:lvl>
    <w:lvl w:ilvl="4" w:tplc="69903262" w:tentative="1">
      <w:start w:val="1"/>
      <w:numFmt w:val="bullet"/>
      <w:lvlText w:val=""/>
      <w:lvlJc w:val="left"/>
      <w:pPr>
        <w:tabs>
          <w:tab w:val="num" w:pos="3600"/>
        </w:tabs>
        <w:ind w:left="3600" w:hanging="360"/>
      </w:pPr>
      <w:rPr>
        <w:rFonts w:ascii="Wingdings" w:hAnsi="Wingdings" w:hint="default"/>
      </w:rPr>
    </w:lvl>
    <w:lvl w:ilvl="5" w:tplc="69F6834E" w:tentative="1">
      <w:start w:val="1"/>
      <w:numFmt w:val="bullet"/>
      <w:lvlText w:val=""/>
      <w:lvlJc w:val="left"/>
      <w:pPr>
        <w:tabs>
          <w:tab w:val="num" w:pos="4320"/>
        </w:tabs>
        <w:ind w:left="4320" w:hanging="360"/>
      </w:pPr>
      <w:rPr>
        <w:rFonts w:ascii="Wingdings" w:hAnsi="Wingdings" w:hint="default"/>
      </w:rPr>
    </w:lvl>
    <w:lvl w:ilvl="6" w:tplc="DDBE6C22" w:tentative="1">
      <w:start w:val="1"/>
      <w:numFmt w:val="bullet"/>
      <w:lvlText w:val=""/>
      <w:lvlJc w:val="left"/>
      <w:pPr>
        <w:tabs>
          <w:tab w:val="num" w:pos="5040"/>
        </w:tabs>
        <w:ind w:left="5040" w:hanging="360"/>
      </w:pPr>
      <w:rPr>
        <w:rFonts w:ascii="Wingdings" w:hAnsi="Wingdings" w:hint="default"/>
      </w:rPr>
    </w:lvl>
    <w:lvl w:ilvl="7" w:tplc="E35A97D0" w:tentative="1">
      <w:start w:val="1"/>
      <w:numFmt w:val="bullet"/>
      <w:lvlText w:val=""/>
      <w:lvlJc w:val="left"/>
      <w:pPr>
        <w:tabs>
          <w:tab w:val="num" w:pos="5760"/>
        </w:tabs>
        <w:ind w:left="5760" w:hanging="360"/>
      </w:pPr>
      <w:rPr>
        <w:rFonts w:ascii="Wingdings" w:hAnsi="Wingdings" w:hint="default"/>
      </w:rPr>
    </w:lvl>
    <w:lvl w:ilvl="8" w:tplc="8C3C5B42"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4FFD74F5"/>
    <w:multiLevelType w:val="hybridMultilevel"/>
    <w:tmpl w:val="9CBE910A"/>
    <w:lvl w:ilvl="0" w:tplc="140A0001">
      <w:start w:val="28"/>
      <w:numFmt w:val="bullet"/>
      <w:lvlText w:val=""/>
      <w:lvlJc w:val="left"/>
      <w:pPr>
        <w:ind w:left="720" w:hanging="360"/>
      </w:pPr>
      <w:rPr>
        <w:rFonts w:ascii="Symbol" w:eastAsia="Times New Roman" w:hAnsi="Symbol"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0" w15:restartNumberingAfterBreak="0">
    <w:nsid w:val="50B27C7F"/>
    <w:multiLevelType w:val="hybridMultilevel"/>
    <w:tmpl w:val="D3D42910"/>
    <w:name w:val="List1339519059_1"/>
    <w:styleLink w:val="11111111132"/>
    <w:lvl w:ilvl="0" w:tplc="96409220">
      <w:start w:val="11"/>
      <w:numFmt w:val="lowerLetter"/>
      <w:pStyle w:val="ListaconvietasTabla"/>
      <w:lvlText w:val="%1."/>
      <w:lvlJc w:val="left"/>
      <w:pPr>
        <w:tabs>
          <w:tab w:val="num" w:pos="1281"/>
        </w:tabs>
        <w:ind w:left="1281" w:hanging="360"/>
      </w:pPr>
      <w:rPr>
        <w:rFonts w:hint="default"/>
      </w:rPr>
    </w:lvl>
    <w:lvl w:ilvl="1" w:tplc="55506404" w:tentative="1">
      <w:start w:val="1"/>
      <w:numFmt w:val="lowerLetter"/>
      <w:lvlText w:val="%2."/>
      <w:lvlJc w:val="left"/>
      <w:pPr>
        <w:tabs>
          <w:tab w:val="num" w:pos="2001"/>
        </w:tabs>
        <w:ind w:left="2001" w:hanging="360"/>
      </w:pPr>
    </w:lvl>
    <w:lvl w:ilvl="2" w:tplc="56B255A4" w:tentative="1">
      <w:start w:val="1"/>
      <w:numFmt w:val="lowerRoman"/>
      <w:lvlText w:val="%3."/>
      <w:lvlJc w:val="right"/>
      <w:pPr>
        <w:tabs>
          <w:tab w:val="num" w:pos="2721"/>
        </w:tabs>
        <w:ind w:left="2721" w:hanging="180"/>
      </w:pPr>
    </w:lvl>
    <w:lvl w:ilvl="3" w:tplc="E8AA48F4" w:tentative="1">
      <w:start w:val="1"/>
      <w:numFmt w:val="decimal"/>
      <w:lvlText w:val="%4."/>
      <w:lvlJc w:val="left"/>
      <w:pPr>
        <w:tabs>
          <w:tab w:val="num" w:pos="3441"/>
        </w:tabs>
        <w:ind w:left="3441" w:hanging="360"/>
      </w:pPr>
    </w:lvl>
    <w:lvl w:ilvl="4" w:tplc="4E00C6B8" w:tentative="1">
      <w:start w:val="1"/>
      <w:numFmt w:val="lowerLetter"/>
      <w:lvlText w:val="%5."/>
      <w:lvlJc w:val="left"/>
      <w:pPr>
        <w:tabs>
          <w:tab w:val="num" w:pos="4161"/>
        </w:tabs>
        <w:ind w:left="4161" w:hanging="360"/>
      </w:pPr>
    </w:lvl>
    <w:lvl w:ilvl="5" w:tplc="158E68D8" w:tentative="1">
      <w:start w:val="1"/>
      <w:numFmt w:val="lowerRoman"/>
      <w:lvlText w:val="%6."/>
      <w:lvlJc w:val="right"/>
      <w:pPr>
        <w:tabs>
          <w:tab w:val="num" w:pos="4881"/>
        </w:tabs>
        <w:ind w:left="4881" w:hanging="180"/>
      </w:pPr>
    </w:lvl>
    <w:lvl w:ilvl="6" w:tplc="A0F2FDE6" w:tentative="1">
      <w:start w:val="1"/>
      <w:numFmt w:val="decimal"/>
      <w:lvlText w:val="%7."/>
      <w:lvlJc w:val="left"/>
      <w:pPr>
        <w:tabs>
          <w:tab w:val="num" w:pos="5601"/>
        </w:tabs>
        <w:ind w:left="5601" w:hanging="360"/>
      </w:pPr>
    </w:lvl>
    <w:lvl w:ilvl="7" w:tplc="2CA053AA" w:tentative="1">
      <w:start w:val="1"/>
      <w:numFmt w:val="lowerLetter"/>
      <w:lvlText w:val="%8."/>
      <w:lvlJc w:val="left"/>
      <w:pPr>
        <w:tabs>
          <w:tab w:val="num" w:pos="6321"/>
        </w:tabs>
        <w:ind w:left="6321" w:hanging="360"/>
      </w:pPr>
    </w:lvl>
    <w:lvl w:ilvl="8" w:tplc="11ECD0EE" w:tentative="1">
      <w:start w:val="1"/>
      <w:numFmt w:val="lowerRoman"/>
      <w:lvlText w:val="%9."/>
      <w:lvlJc w:val="right"/>
      <w:pPr>
        <w:tabs>
          <w:tab w:val="num" w:pos="7041"/>
        </w:tabs>
        <w:ind w:left="7041" w:hanging="180"/>
      </w:pPr>
    </w:lvl>
  </w:abstractNum>
  <w:abstractNum w:abstractNumId="51" w15:restartNumberingAfterBreak="0">
    <w:nsid w:val="51C54318"/>
    <w:multiLevelType w:val="hybridMultilevel"/>
    <w:tmpl w:val="4FBAFAA8"/>
    <w:name w:val="List1349986525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51FBC19C"/>
    <w:multiLevelType w:val="hybridMultilevel"/>
    <w:tmpl w:val="0D1A08EC"/>
    <w:lvl w:ilvl="0" w:tplc="968C1D60">
      <w:start w:val="1"/>
      <w:numFmt w:val="bullet"/>
      <w:lvlText w:val=""/>
      <w:lvlJc w:val="left"/>
      <w:pPr>
        <w:ind w:left="720" w:hanging="360"/>
      </w:pPr>
      <w:rPr>
        <w:rFonts w:ascii="Wingdings" w:hAnsi="Wingdings" w:hint="default"/>
      </w:rPr>
    </w:lvl>
    <w:lvl w:ilvl="1" w:tplc="74869638">
      <w:start w:val="1"/>
      <w:numFmt w:val="lowerLetter"/>
      <w:lvlText w:val="%2."/>
      <w:lvlJc w:val="left"/>
      <w:pPr>
        <w:ind w:left="1440" w:hanging="360"/>
      </w:pPr>
    </w:lvl>
    <w:lvl w:ilvl="2" w:tplc="50C4CD4E">
      <w:start w:val="1"/>
      <w:numFmt w:val="lowerRoman"/>
      <w:lvlText w:val="%3."/>
      <w:lvlJc w:val="right"/>
      <w:pPr>
        <w:ind w:left="2160" w:hanging="180"/>
      </w:pPr>
    </w:lvl>
    <w:lvl w:ilvl="3" w:tplc="DD12A028">
      <w:start w:val="1"/>
      <w:numFmt w:val="decimal"/>
      <w:lvlText w:val="%4."/>
      <w:lvlJc w:val="left"/>
      <w:pPr>
        <w:ind w:left="2880" w:hanging="360"/>
      </w:pPr>
    </w:lvl>
    <w:lvl w:ilvl="4" w:tplc="8FC8632E">
      <w:start w:val="1"/>
      <w:numFmt w:val="lowerLetter"/>
      <w:lvlText w:val="%5."/>
      <w:lvlJc w:val="left"/>
      <w:pPr>
        <w:ind w:left="3600" w:hanging="360"/>
      </w:pPr>
    </w:lvl>
    <w:lvl w:ilvl="5" w:tplc="4230948A">
      <w:start w:val="1"/>
      <w:numFmt w:val="lowerRoman"/>
      <w:lvlText w:val="%6."/>
      <w:lvlJc w:val="right"/>
      <w:pPr>
        <w:ind w:left="4320" w:hanging="180"/>
      </w:pPr>
    </w:lvl>
    <w:lvl w:ilvl="6" w:tplc="E9A27F7C">
      <w:start w:val="1"/>
      <w:numFmt w:val="decimal"/>
      <w:lvlText w:val="%7."/>
      <w:lvlJc w:val="left"/>
      <w:pPr>
        <w:ind w:left="5040" w:hanging="360"/>
      </w:pPr>
    </w:lvl>
    <w:lvl w:ilvl="7" w:tplc="24008FFE">
      <w:start w:val="1"/>
      <w:numFmt w:val="lowerLetter"/>
      <w:lvlText w:val="%8."/>
      <w:lvlJc w:val="left"/>
      <w:pPr>
        <w:ind w:left="5760" w:hanging="360"/>
      </w:pPr>
    </w:lvl>
    <w:lvl w:ilvl="8" w:tplc="734821DE">
      <w:start w:val="1"/>
      <w:numFmt w:val="lowerRoman"/>
      <w:lvlText w:val="%9."/>
      <w:lvlJc w:val="right"/>
      <w:pPr>
        <w:ind w:left="6480" w:hanging="180"/>
      </w:pPr>
    </w:lvl>
  </w:abstractNum>
  <w:abstractNum w:abstractNumId="53" w15:restartNumberingAfterBreak="0">
    <w:nsid w:val="535D69FB"/>
    <w:multiLevelType w:val="hybridMultilevel"/>
    <w:tmpl w:val="3208B4EE"/>
    <w:name w:val="List1377015138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54" w15:restartNumberingAfterBreak="0">
    <w:nsid w:val="546F7852"/>
    <w:multiLevelType w:val="multilevel"/>
    <w:tmpl w:val="830CE7AC"/>
    <w:name w:val="List1367267229_1"/>
    <w:lvl w:ilvl="0">
      <w:start w:val="1"/>
      <w:numFmt w:val="upp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55" w15:restartNumberingAfterBreak="0">
    <w:nsid w:val="548D78BE"/>
    <w:multiLevelType w:val="hybridMultilevel"/>
    <w:tmpl w:val="BCD24896"/>
    <w:lvl w:ilvl="0" w:tplc="140A000D">
      <w:start w:val="1"/>
      <w:numFmt w:val="bullet"/>
      <w:lvlText w:val=""/>
      <w:lvlJc w:val="left"/>
      <w:pPr>
        <w:ind w:left="1440" w:hanging="360"/>
      </w:pPr>
      <w:rPr>
        <w:rFonts w:ascii="Wingdings" w:hAnsi="Wingdings" w:hint="default"/>
      </w:rPr>
    </w:lvl>
    <w:lvl w:ilvl="1" w:tplc="140A0003">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56" w15:restartNumberingAfterBreak="0">
    <w:nsid w:val="55724443"/>
    <w:multiLevelType w:val="hybridMultilevel"/>
    <w:tmpl w:val="75F0D7B6"/>
    <w:name w:val="List1370904242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57" w15:restartNumberingAfterBreak="0">
    <w:nsid w:val="55850A7D"/>
    <w:multiLevelType w:val="hybridMultilevel"/>
    <w:tmpl w:val="E954FC54"/>
    <w:styleLink w:val="Sinlista112"/>
    <w:lvl w:ilvl="0" w:tplc="2078EB6E">
      <w:start w:val="1"/>
      <w:numFmt w:val="decimal"/>
      <w:pStyle w:val="PEI"/>
      <w:lvlText w:val="%1."/>
      <w:lvlJc w:val="left"/>
      <w:pPr>
        <w:ind w:left="418"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58" w15:restartNumberingAfterBreak="0">
    <w:nsid w:val="560C4FC5"/>
    <w:multiLevelType w:val="hybridMultilevel"/>
    <w:tmpl w:val="DE086A10"/>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9" w15:restartNumberingAfterBreak="0">
    <w:nsid w:val="564A301B"/>
    <w:multiLevelType w:val="hybridMultilevel"/>
    <w:tmpl w:val="27764D48"/>
    <w:lvl w:ilvl="0" w:tplc="140A000D">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0" w15:restartNumberingAfterBreak="0">
    <w:nsid w:val="5BB21733"/>
    <w:multiLevelType w:val="hybridMultilevel"/>
    <w:tmpl w:val="F63262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5F1D377F"/>
    <w:multiLevelType w:val="hybridMultilevel"/>
    <w:tmpl w:val="07EE71AA"/>
    <w:styleLink w:val="WW8Num31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62" w15:restartNumberingAfterBreak="0">
    <w:nsid w:val="62E123A4"/>
    <w:multiLevelType w:val="multilevel"/>
    <w:tmpl w:val="0409001F"/>
    <w:styleLink w:val="WW8Num210"/>
    <w:lvl w:ilvl="0">
      <w:start w:val="2"/>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432" w:hanging="432"/>
      </w:pPr>
      <w:rPr>
        <w:rFonts w:cs="Times New Roman"/>
      </w:rPr>
    </w:lvl>
    <w:lvl w:ilvl="2">
      <w:start w:val="1"/>
      <w:numFmt w:val="decimal"/>
      <w:lvlText w:val="%1.%2.%3."/>
      <w:lvlJc w:val="left"/>
      <w:pPr>
        <w:tabs>
          <w:tab w:val="num" w:pos="0"/>
        </w:tabs>
        <w:ind w:left="504" w:hanging="504"/>
      </w:pPr>
      <w:rPr>
        <w:rFonts w:cs="Times New Roman"/>
      </w:rPr>
    </w:lvl>
    <w:lvl w:ilvl="3">
      <w:start w:val="1"/>
      <w:numFmt w:val="decimal"/>
      <w:lvlText w:val="%1.%2.%3.%4."/>
      <w:lvlJc w:val="left"/>
      <w:pPr>
        <w:tabs>
          <w:tab w:val="num" w:pos="0"/>
        </w:tabs>
        <w:ind w:left="64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63" w15:restartNumberingAfterBreak="0">
    <w:nsid w:val="6341174F"/>
    <w:multiLevelType w:val="multilevel"/>
    <w:tmpl w:val="00000001"/>
    <w:name w:val="List1665210191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4" w15:restartNumberingAfterBreak="0">
    <w:nsid w:val="63411826"/>
    <w:multiLevelType w:val="multilevel"/>
    <w:tmpl w:val="00000003"/>
    <w:name w:val="List1665210406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5" w15:restartNumberingAfterBreak="0">
    <w:nsid w:val="63494255"/>
    <w:multiLevelType w:val="hybridMultilevel"/>
    <w:tmpl w:val="EE48F3F8"/>
    <w:lvl w:ilvl="0" w:tplc="140A000D">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6" w15:restartNumberingAfterBreak="0">
    <w:nsid w:val="667B3B17"/>
    <w:multiLevelType w:val="hybridMultilevel"/>
    <w:tmpl w:val="42A871D6"/>
    <w:lvl w:ilvl="0" w:tplc="9220832A">
      <w:start w:val="19"/>
      <w:numFmt w:val="bullet"/>
      <w:pStyle w:val="autocorrecci3f"/>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87100E0"/>
    <w:multiLevelType w:val="hybridMultilevel"/>
    <w:tmpl w:val="620CED2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8" w15:restartNumberingAfterBreak="0">
    <w:nsid w:val="6AF86928"/>
    <w:multiLevelType w:val="hybridMultilevel"/>
    <w:tmpl w:val="C952DC74"/>
    <w:lvl w:ilvl="0" w:tplc="140A0001">
      <w:start w:val="1"/>
      <w:numFmt w:val="bullet"/>
      <w:lvlText w:val=""/>
      <w:lvlJc w:val="left"/>
      <w:pPr>
        <w:ind w:left="1353" w:hanging="360"/>
      </w:pPr>
      <w:rPr>
        <w:rFonts w:ascii="Symbol" w:hAnsi="Symbol" w:hint="default"/>
      </w:rPr>
    </w:lvl>
    <w:lvl w:ilvl="1" w:tplc="140A0003" w:tentative="1">
      <w:start w:val="1"/>
      <w:numFmt w:val="bullet"/>
      <w:lvlText w:val="o"/>
      <w:lvlJc w:val="left"/>
      <w:pPr>
        <w:ind w:left="2291" w:hanging="360"/>
      </w:pPr>
      <w:rPr>
        <w:rFonts w:ascii="Courier New" w:hAnsi="Courier New" w:cs="Courier New" w:hint="default"/>
      </w:rPr>
    </w:lvl>
    <w:lvl w:ilvl="2" w:tplc="140A0005" w:tentative="1">
      <w:start w:val="1"/>
      <w:numFmt w:val="bullet"/>
      <w:lvlText w:val=""/>
      <w:lvlJc w:val="left"/>
      <w:pPr>
        <w:ind w:left="3011" w:hanging="360"/>
      </w:pPr>
      <w:rPr>
        <w:rFonts w:ascii="Wingdings" w:hAnsi="Wingdings" w:hint="default"/>
      </w:rPr>
    </w:lvl>
    <w:lvl w:ilvl="3" w:tplc="140A0001" w:tentative="1">
      <w:start w:val="1"/>
      <w:numFmt w:val="bullet"/>
      <w:lvlText w:val=""/>
      <w:lvlJc w:val="left"/>
      <w:pPr>
        <w:ind w:left="3731" w:hanging="360"/>
      </w:pPr>
      <w:rPr>
        <w:rFonts w:ascii="Symbol" w:hAnsi="Symbol" w:hint="default"/>
      </w:rPr>
    </w:lvl>
    <w:lvl w:ilvl="4" w:tplc="140A0003" w:tentative="1">
      <w:start w:val="1"/>
      <w:numFmt w:val="bullet"/>
      <w:lvlText w:val="o"/>
      <w:lvlJc w:val="left"/>
      <w:pPr>
        <w:ind w:left="4451" w:hanging="360"/>
      </w:pPr>
      <w:rPr>
        <w:rFonts w:ascii="Courier New" w:hAnsi="Courier New" w:cs="Courier New" w:hint="default"/>
      </w:rPr>
    </w:lvl>
    <w:lvl w:ilvl="5" w:tplc="140A0005" w:tentative="1">
      <w:start w:val="1"/>
      <w:numFmt w:val="bullet"/>
      <w:lvlText w:val=""/>
      <w:lvlJc w:val="left"/>
      <w:pPr>
        <w:ind w:left="5171" w:hanging="360"/>
      </w:pPr>
      <w:rPr>
        <w:rFonts w:ascii="Wingdings" w:hAnsi="Wingdings" w:hint="default"/>
      </w:rPr>
    </w:lvl>
    <w:lvl w:ilvl="6" w:tplc="140A0001" w:tentative="1">
      <w:start w:val="1"/>
      <w:numFmt w:val="bullet"/>
      <w:lvlText w:val=""/>
      <w:lvlJc w:val="left"/>
      <w:pPr>
        <w:ind w:left="5891" w:hanging="360"/>
      </w:pPr>
      <w:rPr>
        <w:rFonts w:ascii="Symbol" w:hAnsi="Symbol" w:hint="default"/>
      </w:rPr>
    </w:lvl>
    <w:lvl w:ilvl="7" w:tplc="140A0003" w:tentative="1">
      <w:start w:val="1"/>
      <w:numFmt w:val="bullet"/>
      <w:lvlText w:val="o"/>
      <w:lvlJc w:val="left"/>
      <w:pPr>
        <w:ind w:left="6611" w:hanging="360"/>
      </w:pPr>
      <w:rPr>
        <w:rFonts w:ascii="Courier New" w:hAnsi="Courier New" w:cs="Courier New" w:hint="default"/>
      </w:rPr>
    </w:lvl>
    <w:lvl w:ilvl="8" w:tplc="140A0005" w:tentative="1">
      <w:start w:val="1"/>
      <w:numFmt w:val="bullet"/>
      <w:lvlText w:val=""/>
      <w:lvlJc w:val="left"/>
      <w:pPr>
        <w:ind w:left="7331" w:hanging="360"/>
      </w:pPr>
      <w:rPr>
        <w:rFonts w:ascii="Wingdings" w:hAnsi="Wingdings" w:hint="default"/>
      </w:rPr>
    </w:lvl>
  </w:abstractNum>
  <w:abstractNum w:abstractNumId="69" w15:restartNumberingAfterBreak="0">
    <w:nsid w:val="6B167915"/>
    <w:multiLevelType w:val="multilevel"/>
    <w:tmpl w:val="B50CFB26"/>
    <w:styleLink w:val="WW8Num110"/>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70" w15:restartNumberingAfterBreak="0">
    <w:nsid w:val="6D4F3A11"/>
    <w:multiLevelType w:val="hybridMultilevel"/>
    <w:tmpl w:val="D09814A6"/>
    <w:styleLink w:val="WWNum31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1" w15:restartNumberingAfterBreak="0">
    <w:nsid w:val="6E910F02"/>
    <w:multiLevelType w:val="hybridMultilevel"/>
    <w:tmpl w:val="0548E672"/>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2" w15:restartNumberingAfterBreak="0">
    <w:nsid w:val="6F5C6B8B"/>
    <w:multiLevelType w:val="hybridMultilevel"/>
    <w:tmpl w:val="01C4221C"/>
    <w:name w:val="List1375978171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711B63F7"/>
    <w:multiLevelType w:val="hybridMultilevel"/>
    <w:tmpl w:val="FD5406D0"/>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4" w15:restartNumberingAfterBreak="0">
    <w:nsid w:val="73FECA9A"/>
    <w:multiLevelType w:val="hybridMultilevel"/>
    <w:tmpl w:val="804C6254"/>
    <w:lvl w:ilvl="0" w:tplc="856299FC">
      <w:start w:val="1"/>
      <w:numFmt w:val="bullet"/>
      <w:lvlText w:val="Ø"/>
      <w:lvlJc w:val="left"/>
      <w:pPr>
        <w:ind w:left="720" w:hanging="360"/>
      </w:pPr>
      <w:rPr>
        <w:rFonts w:ascii="Wingdings" w:hAnsi="Wingdings" w:hint="default"/>
      </w:rPr>
    </w:lvl>
    <w:lvl w:ilvl="1" w:tplc="04660786">
      <w:start w:val="1"/>
      <w:numFmt w:val="bullet"/>
      <w:lvlText w:val="o"/>
      <w:lvlJc w:val="left"/>
      <w:pPr>
        <w:ind w:left="1440" w:hanging="360"/>
      </w:pPr>
      <w:rPr>
        <w:rFonts w:ascii="Courier New" w:hAnsi="Courier New" w:hint="default"/>
      </w:rPr>
    </w:lvl>
    <w:lvl w:ilvl="2" w:tplc="1552484C">
      <w:start w:val="1"/>
      <w:numFmt w:val="bullet"/>
      <w:lvlText w:val=""/>
      <w:lvlJc w:val="left"/>
      <w:pPr>
        <w:ind w:left="2160" w:hanging="360"/>
      </w:pPr>
      <w:rPr>
        <w:rFonts w:ascii="Wingdings" w:hAnsi="Wingdings" w:hint="default"/>
      </w:rPr>
    </w:lvl>
    <w:lvl w:ilvl="3" w:tplc="0864237E">
      <w:start w:val="1"/>
      <w:numFmt w:val="bullet"/>
      <w:lvlText w:val=""/>
      <w:lvlJc w:val="left"/>
      <w:pPr>
        <w:ind w:left="2880" w:hanging="360"/>
      </w:pPr>
      <w:rPr>
        <w:rFonts w:ascii="Symbol" w:hAnsi="Symbol" w:hint="default"/>
      </w:rPr>
    </w:lvl>
    <w:lvl w:ilvl="4" w:tplc="EE22118E">
      <w:start w:val="1"/>
      <w:numFmt w:val="bullet"/>
      <w:lvlText w:val="o"/>
      <w:lvlJc w:val="left"/>
      <w:pPr>
        <w:ind w:left="3600" w:hanging="360"/>
      </w:pPr>
      <w:rPr>
        <w:rFonts w:ascii="Courier New" w:hAnsi="Courier New" w:hint="default"/>
      </w:rPr>
    </w:lvl>
    <w:lvl w:ilvl="5" w:tplc="FAEE48F0">
      <w:start w:val="1"/>
      <w:numFmt w:val="bullet"/>
      <w:lvlText w:val=""/>
      <w:lvlJc w:val="left"/>
      <w:pPr>
        <w:ind w:left="4320" w:hanging="360"/>
      </w:pPr>
      <w:rPr>
        <w:rFonts w:ascii="Wingdings" w:hAnsi="Wingdings" w:hint="default"/>
      </w:rPr>
    </w:lvl>
    <w:lvl w:ilvl="6" w:tplc="A478125C">
      <w:start w:val="1"/>
      <w:numFmt w:val="bullet"/>
      <w:lvlText w:val=""/>
      <w:lvlJc w:val="left"/>
      <w:pPr>
        <w:ind w:left="5040" w:hanging="360"/>
      </w:pPr>
      <w:rPr>
        <w:rFonts w:ascii="Symbol" w:hAnsi="Symbol" w:hint="default"/>
      </w:rPr>
    </w:lvl>
    <w:lvl w:ilvl="7" w:tplc="D088969E">
      <w:start w:val="1"/>
      <w:numFmt w:val="bullet"/>
      <w:lvlText w:val="o"/>
      <w:lvlJc w:val="left"/>
      <w:pPr>
        <w:ind w:left="5760" w:hanging="360"/>
      </w:pPr>
      <w:rPr>
        <w:rFonts w:ascii="Courier New" w:hAnsi="Courier New" w:hint="default"/>
      </w:rPr>
    </w:lvl>
    <w:lvl w:ilvl="8" w:tplc="C49AFCDC">
      <w:start w:val="1"/>
      <w:numFmt w:val="bullet"/>
      <w:lvlText w:val=""/>
      <w:lvlJc w:val="left"/>
      <w:pPr>
        <w:ind w:left="6480" w:hanging="360"/>
      </w:pPr>
      <w:rPr>
        <w:rFonts w:ascii="Wingdings" w:hAnsi="Wingdings" w:hint="default"/>
      </w:rPr>
    </w:lvl>
  </w:abstractNum>
  <w:abstractNum w:abstractNumId="75" w15:restartNumberingAfterBreak="0">
    <w:nsid w:val="74855748"/>
    <w:multiLevelType w:val="hybridMultilevel"/>
    <w:tmpl w:val="D1D6B956"/>
    <w:name w:val="List1319215434_1"/>
    <w:lvl w:ilvl="0" w:tplc="FFFFFFFF">
      <w:start w:val="1"/>
      <w:numFmt w:val="decimal"/>
      <w:lvlText w:val="%1."/>
      <w:lvlJc w:val="left"/>
      <w:pPr>
        <w:ind w:left="36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76" w15:restartNumberingAfterBreak="0">
    <w:nsid w:val="7729447C"/>
    <w:multiLevelType w:val="hybridMultilevel"/>
    <w:tmpl w:val="7BC21FCE"/>
    <w:lvl w:ilvl="0" w:tplc="81F6182E">
      <w:start w:val="1"/>
      <w:numFmt w:val="decimal"/>
      <w:lvlText w:val="%1."/>
      <w:lvlJc w:val="left"/>
      <w:pPr>
        <w:ind w:left="720" w:hanging="360"/>
      </w:pPr>
    </w:lvl>
    <w:lvl w:ilvl="1" w:tplc="E35AB08C">
      <w:start w:val="1"/>
      <w:numFmt w:val="lowerLetter"/>
      <w:lvlText w:val="%2."/>
      <w:lvlJc w:val="left"/>
      <w:pPr>
        <w:ind w:left="1440" w:hanging="360"/>
      </w:pPr>
    </w:lvl>
    <w:lvl w:ilvl="2" w:tplc="6F8CEDAC">
      <w:start w:val="1"/>
      <w:numFmt w:val="lowerRoman"/>
      <w:lvlText w:val="%3."/>
      <w:lvlJc w:val="right"/>
      <w:pPr>
        <w:ind w:left="2160" w:hanging="180"/>
      </w:pPr>
    </w:lvl>
    <w:lvl w:ilvl="3" w:tplc="84A8BA98">
      <w:start w:val="1"/>
      <w:numFmt w:val="decimal"/>
      <w:lvlText w:val="%4."/>
      <w:lvlJc w:val="left"/>
      <w:pPr>
        <w:ind w:left="2880" w:hanging="360"/>
      </w:pPr>
    </w:lvl>
    <w:lvl w:ilvl="4" w:tplc="0DEC691A">
      <w:start w:val="1"/>
      <w:numFmt w:val="lowerLetter"/>
      <w:lvlText w:val="%5."/>
      <w:lvlJc w:val="left"/>
      <w:pPr>
        <w:ind w:left="3600" w:hanging="360"/>
      </w:pPr>
    </w:lvl>
    <w:lvl w:ilvl="5" w:tplc="94C4AB2C">
      <w:start w:val="1"/>
      <w:numFmt w:val="lowerRoman"/>
      <w:lvlText w:val="%6."/>
      <w:lvlJc w:val="right"/>
      <w:pPr>
        <w:ind w:left="4320" w:hanging="180"/>
      </w:pPr>
    </w:lvl>
    <w:lvl w:ilvl="6" w:tplc="4696500A">
      <w:start w:val="1"/>
      <w:numFmt w:val="decimal"/>
      <w:lvlText w:val="%7."/>
      <w:lvlJc w:val="left"/>
      <w:pPr>
        <w:ind w:left="5040" w:hanging="360"/>
      </w:pPr>
    </w:lvl>
    <w:lvl w:ilvl="7" w:tplc="08B8ECE6">
      <w:start w:val="1"/>
      <w:numFmt w:val="lowerLetter"/>
      <w:lvlText w:val="%8."/>
      <w:lvlJc w:val="left"/>
      <w:pPr>
        <w:ind w:left="5760" w:hanging="360"/>
      </w:pPr>
    </w:lvl>
    <w:lvl w:ilvl="8" w:tplc="EC786AE6">
      <w:start w:val="1"/>
      <w:numFmt w:val="lowerRoman"/>
      <w:lvlText w:val="%9."/>
      <w:lvlJc w:val="right"/>
      <w:pPr>
        <w:ind w:left="6480" w:hanging="180"/>
      </w:pPr>
    </w:lvl>
  </w:abstractNum>
  <w:abstractNum w:abstractNumId="77" w15:restartNumberingAfterBreak="0">
    <w:nsid w:val="787EC930"/>
    <w:multiLevelType w:val="hybridMultilevel"/>
    <w:tmpl w:val="328A418E"/>
    <w:lvl w:ilvl="0" w:tplc="63DEB70C">
      <w:start w:val="1"/>
      <w:numFmt w:val="bullet"/>
      <w:lvlText w:val=""/>
      <w:lvlJc w:val="left"/>
      <w:pPr>
        <w:ind w:left="720" w:hanging="360"/>
      </w:pPr>
      <w:rPr>
        <w:rFonts w:ascii="Wingdings" w:hAnsi="Wingdings" w:hint="default"/>
      </w:rPr>
    </w:lvl>
    <w:lvl w:ilvl="1" w:tplc="DFB6F7FA">
      <w:start w:val="1"/>
      <w:numFmt w:val="bullet"/>
      <w:lvlText w:val="o"/>
      <w:lvlJc w:val="left"/>
      <w:pPr>
        <w:ind w:left="1440" w:hanging="360"/>
      </w:pPr>
      <w:rPr>
        <w:rFonts w:ascii="Courier New" w:hAnsi="Courier New" w:hint="default"/>
      </w:rPr>
    </w:lvl>
    <w:lvl w:ilvl="2" w:tplc="C0761146">
      <w:start w:val="1"/>
      <w:numFmt w:val="bullet"/>
      <w:lvlText w:val=""/>
      <w:lvlJc w:val="left"/>
      <w:pPr>
        <w:ind w:left="2160" w:hanging="360"/>
      </w:pPr>
      <w:rPr>
        <w:rFonts w:ascii="Wingdings" w:hAnsi="Wingdings" w:hint="default"/>
      </w:rPr>
    </w:lvl>
    <w:lvl w:ilvl="3" w:tplc="04BAC8FE">
      <w:start w:val="1"/>
      <w:numFmt w:val="bullet"/>
      <w:lvlText w:val=""/>
      <w:lvlJc w:val="left"/>
      <w:pPr>
        <w:ind w:left="2880" w:hanging="360"/>
      </w:pPr>
      <w:rPr>
        <w:rFonts w:ascii="Symbol" w:hAnsi="Symbol" w:hint="default"/>
      </w:rPr>
    </w:lvl>
    <w:lvl w:ilvl="4" w:tplc="76B43BD4">
      <w:start w:val="1"/>
      <w:numFmt w:val="bullet"/>
      <w:lvlText w:val="o"/>
      <w:lvlJc w:val="left"/>
      <w:pPr>
        <w:ind w:left="3600" w:hanging="360"/>
      </w:pPr>
      <w:rPr>
        <w:rFonts w:ascii="Courier New" w:hAnsi="Courier New" w:hint="default"/>
      </w:rPr>
    </w:lvl>
    <w:lvl w:ilvl="5" w:tplc="B0785D4E">
      <w:start w:val="1"/>
      <w:numFmt w:val="bullet"/>
      <w:lvlText w:val=""/>
      <w:lvlJc w:val="left"/>
      <w:pPr>
        <w:ind w:left="4320" w:hanging="360"/>
      </w:pPr>
      <w:rPr>
        <w:rFonts w:ascii="Wingdings" w:hAnsi="Wingdings" w:hint="default"/>
      </w:rPr>
    </w:lvl>
    <w:lvl w:ilvl="6" w:tplc="D0BC3706">
      <w:start w:val="1"/>
      <w:numFmt w:val="bullet"/>
      <w:lvlText w:val=""/>
      <w:lvlJc w:val="left"/>
      <w:pPr>
        <w:ind w:left="5040" w:hanging="360"/>
      </w:pPr>
      <w:rPr>
        <w:rFonts w:ascii="Symbol" w:hAnsi="Symbol" w:hint="default"/>
      </w:rPr>
    </w:lvl>
    <w:lvl w:ilvl="7" w:tplc="34342D70">
      <w:start w:val="1"/>
      <w:numFmt w:val="bullet"/>
      <w:lvlText w:val="o"/>
      <w:lvlJc w:val="left"/>
      <w:pPr>
        <w:ind w:left="5760" w:hanging="360"/>
      </w:pPr>
      <w:rPr>
        <w:rFonts w:ascii="Courier New" w:hAnsi="Courier New" w:hint="default"/>
      </w:rPr>
    </w:lvl>
    <w:lvl w:ilvl="8" w:tplc="85B29788">
      <w:start w:val="1"/>
      <w:numFmt w:val="bullet"/>
      <w:lvlText w:val=""/>
      <w:lvlJc w:val="left"/>
      <w:pPr>
        <w:ind w:left="6480" w:hanging="360"/>
      </w:pPr>
      <w:rPr>
        <w:rFonts w:ascii="Wingdings" w:hAnsi="Wingdings" w:hint="default"/>
      </w:rPr>
    </w:lvl>
  </w:abstractNum>
  <w:abstractNum w:abstractNumId="78" w15:restartNumberingAfterBreak="0">
    <w:nsid w:val="798534D1"/>
    <w:multiLevelType w:val="multilevel"/>
    <w:tmpl w:val="F91C33E4"/>
    <w:styleLink w:val="111111111342121"/>
    <w:lvl w:ilvl="0">
      <w:start w:val="1"/>
      <w:numFmt w:val="decimal"/>
      <w:lvlText w:val="%1."/>
      <w:lvlJc w:val="left"/>
      <w:rPr>
        <w:rFonts w:ascii="Calibri" w:hAnsi="Calibri" w:cs="Calibri"/>
        <w:b/>
        <w:sz w:val="18"/>
        <w:szCs w:val="18"/>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79" w15:restartNumberingAfterBreak="0">
    <w:nsid w:val="7A665E8D"/>
    <w:multiLevelType w:val="multilevel"/>
    <w:tmpl w:val="C8BA087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bCs w:val="0"/>
        <w:i w:val="0"/>
        <w:i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0" w15:restartNumberingAfterBreak="0">
    <w:nsid w:val="7B5F3C52"/>
    <w:multiLevelType w:val="multilevel"/>
    <w:tmpl w:val="BF105470"/>
    <w:styleLink w:val="WWNum31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1" w15:restartNumberingAfterBreak="0">
    <w:nsid w:val="7D905C42"/>
    <w:multiLevelType w:val="hybridMultilevel"/>
    <w:tmpl w:val="58C0259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2" w15:restartNumberingAfterBreak="0">
    <w:nsid w:val="7E51409C"/>
    <w:multiLevelType w:val="hybridMultilevel"/>
    <w:tmpl w:val="C7BC11CE"/>
    <w:name w:val="List128991383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7EBA7BA0"/>
    <w:multiLevelType w:val="hybridMultilevel"/>
    <w:tmpl w:val="A68025B0"/>
    <w:styleLink w:val="WW8Num24"/>
    <w:lvl w:ilvl="0" w:tplc="B7BE9EDA">
      <w:start w:val="1"/>
      <w:numFmt w:val="decimal"/>
      <w:lvlText w:val="%1.)"/>
      <w:lvlJc w:val="left"/>
      <w:pPr>
        <w:ind w:left="976" w:hanging="360"/>
      </w:pPr>
      <w:rPr>
        <w:b/>
      </w:rPr>
    </w:lvl>
    <w:lvl w:ilvl="1" w:tplc="140A0019">
      <w:start w:val="1"/>
      <w:numFmt w:val="lowerLetter"/>
      <w:lvlText w:val="%2."/>
      <w:lvlJc w:val="left"/>
      <w:pPr>
        <w:ind w:left="1696" w:hanging="360"/>
      </w:pPr>
    </w:lvl>
    <w:lvl w:ilvl="2" w:tplc="140A001B">
      <w:start w:val="1"/>
      <w:numFmt w:val="lowerRoman"/>
      <w:lvlText w:val="%3."/>
      <w:lvlJc w:val="right"/>
      <w:pPr>
        <w:ind w:left="2416" w:hanging="180"/>
      </w:pPr>
    </w:lvl>
    <w:lvl w:ilvl="3" w:tplc="140A000F">
      <w:start w:val="1"/>
      <w:numFmt w:val="decimal"/>
      <w:lvlText w:val="%4."/>
      <w:lvlJc w:val="left"/>
      <w:pPr>
        <w:ind w:left="3136" w:hanging="360"/>
      </w:pPr>
    </w:lvl>
    <w:lvl w:ilvl="4" w:tplc="140A0019">
      <w:start w:val="1"/>
      <w:numFmt w:val="lowerLetter"/>
      <w:lvlText w:val="%5."/>
      <w:lvlJc w:val="left"/>
      <w:pPr>
        <w:ind w:left="3856" w:hanging="360"/>
      </w:pPr>
    </w:lvl>
    <w:lvl w:ilvl="5" w:tplc="140A001B">
      <w:start w:val="1"/>
      <w:numFmt w:val="lowerRoman"/>
      <w:lvlText w:val="%6."/>
      <w:lvlJc w:val="right"/>
      <w:pPr>
        <w:ind w:left="4576" w:hanging="180"/>
      </w:pPr>
    </w:lvl>
    <w:lvl w:ilvl="6" w:tplc="140A000F">
      <w:start w:val="1"/>
      <w:numFmt w:val="decimal"/>
      <w:lvlText w:val="%7."/>
      <w:lvlJc w:val="left"/>
      <w:pPr>
        <w:ind w:left="5296" w:hanging="360"/>
      </w:pPr>
    </w:lvl>
    <w:lvl w:ilvl="7" w:tplc="140A0019">
      <w:start w:val="1"/>
      <w:numFmt w:val="lowerLetter"/>
      <w:lvlText w:val="%8."/>
      <w:lvlJc w:val="left"/>
      <w:pPr>
        <w:ind w:left="6016" w:hanging="360"/>
      </w:pPr>
    </w:lvl>
    <w:lvl w:ilvl="8" w:tplc="140A001B">
      <w:start w:val="1"/>
      <w:numFmt w:val="lowerRoman"/>
      <w:lvlText w:val="%9."/>
      <w:lvlJc w:val="right"/>
      <w:pPr>
        <w:ind w:left="6736" w:hanging="180"/>
      </w:pPr>
    </w:lvl>
  </w:abstractNum>
  <w:abstractNum w:abstractNumId="84" w15:restartNumberingAfterBreak="0">
    <w:nsid w:val="7F6A4F34"/>
    <w:multiLevelType w:val="hybridMultilevel"/>
    <w:tmpl w:val="083E86CC"/>
    <w:name w:val="List128991766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305742508">
    <w:abstractNumId w:val="4"/>
  </w:num>
  <w:num w:numId="2" w16cid:durableId="345908341">
    <w:abstractNumId w:val="43"/>
  </w:num>
  <w:num w:numId="3" w16cid:durableId="803817929">
    <w:abstractNumId w:val="10"/>
  </w:num>
  <w:num w:numId="4" w16cid:durableId="1959800353">
    <w:abstractNumId w:val="66"/>
  </w:num>
  <w:num w:numId="5" w16cid:durableId="1753425344">
    <w:abstractNumId w:val="3"/>
  </w:num>
  <w:num w:numId="6" w16cid:durableId="1884172999">
    <w:abstractNumId w:val="44"/>
  </w:num>
  <w:num w:numId="7" w16cid:durableId="1583877680">
    <w:abstractNumId w:val="2"/>
  </w:num>
  <w:num w:numId="8" w16cid:durableId="1495293786">
    <w:abstractNumId w:val="38"/>
  </w:num>
  <w:num w:numId="9" w16cid:durableId="1653371384">
    <w:abstractNumId w:val="50"/>
  </w:num>
  <w:num w:numId="10" w16cid:durableId="755177881">
    <w:abstractNumId w:val="22"/>
  </w:num>
  <w:num w:numId="11" w16cid:durableId="1919441857">
    <w:abstractNumId w:val="1"/>
    <w:lvlOverride w:ilvl="0">
      <w:startOverride w:val="1"/>
    </w:lvlOverride>
  </w:num>
  <w:num w:numId="12" w16cid:durableId="1479492469">
    <w:abstractNumId w:val="70"/>
  </w:num>
  <w:num w:numId="13" w16cid:durableId="1688412339">
    <w:abstractNumId w:val="31"/>
  </w:num>
  <w:num w:numId="14" w16cid:durableId="920022766">
    <w:abstractNumId w:val="46"/>
  </w:num>
  <w:num w:numId="15" w16cid:durableId="16394053">
    <w:abstractNumId w:val="25"/>
  </w:num>
  <w:num w:numId="16" w16cid:durableId="1448812557">
    <w:abstractNumId w:val="80"/>
  </w:num>
  <w:num w:numId="17" w16cid:durableId="1625379166">
    <w:abstractNumId w:val="29"/>
  </w:num>
  <w:num w:numId="18" w16cid:durableId="369189097">
    <w:abstractNumId w:val="41"/>
  </w:num>
  <w:num w:numId="19" w16cid:durableId="1603218357">
    <w:abstractNumId w:val="0"/>
  </w:num>
  <w:num w:numId="20" w16cid:durableId="15067011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755246331">
    <w:abstractNumId w:val="15"/>
  </w:num>
  <w:num w:numId="22" w16cid:durableId="1933662519">
    <w:abstractNumId w:val="17"/>
  </w:num>
  <w:num w:numId="23" w16cid:durableId="1452017355">
    <w:abstractNumId w:val="34"/>
  </w:num>
  <w:num w:numId="24" w16cid:durableId="1400640064">
    <w:abstractNumId w:val="57"/>
  </w:num>
  <w:num w:numId="25" w16cid:durableId="1515074236">
    <w:abstractNumId w:val="61"/>
  </w:num>
  <w:num w:numId="26" w16cid:durableId="296421728">
    <w:abstractNumId w:val="62"/>
  </w:num>
  <w:num w:numId="27" w16cid:durableId="1755857689">
    <w:abstractNumId w:val="69"/>
  </w:num>
  <w:num w:numId="28" w16cid:durableId="1743723238">
    <w:abstractNumId w:val="78"/>
  </w:num>
  <w:num w:numId="29" w16cid:durableId="601183350">
    <w:abstractNumId w:val="9"/>
  </w:num>
  <w:num w:numId="30" w16cid:durableId="1931499441">
    <w:abstractNumId w:val="24"/>
  </w:num>
  <w:num w:numId="31" w16cid:durableId="1892233216">
    <w:abstractNumId w:val="13"/>
  </w:num>
  <w:num w:numId="32" w16cid:durableId="784816030">
    <w:abstractNumId w:val="83"/>
  </w:num>
  <w:num w:numId="33" w16cid:durableId="665278962">
    <w:abstractNumId w:val="21"/>
  </w:num>
  <w:num w:numId="34" w16cid:durableId="150219605">
    <w:abstractNumId w:val="20"/>
  </w:num>
  <w:num w:numId="35" w16cid:durableId="2133867261">
    <w:abstractNumId w:val="60"/>
  </w:num>
  <w:num w:numId="36" w16cid:durableId="878204292">
    <w:abstractNumId w:val="79"/>
  </w:num>
  <w:num w:numId="37" w16cid:durableId="1909269350">
    <w:abstractNumId w:val="19"/>
  </w:num>
  <w:num w:numId="38" w16cid:durableId="1120732086">
    <w:abstractNumId w:val="40"/>
  </w:num>
  <w:num w:numId="39" w16cid:durableId="2087145868">
    <w:abstractNumId w:val="47"/>
  </w:num>
  <w:num w:numId="40" w16cid:durableId="837765362">
    <w:abstractNumId w:val="18"/>
  </w:num>
  <w:num w:numId="41" w16cid:durableId="990868885">
    <w:abstractNumId w:val="37"/>
  </w:num>
  <w:num w:numId="42" w16cid:durableId="703748188">
    <w:abstractNumId w:val="35"/>
  </w:num>
  <w:num w:numId="43" w16cid:durableId="161312060">
    <w:abstractNumId w:val="55"/>
  </w:num>
  <w:num w:numId="44" w16cid:durableId="1711030651">
    <w:abstractNumId w:val="33"/>
  </w:num>
  <w:num w:numId="45" w16cid:durableId="1218778379">
    <w:abstractNumId w:val="65"/>
  </w:num>
  <w:num w:numId="46" w16cid:durableId="1831826727">
    <w:abstractNumId w:val="14"/>
  </w:num>
  <w:num w:numId="47" w16cid:durableId="603155275">
    <w:abstractNumId w:val="59"/>
  </w:num>
  <w:num w:numId="48" w16cid:durableId="1612008514">
    <w:abstractNumId w:val="67"/>
  </w:num>
  <w:num w:numId="49" w16cid:durableId="1200358314">
    <w:abstractNumId w:val="32"/>
  </w:num>
  <w:num w:numId="50" w16cid:durableId="1382093471">
    <w:abstractNumId w:val="45"/>
  </w:num>
  <w:num w:numId="51" w16cid:durableId="121075336">
    <w:abstractNumId w:val="48"/>
  </w:num>
  <w:num w:numId="52" w16cid:durableId="438843638">
    <w:abstractNumId w:val="58"/>
  </w:num>
  <w:num w:numId="53" w16cid:durableId="26234351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901406475">
    <w:abstractNumId w:val="71"/>
  </w:num>
  <w:num w:numId="55" w16cid:durableId="1710449136">
    <w:abstractNumId w:val="30"/>
  </w:num>
  <w:num w:numId="56" w16cid:durableId="2125689112">
    <w:abstractNumId w:val="81"/>
  </w:num>
  <w:num w:numId="57" w16cid:durableId="1906836660">
    <w:abstractNumId w:val="23"/>
  </w:num>
  <w:num w:numId="58" w16cid:durableId="553002957">
    <w:abstractNumId w:val="39"/>
  </w:num>
  <w:num w:numId="59" w16cid:durableId="521016832">
    <w:abstractNumId w:val="49"/>
  </w:num>
  <w:num w:numId="60" w16cid:durableId="989947138">
    <w:abstractNumId w:val="52"/>
  </w:num>
  <w:num w:numId="61" w16cid:durableId="1313564915">
    <w:abstractNumId w:val="36"/>
  </w:num>
  <w:num w:numId="62" w16cid:durableId="1997537418">
    <w:abstractNumId w:val="73"/>
  </w:num>
  <w:num w:numId="63" w16cid:durableId="1864249933">
    <w:abstractNumId w:val="7"/>
  </w:num>
  <w:num w:numId="64" w16cid:durableId="1874146263">
    <w:abstractNumId w:val="42"/>
  </w:num>
  <w:num w:numId="65" w16cid:durableId="1833523401">
    <w:abstractNumId w:val="74"/>
  </w:num>
  <w:num w:numId="66" w16cid:durableId="1846824949">
    <w:abstractNumId w:val="11"/>
  </w:num>
  <w:num w:numId="67" w16cid:durableId="734470813">
    <w:abstractNumId w:val="76"/>
  </w:num>
  <w:num w:numId="68" w16cid:durableId="139882832">
    <w:abstractNumId w:val="77"/>
  </w:num>
  <w:num w:numId="69" w16cid:durableId="1681664717">
    <w:abstractNumId w:val="16"/>
  </w:num>
  <w:num w:numId="70" w16cid:durableId="661933909">
    <w:abstractNumId w:val="68"/>
  </w:num>
  <w:num w:numId="71" w16cid:durableId="14894269">
    <w:abstractNumId w:val="1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5FD3"/>
    <w:rsid w:val="0000030A"/>
    <w:rsid w:val="00000547"/>
    <w:rsid w:val="00000657"/>
    <w:rsid w:val="0000096C"/>
    <w:rsid w:val="000062F8"/>
    <w:rsid w:val="000070A3"/>
    <w:rsid w:val="000071F8"/>
    <w:rsid w:val="000074A7"/>
    <w:rsid w:val="00007773"/>
    <w:rsid w:val="00007D52"/>
    <w:rsid w:val="00010A10"/>
    <w:rsid w:val="00010FF3"/>
    <w:rsid w:val="000118AF"/>
    <w:rsid w:val="0001207E"/>
    <w:rsid w:val="000122C5"/>
    <w:rsid w:val="00012B47"/>
    <w:rsid w:val="00012D3C"/>
    <w:rsid w:val="0001371B"/>
    <w:rsid w:val="000144B0"/>
    <w:rsid w:val="00016875"/>
    <w:rsid w:val="00016B6E"/>
    <w:rsid w:val="00020122"/>
    <w:rsid w:val="0002083F"/>
    <w:rsid w:val="000208C7"/>
    <w:rsid w:val="00020A3F"/>
    <w:rsid w:val="00020DC9"/>
    <w:rsid w:val="00022366"/>
    <w:rsid w:val="00024CA6"/>
    <w:rsid w:val="0002502F"/>
    <w:rsid w:val="000313FD"/>
    <w:rsid w:val="000324DA"/>
    <w:rsid w:val="00033191"/>
    <w:rsid w:val="00035408"/>
    <w:rsid w:val="000414BA"/>
    <w:rsid w:val="00041C7B"/>
    <w:rsid w:val="00041CB5"/>
    <w:rsid w:val="00042B83"/>
    <w:rsid w:val="00044C29"/>
    <w:rsid w:val="00045504"/>
    <w:rsid w:val="00046FA9"/>
    <w:rsid w:val="000472F0"/>
    <w:rsid w:val="00051CBC"/>
    <w:rsid w:val="00052A23"/>
    <w:rsid w:val="000550D7"/>
    <w:rsid w:val="000559A1"/>
    <w:rsid w:val="00055D86"/>
    <w:rsid w:val="000564C7"/>
    <w:rsid w:val="0005673C"/>
    <w:rsid w:val="0005727A"/>
    <w:rsid w:val="00057AE3"/>
    <w:rsid w:val="00060145"/>
    <w:rsid w:val="00060E6F"/>
    <w:rsid w:val="00060F8D"/>
    <w:rsid w:val="00062CAE"/>
    <w:rsid w:val="00063144"/>
    <w:rsid w:val="00065108"/>
    <w:rsid w:val="00066A0E"/>
    <w:rsid w:val="00070A7A"/>
    <w:rsid w:val="000741D7"/>
    <w:rsid w:val="000800D5"/>
    <w:rsid w:val="000807A0"/>
    <w:rsid w:val="0008095F"/>
    <w:rsid w:val="00081C5C"/>
    <w:rsid w:val="00082AEE"/>
    <w:rsid w:val="00082CBA"/>
    <w:rsid w:val="00083084"/>
    <w:rsid w:val="000850AB"/>
    <w:rsid w:val="000850E7"/>
    <w:rsid w:val="00085E1A"/>
    <w:rsid w:val="00086270"/>
    <w:rsid w:val="00086409"/>
    <w:rsid w:val="0009028F"/>
    <w:rsid w:val="00090AB3"/>
    <w:rsid w:val="00091019"/>
    <w:rsid w:val="00091CEE"/>
    <w:rsid w:val="00092282"/>
    <w:rsid w:val="00094AC3"/>
    <w:rsid w:val="00094BB1"/>
    <w:rsid w:val="00095D5F"/>
    <w:rsid w:val="00095F91"/>
    <w:rsid w:val="000964B6"/>
    <w:rsid w:val="00097D80"/>
    <w:rsid w:val="00097E7C"/>
    <w:rsid w:val="000A013A"/>
    <w:rsid w:val="000A16C0"/>
    <w:rsid w:val="000A1B5C"/>
    <w:rsid w:val="000A330B"/>
    <w:rsid w:val="000A6438"/>
    <w:rsid w:val="000A6845"/>
    <w:rsid w:val="000A7900"/>
    <w:rsid w:val="000B20DB"/>
    <w:rsid w:val="000B2C0A"/>
    <w:rsid w:val="000B32F9"/>
    <w:rsid w:val="000B439D"/>
    <w:rsid w:val="000B63DE"/>
    <w:rsid w:val="000B674F"/>
    <w:rsid w:val="000C1A12"/>
    <w:rsid w:val="000C1AF3"/>
    <w:rsid w:val="000C3FA1"/>
    <w:rsid w:val="000C41FA"/>
    <w:rsid w:val="000C6E78"/>
    <w:rsid w:val="000D12D6"/>
    <w:rsid w:val="000D1963"/>
    <w:rsid w:val="000D212B"/>
    <w:rsid w:val="000D21EF"/>
    <w:rsid w:val="000D3427"/>
    <w:rsid w:val="000D41D7"/>
    <w:rsid w:val="000D44B0"/>
    <w:rsid w:val="000D515D"/>
    <w:rsid w:val="000D5744"/>
    <w:rsid w:val="000D6FFD"/>
    <w:rsid w:val="000E0AC6"/>
    <w:rsid w:val="000E21F0"/>
    <w:rsid w:val="000E296A"/>
    <w:rsid w:val="000E3307"/>
    <w:rsid w:val="000E3584"/>
    <w:rsid w:val="000E4B24"/>
    <w:rsid w:val="000E525D"/>
    <w:rsid w:val="000E5915"/>
    <w:rsid w:val="000E71C5"/>
    <w:rsid w:val="000E7298"/>
    <w:rsid w:val="000F3332"/>
    <w:rsid w:val="000F533D"/>
    <w:rsid w:val="000F5F15"/>
    <w:rsid w:val="000F64A2"/>
    <w:rsid w:val="0010072B"/>
    <w:rsid w:val="001009D6"/>
    <w:rsid w:val="001019B6"/>
    <w:rsid w:val="00102490"/>
    <w:rsid w:val="001032FE"/>
    <w:rsid w:val="001035B8"/>
    <w:rsid w:val="0010526B"/>
    <w:rsid w:val="0010591B"/>
    <w:rsid w:val="00110896"/>
    <w:rsid w:val="0011398B"/>
    <w:rsid w:val="0011737B"/>
    <w:rsid w:val="001211BA"/>
    <w:rsid w:val="0012123C"/>
    <w:rsid w:val="00121DE3"/>
    <w:rsid w:val="00122371"/>
    <w:rsid w:val="00127480"/>
    <w:rsid w:val="00130249"/>
    <w:rsid w:val="00132695"/>
    <w:rsid w:val="00136432"/>
    <w:rsid w:val="00136BD4"/>
    <w:rsid w:val="00137DDC"/>
    <w:rsid w:val="00141EF8"/>
    <w:rsid w:val="00143A3F"/>
    <w:rsid w:val="001506AD"/>
    <w:rsid w:val="0015357E"/>
    <w:rsid w:val="001540CA"/>
    <w:rsid w:val="001542B1"/>
    <w:rsid w:val="0015455E"/>
    <w:rsid w:val="0015687D"/>
    <w:rsid w:val="00157D8D"/>
    <w:rsid w:val="00157EED"/>
    <w:rsid w:val="001613B4"/>
    <w:rsid w:val="00161FFC"/>
    <w:rsid w:val="00162F82"/>
    <w:rsid w:val="001640C5"/>
    <w:rsid w:val="001647C1"/>
    <w:rsid w:val="00165925"/>
    <w:rsid w:val="00171860"/>
    <w:rsid w:val="00173191"/>
    <w:rsid w:val="00174F69"/>
    <w:rsid w:val="001750B0"/>
    <w:rsid w:val="001766CF"/>
    <w:rsid w:val="0017715E"/>
    <w:rsid w:val="00177E74"/>
    <w:rsid w:val="00180422"/>
    <w:rsid w:val="00181591"/>
    <w:rsid w:val="00181C47"/>
    <w:rsid w:val="00184590"/>
    <w:rsid w:val="0018528F"/>
    <w:rsid w:val="00186ADE"/>
    <w:rsid w:val="0019247F"/>
    <w:rsid w:val="0019590D"/>
    <w:rsid w:val="00195B1E"/>
    <w:rsid w:val="001A174B"/>
    <w:rsid w:val="001A43FE"/>
    <w:rsid w:val="001A554B"/>
    <w:rsid w:val="001A63E0"/>
    <w:rsid w:val="001A6DCB"/>
    <w:rsid w:val="001B424A"/>
    <w:rsid w:val="001B577D"/>
    <w:rsid w:val="001B7697"/>
    <w:rsid w:val="001C0C6E"/>
    <w:rsid w:val="001C25C1"/>
    <w:rsid w:val="001C2813"/>
    <w:rsid w:val="001C2F5B"/>
    <w:rsid w:val="001C3300"/>
    <w:rsid w:val="001C348B"/>
    <w:rsid w:val="001C3D6F"/>
    <w:rsid w:val="001D0EBD"/>
    <w:rsid w:val="001D674B"/>
    <w:rsid w:val="001D782E"/>
    <w:rsid w:val="001E3345"/>
    <w:rsid w:val="001E3D3B"/>
    <w:rsid w:val="001E4C4F"/>
    <w:rsid w:val="001E4D6B"/>
    <w:rsid w:val="001E4E04"/>
    <w:rsid w:val="001E5171"/>
    <w:rsid w:val="001E53B9"/>
    <w:rsid w:val="001E5E1A"/>
    <w:rsid w:val="001E68CC"/>
    <w:rsid w:val="001F224B"/>
    <w:rsid w:val="001F66BE"/>
    <w:rsid w:val="001F72C0"/>
    <w:rsid w:val="002000CE"/>
    <w:rsid w:val="002023B4"/>
    <w:rsid w:val="00203836"/>
    <w:rsid w:val="002059C1"/>
    <w:rsid w:val="00207024"/>
    <w:rsid w:val="00212ED2"/>
    <w:rsid w:val="00213F67"/>
    <w:rsid w:val="002202F0"/>
    <w:rsid w:val="00221033"/>
    <w:rsid w:val="00222312"/>
    <w:rsid w:val="002239B1"/>
    <w:rsid w:val="00223D57"/>
    <w:rsid w:val="00223DA9"/>
    <w:rsid w:val="00226FC6"/>
    <w:rsid w:val="0022798C"/>
    <w:rsid w:val="0023001B"/>
    <w:rsid w:val="00230498"/>
    <w:rsid w:val="002342E3"/>
    <w:rsid w:val="00234DD9"/>
    <w:rsid w:val="00235BB2"/>
    <w:rsid w:val="00242E5F"/>
    <w:rsid w:val="0024594B"/>
    <w:rsid w:val="00245D74"/>
    <w:rsid w:val="0025018C"/>
    <w:rsid w:val="00251E7F"/>
    <w:rsid w:val="00254A9E"/>
    <w:rsid w:val="00255680"/>
    <w:rsid w:val="00255C02"/>
    <w:rsid w:val="002571E8"/>
    <w:rsid w:val="00261397"/>
    <w:rsid w:val="002630F8"/>
    <w:rsid w:val="002640A5"/>
    <w:rsid w:val="002650E3"/>
    <w:rsid w:val="00271B36"/>
    <w:rsid w:val="002735AD"/>
    <w:rsid w:val="002736BF"/>
    <w:rsid w:val="00277457"/>
    <w:rsid w:val="00277850"/>
    <w:rsid w:val="002802E0"/>
    <w:rsid w:val="00280947"/>
    <w:rsid w:val="002832D4"/>
    <w:rsid w:val="00283611"/>
    <w:rsid w:val="00284F8A"/>
    <w:rsid w:val="00286F08"/>
    <w:rsid w:val="00290267"/>
    <w:rsid w:val="002911D9"/>
    <w:rsid w:val="0029216A"/>
    <w:rsid w:val="00294863"/>
    <w:rsid w:val="00295759"/>
    <w:rsid w:val="002A24CA"/>
    <w:rsid w:val="002A6286"/>
    <w:rsid w:val="002A7091"/>
    <w:rsid w:val="002A72A4"/>
    <w:rsid w:val="002A76C8"/>
    <w:rsid w:val="002B0089"/>
    <w:rsid w:val="002B2482"/>
    <w:rsid w:val="002B25DE"/>
    <w:rsid w:val="002B4078"/>
    <w:rsid w:val="002B4FAC"/>
    <w:rsid w:val="002B5738"/>
    <w:rsid w:val="002C2AB8"/>
    <w:rsid w:val="002D02B8"/>
    <w:rsid w:val="002D04D5"/>
    <w:rsid w:val="002D3D71"/>
    <w:rsid w:val="002D423D"/>
    <w:rsid w:val="002D5467"/>
    <w:rsid w:val="002D7BED"/>
    <w:rsid w:val="002E0EC3"/>
    <w:rsid w:val="002E5433"/>
    <w:rsid w:val="002E6C1A"/>
    <w:rsid w:val="002E7CB8"/>
    <w:rsid w:val="002F0FC1"/>
    <w:rsid w:val="002F5A60"/>
    <w:rsid w:val="002F7286"/>
    <w:rsid w:val="002F7D7F"/>
    <w:rsid w:val="002F7F5B"/>
    <w:rsid w:val="003011FF"/>
    <w:rsid w:val="0030278D"/>
    <w:rsid w:val="00302FF5"/>
    <w:rsid w:val="003031F3"/>
    <w:rsid w:val="003032E0"/>
    <w:rsid w:val="00303342"/>
    <w:rsid w:val="00304B27"/>
    <w:rsid w:val="0030761A"/>
    <w:rsid w:val="00310401"/>
    <w:rsid w:val="00312F5D"/>
    <w:rsid w:val="00313956"/>
    <w:rsid w:val="00315E14"/>
    <w:rsid w:val="00316EAA"/>
    <w:rsid w:val="00317980"/>
    <w:rsid w:val="00320306"/>
    <w:rsid w:val="00320860"/>
    <w:rsid w:val="003211AD"/>
    <w:rsid w:val="00322039"/>
    <w:rsid w:val="00324E8D"/>
    <w:rsid w:val="003255C9"/>
    <w:rsid w:val="00325E9D"/>
    <w:rsid w:val="0032634B"/>
    <w:rsid w:val="00327CE2"/>
    <w:rsid w:val="00330900"/>
    <w:rsid w:val="003318B5"/>
    <w:rsid w:val="00331C62"/>
    <w:rsid w:val="0033485D"/>
    <w:rsid w:val="00335E22"/>
    <w:rsid w:val="003416E3"/>
    <w:rsid w:val="00342168"/>
    <w:rsid w:val="00342756"/>
    <w:rsid w:val="003438E5"/>
    <w:rsid w:val="00344556"/>
    <w:rsid w:val="0034587C"/>
    <w:rsid w:val="00347438"/>
    <w:rsid w:val="00347A60"/>
    <w:rsid w:val="0035097D"/>
    <w:rsid w:val="0035176A"/>
    <w:rsid w:val="003523AC"/>
    <w:rsid w:val="003547C3"/>
    <w:rsid w:val="00356E14"/>
    <w:rsid w:val="00357197"/>
    <w:rsid w:val="00360F73"/>
    <w:rsid w:val="00363618"/>
    <w:rsid w:val="00364E01"/>
    <w:rsid w:val="00365B7E"/>
    <w:rsid w:val="00366149"/>
    <w:rsid w:val="00366746"/>
    <w:rsid w:val="00370CF7"/>
    <w:rsid w:val="003715EF"/>
    <w:rsid w:val="003717D6"/>
    <w:rsid w:val="003809AA"/>
    <w:rsid w:val="003811C0"/>
    <w:rsid w:val="00381A26"/>
    <w:rsid w:val="00383FB1"/>
    <w:rsid w:val="00384DB7"/>
    <w:rsid w:val="00384E86"/>
    <w:rsid w:val="00384F7D"/>
    <w:rsid w:val="00385C26"/>
    <w:rsid w:val="003876FA"/>
    <w:rsid w:val="003909F9"/>
    <w:rsid w:val="00392D0D"/>
    <w:rsid w:val="003945E5"/>
    <w:rsid w:val="0039529E"/>
    <w:rsid w:val="00396EF8"/>
    <w:rsid w:val="00397368"/>
    <w:rsid w:val="003A2112"/>
    <w:rsid w:val="003A2752"/>
    <w:rsid w:val="003A305D"/>
    <w:rsid w:val="003B023D"/>
    <w:rsid w:val="003B0A5B"/>
    <w:rsid w:val="003B1773"/>
    <w:rsid w:val="003B24FE"/>
    <w:rsid w:val="003B2689"/>
    <w:rsid w:val="003B2983"/>
    <w:rsid w:val="003B7827"/>
    <w:rsid w:val="003C1B14"/>
    <w:rsid w:val="003C1D06"/>
    <w:rsid w:val="003C1F66"/>
    <w:rsid w:val="003C2151"/>
    <w:rsid w:val="003C6FE1"/>
    <w:rsid w:val="003D4A18"/>
    <w:rsid w:val="003D4C5B"/>
    <w:rsid w:val="003D4C7A"/>
    <w:rsid w:val="003D5B44"/>
    <w:rsid w:val="003D6337"/>
    <w:rsid w:val="003E12B7"/>
    <w:rsid w:val="003E18BE"/>
    <w:rsid w:val="003E1C38"/>
    <w:rsid w:val="003E2507"/>
    <w:rsid w:val="003E2D68"/>
    <w:rsid w:val="003E3EED"/>
    <w:rsid w:val="003E5F4D"/>
    <w:rsid w:val="003E6E93"/>
    <w:rsid w:val="003F0D32"/>
    <w:rsid w:val="003F12A9"/>
    <w:rsid w:val="003F12D3"/>
    <w:rsid w:val="003F1F3D"/>
    <w:rsid w:val="003F4783"/>
    <w:rsid w:val="003F7EDE"/>
    <w:rsid w:val="00404533"/>
    <w:rsid w:val="004065DF"/>
    <w:rsid w:val="00412BB4"/>
    <w:rsid w:val="00413808"/>
    <w:rsid w:val="00413877"/>
    <w:rsid w:val="00413D20"/>
    <w:rsid w:val="004147E1"/>
    <w:rsid w:val="004158AD"/>
    <w:rsid w:val="0041639D"/>
    <w:rsid w:val="00420020"/>
    <w:rsid w:val="00420685"/>
    <w:rsid w:val="00420CF7"/>
    <w:rsid w:val="0042598D"/>
    <w:rsid w:val="004260F1"/>
    <w:rsid w:val="00431ED3"/>
    <w:rsid w:val="004329E2"/>
    <w:rsid w:val="004342DB"/>
    <w:rsid w:val="004346F6"/>
    <w:rsid w:val="004360AC"/>
    <w:rsid w:val="004367BD"/>
    <w:rsid w:val="0044336E"/>
    <w:rsid w:val="004455D3"/>
    <w:rsid w:val="00447B5E"/>
    <w:rsid w:val="00452B12"/>
    <w:rsid w:val="00452BFF"/>
    <w:rsid w:val="004537C7"/>
    <w:rsid w:val="0045506E"/>
    <w:rsid w:val="004554B8"/>
    <w:rsid w:val="00455672"/>
    <w:rsid w:val="00456410"/>
    <w:rsid w:val="00463333"/>
    <w:rsid w:val="00463881"/>
    <w:rsid w:val="004661EE"/>
    <w:rsid w:val="00467168"/>
    <w:rsid w:val="004673AF"/>
    <w:rsid w:val="00470B0D"/>
    <w:rsid w:val="00470D47"/>
    <w:rsid w:val="00470FCA"/>
    <w:rsid w:val="0047332E"/>
    <w:rsid w:val="004752F4"/>
    <w:rsid w:val="004776AF"/>
    <w:rsid w:val="00477DCD"/>
    <w:rsid w:val="004826D1"/>
    <w:rsid w:val="00483465"/>
    <w:rsid w:val="0048635C"/>
    <w:rsid w:val="0048715B"/>
    <w:rsid w:val="00487C30"/>
    <w:rsid w:val="00491E3A"/>
    <w:rsid w:val="00495FE3"/>
    <w:rsid w:val="004A0C44"/>
    <w:rsid w:val="004A1312"/>
    <w:rsid w:val="004A3A74"/>
    <w:rsid w:val="004A42B8"/>
    <w:rsid w:val="004A42E9"/>
    <w:rsid w:val="004A4ABE"/>
    <w:rsid w:val="004A53EA"/>
    <w:rsid w:val="004A6FD1"/>
    <w:rsid w:val="004B1D56"/>
    <w:rsid w:val="004B5CB2"/>
    <w:rsid w:val="004B7C24"/>
    <w:rsid w:val="004C1D1B"/>
    <w:rsid w:val="004C2194"/>
    <w:rsid w:val="004C2684"/>
    <w:rsid w:val="004C277C"/>
    <w:rsid w:val="004C38B2"/>
    <w:rsid w:val="004C48D1"/>
    <w:rsid w:val="004C58DD"/>
    <w:rsid w:val="004C5950"/>
    <w:rsid w:val="004C65F3"/>
    <w:rsid w:val="004C77DA"/>
    <w:rsid w:val="004D2236"/>
    <w:rsid w:val="004D2E19"/>
    <w:rsid w:val="004D3A51"/>
    <w:rsid w:val="004D574F"/>
    <w:rsid w:val="004D5A9B"/>
    <w:rsid w:val="004D6743"/>
    <w:rsid w:val="004D6E60"/>
    <w:rsid w:val="004E0F9F"/>
    <w:rsid w:val="004E1825"/>
    <w:rsid w:val="004E5063"/>
    <w:rsid w:val="004E7220"/>
    <w:rsid w:val="004F0ECA"/>
    <w:rsid w:val="004F5989"/>
    <w:rsid w:val="005008D6"/>
    <w:rsid w:val="00500FE2"/>
    <w:rsid w:val="005019C6"/>
    <w:rsid w:val="0050238D"/>
    <w:rsid w:val="00505576"/>
    <w:rsid w:val="00506924"/>
    <w:rsid w:val="00506CD5"/>
    <w:rsid w:val="00507823"/>
    <w:rsid w:val="00516055"/>
    <w:rsid w:val="005164B8"/>
    <w:rsid w:val="0052204B"/>
    <w:rsid w:val="0052397F"/>
    <w:rsid w:val="00526690"/>
    <w:rsid w:val="00527179"/>
    <w:rsid w:val="00530912"/>
    <w:rsid w:val="00531F4D"/>
    <w:rsid w:val="00532569"/>
    <w:rsid w:val="00543EFD"/>
    <w:rsid w:val="00544315"/>
    <w:rsid w:val="00544733"/>
    <w:rsid w:val="00546120"/>
    <w:rsid w:val="005475CC"/>
    <w:rsid w:val="005534FD"/>
    <w:rsid w:val="00554CBD"/>
    <w:rsid w:val="00555052"/>
    <w:rsid w:val="0055533A"/>
    <w:rsid w:val="00555B9F"/>
    <w:rsid w:val="00556AB6"/>
    <w:rsid w:val="00561024"/>
    <w:rsid w:val="005647D9"/>
    <w:rsid w:val="00564ABE"/>
    <w:rsid w:val="00564BAA"/>
    <w:rsid w:val="00564E8F"/>
    <w:rsid w:val="005659BD"/>
    <w:rsid w:val="00565A22"/>
    <w:rsid w:val="0057194E"/>
    <w:rsid w:val="005750BD"/>
    <w:rsid w:val="0057579F"/>
    <w:rsid w:val="00575DC8"/>
    <w:rsid w:val="005826E2"/>
    <w:rsid w:val="00582DEA"/>
    <w:rsid w:val="005850CB"/>
    <w:rsid w:val="005854FE"/>
    <w:rsid w:val="00585541"/>
    <w:rsid w:val="005858DF"/>
    <w:rsid w:val="005859ED"/>
    <w:rsid w:val="0058606A"/>
    <w:rsid w:val="00587DF4"/>
    <w:rsid w:val="0059249B"/>
    <w:rsid w:val="00594D5B"/>
    <w:rsid w:val="00595C5C"/>
    <w:rsid w:val="005969C6"/>
    <w:rsid w:val="00597480"/>
    <w:rsid w:val="005A0544"/>
    <w:rsid w:val="005A0CA9"/>
    <w:rsid w:val="005A0EFF"/>
    <w:rsid w:val="005A39F8"/>
    <w:rsid w:val="005A70CB"/>
    <w:rsid w:val="005B0A34"/>
    <w:rsid w:val="005B20CC"/>
    <w:rsid w:val="005B2EF0"/>
    <w:rsid w:val="005B4256"/>
    <w:rsid w:val="005B4433"/>
    <w:rsid w:val="005B4BE5"/>
    <w:rsid w:val="005B4C2B"/>
    <w:rsid w:val="005B5825"/>
    <w:rsid w:val="005B773F"/>
    <w:rsid w:val="005B7E88"/>
    <w:rsid w:val="005C2A23"/>
    <w:rsid w:val="005C2E66"/>
    <w:rsid w:val="005C580B"/>
    <w:rsid w:val="005C7BBC"/>
    <w:rsid w:val="005D04F5"/>
    <w:rsid w:val="005D2042"/>
    <w:rsid w:val="005D34D0"/>
    <w:rsid w:val="005D4B65"/>
    <w:rsid w:val="005D4EB3"/>
    <w:rsid w:val="005D6F70"/>
    <w:rsid w:val="005E01F2"/>
    <w:rsid w:val="005E0CBA"/>
    <w:rsid w:val="005E2FAC"/>
    <w:rsid w:val="005E5359"/>
    <w:rsid w:val="005F404D"/>
    <w:rsid w:val="005F6994"/>
    <w:rsid w:val="005F69FF"/>
    <w:rsid w:val="005F7163"/>
    <w:rsid w:val="006001FF"/>
    <w:rsid w:val="00600F40"/>
    <w:rsid w:val="006034DF"/>
    <w:rsid w:val="006042AB"/>
    <w:rsid w:val="00606FAD"/>
    <w:rsid w:val="0061455B"/>
    <w:rsid w:val="006145E5"/>
    <w:rsid w:val="00614F8E"/>
    <w:rsid w:val="00615A4A"/>
    <w:rsid w:val="00615BFC"/>
    <w:rsid w:val="00617B20"/>
    <w:rsid w:val="00620228"/>
    <w:rsid w:val="00620C0B"/>
    <w:rsid w:val="006210A4"/>
    <w:rsid w:val="00621217"/>
    <w:rsid w:val="00621BA2"/>
    <w:rsid w:val="00621CAF"/>
    <w:rsid w:val="00624E48"/>
    <w:rsid w:val="0062557E"/>
    <w:rsid w:val="00626457"/>
    <w:rsid w:val="00630E31"/>
    <w:rsid w:val="006312AE"/>
    <w:rsid w:val="00631C8F"/>
    <w:rsid w:val="00633C08"/>
    <w:rsid w:val="00633D59"/>
    <w:rsid w:val="00636B1C"/>
    <w:rsid w:val="006402B0"/>
    <w:rsid w:val="00640BEB"/>
    <w:rsid w:val="00641FC2"/>
    <w:rsid w:val="00642C5F"/>
    <w:rsid w:val="0064326B"/>
    <w:rsid w:val="00643DD9"/>
    <w:rsid w:val="00646537"/>
    <w:rsid w:val="00646BF4"/>
    <w:rsid w:val="00652BC7"/>
    <w:rsid w:val="00653E57"/>
    <w:rsid w:val="00655E38"/>
    <w:rsid w:val="00655E99"/>
    <w:rsid w:val="0065644F"/>
    <w:rsid w:val="006578E0"/>
    <w:rsid w:val="0066038F"/>
    <w:rsid w:val="006621E2"/>
    <w:rsid w:val="00662200"/>
    <w:rsid w:val="00662931"/>
    <w:rsid w:val="0066356A"/>
    <w:rsid w:val="006636C7"/>
    <w:rsid w:val="0066595E"/>
    <w:rsid w:val="00667F65"/>
    <w:rsid w:val="0067388B"/>
    <w:rsid w:val="00675D90"/>
    <w:rsid w:val="006770C4"/>
    <w:rsid w:val="00677782"/>
    <w:rsid w:val="00680056"/>
    <w:rsid w:val="00680D5A"/>
    <w:rsid w:val="006868D6"/>
    <w:rsid w:val="00687678"/>
    <w:rsid w:val="00687A36"/>
    <w:rsid w:val="00691875"/>
    <w:rsid w:val="00692485"/>
    <w:rsid w:val="006938BD"/>
    <w:rsid w:val="00694993"/>
    <w:rsid w:val="00694CD1"/>
    <w:rsid w:val="0069510A"/>
    <w:rsid w:val="0069543D"/>
    <w:rsid w:val="006A2461"/>
    <w:rsid w:val="006A280C"/>
    <w:rsid w:val="006A3390"/>
    <w:rsid w:val="006A48F1"/>
    <w:rsid w:val="006A49E9"/>
    <w:rsid w:val="006A4A14"/>
    <w:rsid w:val="006A694A"/>
    <w:rsid w:val="006B21DC"/>
    <w:rsid w:val="006B338C"/>
    <w:rsid w:val="006B4924"/>
    <w:rsid w:val="006C0E9C"/>
    <w:rsid w:val="006C1B14"/>
    <w:rsid w:val="006C1B74"/>
    <w:rsid w:val="006C2D46"/>
    <w:rsid w:val="006C58AD"/>
    <w:rsid w:val="006C5C16"/>
    <w:rsid w:val="006C6C9B"/>
    <w:rsid w:val="006D034B"/>
    <w:rsid w:val="006D0C96"/>
    <w:rsid w:val="006D2394"/>
    <w:rsid w:val="006D591E"/>
    <w:rsid w:val="006D59A2"/>
    <w:rsid w:val="006D797F"/>
    <w:rsid w:val="006D7B38"/>
    <w:rsid w:val="006E3055"/>
    <w:rsid w:val="006E3AC8"/>
    <w:rsid w:val="006E5541"/>
    <w:rsid w:val="006E560A"/>
    <w:rsid w:val="006F1102"/>
    <w:rsid w:val="006F1C5C"/>
    <w:rsid w:val="006F3AD9"/>
    <w:rsid w:val="006F5931"/>
    <w:rsid w:val="006F5DA1"/>
    <w:rsid w:val="006F65D3"/>
    <w:rsid w:val="00700A14"/>
    <w:rsid w:val="00700DF8"/>
    <w:rsid w:val="00707EEE"/>
    <w:rsid w:val="007127E5"/>
    <w:rsid w:val="00716327"/>
    <w:rsid w:val="00716C8F"/>
    <w:rsid w:val="00723545"/>
    <w:rsid w:val="00723BBD"/>
    <w:rsid w:val="00725E31"/>
    <w:rsid w:val="007307F9"/>
    <w:rsid w:val="00732F11"/>
    <w:rsid w:val="007331DC"/>
    <w:rsid w:val="00735606"/>
    <w:rsid w:val="00735891"/>
    <w:rsid w:val="00740CBD"/>
    <w:rsid w:val="007410C4"/>
    <w:rsid w:val="00741726"/>
    <w:rsid w:val="0074210C"/>
    <w:rsid w:val="00746B73"/>
    <w:rsid w:val="00746FCB"/>
    <w:rsid w:val="00747B57"/>
    <w:rsid w:val="00751CA6"/>
    <w:rsid w:val="007605ED"/>
    <w:rsid w:val="00760DC3"/>
    <w:rsid w:val="00760DD1"/>
    <w:rsid w:val="00760FCF"/>
    <w:rsid w:val="0076119D"/>
    <w:rsid w:val="00764265"/>
    <w:rsid w:val="00766183"/>
    <w:rsid w:val="00766A8E"/>
    <w:rsid w:val="007710EF"/>
    <w:rsid w:val="00772BA2"/>
    <w:rsid w:val="007734FA"/>
    <w:rsid w:val="007743E2"/>
    <w:rsid w:val="00776581"/>
    <w:rsid w:val="007813E4"/>
    <w:rsid w:val="00781728"/>
    <w:rsid w:val="0078296F"/>
    <w:rsid w:val="00783386"/>
    <w:rsid w:val="00783AD1"/>
    <w:rsid w:val="007840DB"/>
    <w:rsid w:val="00784111"/>
    <w:rsid w:val="00784471"/>
    <w:rsid w:val="00784601"/>
    <w:rsid w:val="00790B81"/>
    <w:rsid w:val="00792BA3"/>
    <w:rsid w:val="00792DA2"/>
    <w:rsid w:val="00792E37"/>
    <w:rsid w:val="007A19CA"/>
    <w:rsid w:val="007A228E"/>
    <w:rsid w:val="007A675C"/>
    <w:rsid w:val="007B0144"/>
    <w:rsid w:val="007B1410"/>
    <w:rsid w:val="007B3C57"/>
    <w:rsid w:val="007B6A5F"/>
    <w:rsid w:val="007C0C01"/>
    <w:rsid w:val="007C1A4F"/>
    <w:rsid w:val="007C23B8"/>
    <w:rsid w:val="007C293D"/>
    <w:rsid w:val="007C58E4"/>
    <w:rsid w:val="007D15FF"/>
    <w:rsid w:val="007D1719"/>
    <w:rsid w:val="007D2788"/>
    <w:rsid w:val="007D3904"/>
    <w:rsid w:val="007D50EF"/>
    <w:rsid w:val="007E1F3F"/>
    <w:rsid w:val="007E31EA"/>
    <w:rsid w:val="007E41B8"/>
    <w:rsid w:val="007E6B83"/>
    <w:rsid w:val="007E7719"/>
    <w:rsid w:val="007E7C11"/>
    <w:rsid w:val="007E7E1C"/>
    <w:rsid w:val="007F063B"/>
    <w:rsid w:val="007F131B"/>
    <w:rsid w:val="007F3E4C"/>
    <w:rsid w:val="008013B3"/>
    <w:rsid w:val="00805019"/>
    <w:rsid w:val="0080759F"/>
    <w:rsid w:val="008100E9"/>
    <w:rsid w:val="00812BB1"/>
    <w:rsid w:val="00813867"/>
    <w:rsid w:val="008143AB"/>
    <w:rsid w:val="00814E44"/>
    <w:rsid w:val="00816AE2"/>
    <w:rsid w:val="008172AE"/>
    <w:rsid w:val="00820E4A"/>
    <w:rsid w:val="00824D7A"/>
    <w:rsid w:val="00826B64"/>
    <w:rsid w:val="00830E04"/>
    <w:rsid w:val="008331D5"/>
    <w:rsid w:val="008341B8"/>
    <w:rsid w:val="00840A6F"/>
    <w:rsid w:val="00840BF5"/>
    <w:rsid w:val="008453B2"/>
    <w:rsid w:val="00847617"/>
    <w:rsid w:val="00850AFE"/>
    <w:rsid w:val="00850C88"/>
    <w:rsid w:val="00850DE5"/>
    <w:rsid w:val="00854F22"/>
    <w:rsid w:val="00855F00"/>
    <w:rsid w:val="00856AE7"/>
    <w:rsid w:val="00856F94"/>
    <w:rsid w:val="00860FA5"/>
    <w:rsid w:val="00861DDF"/>
    <w:rsid w:val="0086212B"/>
    <w:rsid w:val="00863025"/>
    <w:rsid w:val="0086369A"/>
    <w:rsid w:val="00863BB2"/>
    <w:rsid w:val="00865ECB"/>
    <w:rsid w:val="008666B1"/>
    <w:rsid w:val="00866A52"/>
    <w:rsid w:val="008704B0"/>
    <w:rsid w:val="00870C80"/>
    <w:rsid w:val="00871917"/>
    <w:rsid w:val="00871B9D"/>
    <w:rsid w:val="008723D8"/>
    <w:rsid w:val="00872865"/>
    <w:rsid w:val="0087338C"/>
    <w:rsid w:val="00873D72"/>
    <w:rsid w:val="008744CF"/>
    <w:rsid w:val="0087670A"/>
    <w:rsid w:val="00882529"/>
    <w:rsid w:val="008826EF"/>
    <w:rsid w:val="008828A2"/>
    <w:rsid w:val="00883645"/>
    <w:rsid w:val="008857A8"/>
    <w:rsid w:val="008870B6"/>
    <w:rsid w:val="00887312"/>
    <w:rsid w:val="00891296"/>
    <w:rsid w:val="008938DB"/>
    <w:rsid w:val="00893F05"/>
    <w:rsid w:val="00894626"/>
    <w:rsid w:val="0089474A"/>
    <w:rsid w:val="008958DD"/>
    <w:rsid w:val="00895C3B"/>
    <w:rsid w:val="00895F92"/>
    <w:rsid w:val="008A1FF1"/>
    <w:rsid w:val="008A2B82"/>
    <w:rsid w:val="008A38AD"/>
    <w:rsid w:val="008A5694"/>
    <w:rsid w:val="008A5BB3"/>
    <w:rsid w:val="008A6CB6"/>
    <w:rsid w:val="008A7019"/>
    <w:rsid w:val="008B1BCA"/>
    <w:rsid w:val="008B274E"/>
    <w:rsid w:val="008B2DB2"/>
    <w:rsid w:val="008B2F83"/>
    <w:rsid w:val="008B35A2"/>
    <w:rsid w:val="008B5773"/>
    <w:rsid w:val="008B6FA7"/>
    <w:rsid w:val="008B79AC"/>
    <w:rsid w:val="008B7A40"/>
    <w:rsid w:val="008C0DA3"/>
    <w:rsid w:val="008C2A1B"/>
    <w:rsid w:val="008C36DB"/>
    <w:rsid w:val="008C3CC6"/>
    <w:rsid w:val="008C6B65"/>
    <w:rsid w:val="008C78B8"/>
    <w:rsid w:val="008C7DD5"/>
    <w:rsid w:val="008D0094"/>
    <w:rsid w:val="008D01DA"/>
    <w:rsid w:val="008D1041"/>
    <w:rsid w:val="008D1492"/>
    <w:rsid w:val="008D1E7A"/>
    <w:rsid w:val="008D2083"/>
    <w:rsid w:val="008D5107"/>
    <w:rsid w:val="008D5C57"/>
    <w:rsid w:val="008D627B"/>
    <w:rsid w:val="008D70A5"/>
    <w:rsid w:val="008D7663"/>
    <w:rsid w:val="008E2EA3"/>
    <w:rsid w:val="008E3561"/>
    <w:rsid w:val="008E54B8"/>
    <w:rsid w:val="008E5561"/>
    <w:rsid w:val="008E6B09"/>
    <w:rsid w:val="008E763A"/>
    <w:rsid w:val="008F1384"/>
    <w:rsid w:val="008F24EB"/>
    <w:rsid w:val="008F2E44"/>
    <w:rsid w:val="008F3A9B"/>
    <w:rsid w:val="008F7BD8"/>
    <w:rsid w:val="009019D0"/>
    <w:rsid w:val="00901F61"/>
    <w:rsid w:val="009033DA"/>
    <w:rsid w:val="009073AA"/>
    <w:rsid w:val="0091084F"/>
    <w:rsid w:val="009109D9"/>
    <w:rsid w:val="00910D0C"/>
    <w:rsid w:val="00911C10"/>
    <w:rsid w:val="00912119"/>
    <w:rsid w:val="00912466"/>
    <w:rsid w:val="00916994"/>
    <w:rsid w:val="00917F2B"/>
    <w:rsid w:val="00920158"/>
    <w:rsid w:val="00926F2E"/>
    <w:rsid w:val="0093170F"/>
    <w:rsid w:val="009322A3"/>
    <w:rsid w:val="00932AAE"/>
    <w:rsid w:val="00933DDB"/>
    <w:rsid w:val="00933FB3"/>
    <w:rsid w:val="0093452A"/>
    <w:rsid w:val="00934AB7"/>
    <w:rsid w:val="009413F0"/>
    <w:rsid w:val="009414E9"/>
    <w:rsid w:val="00941953"/>
    <w:rsid w:val="00942063"/>
    <w:rsid w:val="00942821"/>
    <w:rsid w:val="009447E0"/>
    <w:rsid w:val="00944E19"/>
    <w:rsid w:val="00944EFF"/>
    <w:rsid w:val="0094758F"/>
    <w:rsid w:val="00950671"/>
    <w:rsid w:val="00951B93"/>
    <w:rsid w:val="00953964"/>
    <w:rsid w:val="00954B12"/>
    <w:rsid w:val="009561F5"/>
    <w:rsid w:val="00961CB7"/>
    <w:rsid w:val="0096609A"/>
    <w:rsid w:val="00966AEF"/>
    <w:rsid w:val="00971E77"/>
    <w:rsid w:val="0097349C"/>
    <w:rsid w:val="0098148C"/>
    <w:rsid w:val="00982C7B"/>
    <w:rsid w:val="0098398C"/>
    <w:rsid w:val="00986367"/>
    <w:rsid w:val="00987E15"/>
    <w:rsid w:val="00990C50"/>
    <w:rsid w:val="009911B0"/>
    <w:rsid w:val="00995028"/>
    <w:rsid w:val="009A0AC8"/>
    <w:rsid w:val="009A0EC6"/>
    <w:rsid w:val="009A1125"/>
    <w:rsid w:val="009A3C5E"/>
    <w:rsid w:val="009A56DD"/>
    <w:rsid w:val="009B11AE"/>
    <w:rsid w:val="009B2788"/>
    <w:rsid w:val="009B2B00"/>
    <w:rsid w:val="009B41CB"/>
    <w:rsid w:val="009B426D"/>
    <w:rsid w:val="009B47D9"/>
    <w:rsid w:val="009B5A71"/>
    <w:rsid w:val="009B5B34"/>
    <w:rsid w:val="009B6311"/>
    <w:rsid w:val="009C01D3"/>
    <w:rsid w:val="009C35B5"/>
    <w:rsid w:val="009C56F7"/>
    <w:rsid w:val="009C666D"/>
    <w:rsid w:val="009C68BE"/>
    <w:rsid w:val="009C6F5C"/>
    <w:rsid w:val="009D014B"/>
    <w:rsid w:val="009D6F50"/>
    <w:rsid w:val="009D76B9"/>
    <w:rsid w:val="009D77C4"/>
    <w:rsid w:val="009E1DBB"/>
    <w:rsid w:val="009E4022"/>
    <w:rsid w:val="009E52D9"/>
    <w:rsid w:val="009E74C0"/>
    <w:rsid w:val="009E7621"/>
    <w:rsid w:val="009E776B"/>
    <w:rsid w:val="009F1C8E"/>
    <w:rsid w:val="009F2900"/>
    <w:rsid w:val="009F45D2"/>
    <w:rsid w:val="009F5941"/>
    <w:rsid w:val="009F69A3"/>
    <w:rsid w:val="009F69C0"/>
    <w:rsid w:val="009F6CB1"/>
    <w:rsid w:val="009F774B"/>
    <w:rsid w:val="00A00279"/>
    <w:rsid w:val="00A00DCF"/>
    <w:rsid w:val="00A00FE8"/>
    <w:rsid w:val="00A01B7F"/>
    <w:rsid w:val="00A02D73"/>
    <w:rsid w:val="00A04410"/>
    <w:rsid w:val="00A064BA"/>
    <w:rsid w:val="00A06D6D"/>
    <w:rsid w:val="00A07AAB"/>
    <w:rsid w:val="00A100C2"/>
    <w:rsid w:val="00A10F41"/>
    <w:rsid w:val="00A20BEE"/>
    <w:rsid w:val="00A22C29"/>
    <w:rsid w:val="00A25756"/>
    <w:rsid w:val="00A26581"/>
    <w:rsid w:val="00A31821"/>
    <w:rsid w:val="00A40ED9"/>
    <w:rsid w:val="00A415BA"/>
    <w:rsid w:val="00A44A11"/>
    <w:rsid w:val="00A44A32"/>
    <w:rsid w:val="00A45B9F"/>
    <w:rsid w:val="00A4668C"/>
    <w:rsid w:val="00A474D6"/>
    <w:rsid w:val="00A512C8"/>
    <w:rsid w:val="00A54113"/>
    <w:rsid w:val="00A54638"/>
    <w:rsid w:val="00A54F7D"/>
    <w:rsid w:val="00A553CB"/>
    <w:rsid w:val="00A5705E"/>
    <w:rsid w:val="00A60354"/>
    <w:rsid w:val="00A61076"/>
    <w:rsid w:val="00A629BB"/>
    <w:rsid w:val="00A64692"/>
    <w:rsid w:val="00A64A1F"/>
    <w:rsid w:val="00A656A0"/>
    <w:rsid w:val="00A66A2F"/>
    <w:rsid w:val="00A674C7"/>
    <w:rsid w:val="00A6753F"/>
    <w:rsid w:val="00A70E73"/>
    <w:rsid w:val="00A71EB3"/>
    <w:rsid w:val="00A74E52"/>
    <w:rsid w:val="00A75478"/>
    <w:rsid w:val="00A80DF8"/>
    <w:rsid w:val="00A812E2"/>
    <w:rsid w:val="00A815D2"/>
    <w:rsid w:val="00A81A13"/>
    <w:rsid w:val="00A84ED2"/>
    <w:rsid w:val="00A852CB"/>
    <w:rsid w:val="00A94CF4"/>
    <w:rsid w:val="00A95FA0"/>
    <w:rsid w:val="00A963D1"/>
    <w:rsid w:val="00A9668F"/>
    <w:rsid w:val="00A9762F"/>
    <w:rsid w:val="00A979FF"/>
    <w:rsid w:val="00AA07D3"/>
    <w:rsid w:val="00AA125E"/>
    <w:rsid w:val="00AA1E86"/>
    <w:rsid w:val="00AA3202"/>
    <w:rsid w:val="00AA5BE0"/>
    <w:rsid w:val="00AA5CDB"/>
    <w:rsid w:val="00AB144B"/>
    <w:rsid w:val="00AB2E62"/>
    <w:rsid w:val="00AB3D60"/>
    <w:rsid w:val="00AB4D74"/>
    <w:rsid w:val="00AB66F7"/>
    <w:rsid w:val="00AB6C51"/>
    <w:rsid w:val="00AB73C6"/>
    <w:rsid w:val="00AC184E"/>
    <w:rsid w:val="00AC2BF6"/>
    <w:rsid w:val="00AC60D8"/>
    <w:rsid w:val="00AC7BEB"/>
    <w:rsid w:val="00AD0601"/>
    <w:rsid w:val="00AD1B4D"/>
    <w:rsid w:val="00AD22D4"/>
    <w:rsid w:val="00AD241A"/>
    <w:rsid w:val="00AD60A3"/>
    <w:rsid w:val="00AD67C6"/>
    <w:rsid w:val="00AD738D"/>
    <w:rsid w:val="00AD7613"/>
    <w:rsid w:val="00AD7CEF"/>
    <w:rsid w:val="00AE0B52"/>
    <w:rsid w:val="00AE2F5C"/>
    <w:rsid w:val="00AE32D4"/>
    <w:rsid w:val="00AE66E1"/>
    <w:rsid w:val="00AE77B6"/>
    <w:rsid w:val="00AF0F90"/>
    <w:rsid w:val="00AF21FD"/>
    <w:rsid w:val="00AF263F"/>
    <w:rsid w:val="00AF2AAE"/>
    <w:rsid w:val="00AF34DF"/>
    <w:rsid w:val="00AF4146"/>
    <w:rsid w:val="00AF61B2"/>
    <w:rsid w:val="00AF621E"/>
    <w:rsid w:val="00AF6858"/>
    <w:rsid w:val="00B00C4C"/>
    <w:rsid w:val="00B02A20"/>
    <w:rsid w:val="00B05129"/>
    <w:rsid w:val="00B054D8"/>
    <w:rsid w:val="00B059F8"/>
    <w:rsid w:val="00B06B4B"/>
    <w:rsid w:val="00B10347"/>
    <w:rsid w:val="00B10C6B"/>
    <w:rsid w:val="00B1228C"/>
    <w:rsid w:val="00B1391F"/>
    <w:rsid w:val="00B14F39"/>
    <w:rsid w:val="00B15412"/>
    <w:rsid w:val="00B154FE"/>
    <w:rsid w:val="00B230E0"/>
    <w:rsid w:val="00B252BF"/>
    <w:rsid w:val="00B25E3C"/>
    <w:rsid w:val="00B27955"/>
    <w:rsid w:val="00B30AFE"/>
    <w:rsid w:val="00B31290"/>
    <w:rsid w:val="00B31DFC"/>
    <w:rsid w:val="00B32331"/>
    <w:rsid w:val="00B32E43"/>
    <w:rsid w:val="00B32E8E"/>
    <w:rsid w:val="00B33DA5"/>
    <w:rsid w:val="00B34196"/>
    <w:rsid w:val="00B342A0"/>
    <w:rsid w:val="00B3652A"/>
    <w:rsid w:val="00B37FCB"/>
    <w:rsid w:val="00B43F30"/>
    <w:rsid w:val="00B44A2F"/>
    <w:rsid w:val="00B4521D"/>
    <w:rsid w:val="00B46B14"/>
    <w:rsid w:val="00B50AB7"/>
    <w:rsid w:val="00B550DC"/>
    <w:rsid w:val="00B5523E"/>
    <w:rsid w:val="00B56F14"/>
    <w:rsid w:val="00B57FA1"/>
    <w:rsid w:val="00B600D5"/>
    <w:rsid w:val="00B609EC"/>
    <w:rsid w:val="00B60D55"/>
    <w:rsid w:val="00B64E35"/>
    <w:rsid w:val="00B66120"/>
    <w:rsid w:val="00B70A30"/>
    <w:rsid w:val="00B73E56"/>
    <w:rsid w:val="00B74269"/>
    <w:rsid w:val="00B76DE0"/>
    <w:rsid w:val="00B77546"/>
    <w:rsid w:val="00B81475"/>
    <w:rsid w:val="00B83125"/>
    <w:rsid w:val="00B87493"/>
    <w:rsid w:val="00B87FD7"/>
    <w:rsid w:val="00B91BCC"/>
    <w:rsid w:val="00B91F54"/>
    <w:rsid w:val="00B94309"/>
    <w:rsid w:val="00B95614"/>
    <w:rsid w:val="00B95FFA"/>
    <w:rsid w:val="00B960CE"/>
    <w:rsid w:val="00B9678F"/>
    <w:rsid w:val="00B96FA6"/>
    <w:rsid w:val="00B97F3F"/>
    <w:rsid w:val="00BA35D6"/>
    <w:rsid w:val="00BA4C44"/>
    <w:rsid w:val="00BA621F"/>
    <w:rsid w:val="00BA733B"/>
    <w:rsid w:val="00BB045C"/>
    <w:rsid w:val="00BB2C22"/>
    <w:rsid w:val="00BB7B2D"/>
    <w:rsid w:val="00BC158E"/>
    <w:rsid w:val="00BC16E1"/>
    <w:rsid w:val="00BC1CB2"/>
    <w:rsid w:val="00BC2424"/>
    <w:rsid w:val="00BC27DF"/>
    <w:rsid w:val="00BC32D2"/>
    <w:rsid w:val="00BC7A0A"/>
    <w:rsid w:val="00BD2F49"/>
    <w:rsid w:val="00BD481D"/>
    <w:rsid w:val="00BD601E"/>
    <w:rsid w:val="00BD7135"/>
    <w:rsid w:val="00BE0E9D"/>
    <w:rsid w:val="00BE3EDC"/>
    <w:rsid w:val="00BE3F56"/>
    <w:rsid w:val="00BE3FE8"/>
    <w:rsid w:val="00BE4638"/>
    <w:rsid w:val="00BF0016"/>
    <w:rsid w:val="00BF1FF5"/>
    <w:rsid w:val="00BF285F"/>
    <w:rsid w:val="00BF4AC6"/>
    <w:rsid w:val="00C00439"/>
    <w:rsid w:val="00C03B29"/>
    <w:rsid w:val="00C04251"/>
    <w:rsid w:val="00C05A4D"/>
    <w:rsid w:val="00C07399"/>
    <w:rsid w:val="00C10D31"/>
    <w:rsid w:val="00C11293"/>
    <w:rsid w:val="00C1300A"/>
    <w:rsid w:val="00C148EA"/>
    <w:rsid w:val="00C155EB"/>
    <w:rsid w:val="00C166BD"/>
    <w:rsid w:val="00C17745"/>
    <w:rsid w:val="00C20D85"/>
    <w:rsid w:val="00C226D1"/>
    <w:rsid w:val="00C227F1"/>
    <w:rsid w:val="00C245EE"/>
    <w:rsid w:val="00C2480C"/>
    <w:rsid w:val="00C25881"/>
    <w:rsid w:val="00C26C6D"/>
    <w:rsid w:val="00C300D1"/>
    <w:rsid w:val="00C30FD3"/>
    <w:rsid w:val="00C31599"/>
    <w:rsid w:val="00C32DA8"/>
    <w:rsid w:val="00C33A95"/>
    <w:rsid w:val="00C33D1B"/>
    <w:rsid w:val="00C34942"/>
    <w:rsid w:val="00C364A6"/>
    <w:rsid w:val="00C3650A"/>
    <w:rsid w:val="00C4166D"/>
    <w:rsid w:val="00C4187C"/>
    <w:rsid w:val="00C44059"/>
    <w:rsid w:val="00C44302"/>
    <w:rsid w:val="00C447DE"/>
    <w:rsid w:val="00C44FDA"/>
    <w:rsid w:val="00C46B2C"/>
    <w:rsid w:val="00C4778A"/>
    <w:rsid w:val="00C47E86"/>
    <w:rsid w:val="00C501FF"/>
    <w:rsid w:val="00C52AEC"/>
    <w:rsid w:val="00C55463"/>
    <w:rsid w:val="00C55E7A"/>
    <w:rsid w:val="00C56D78"/>
    <w:rsid w:val="00C60376"/>
    <w:rsid w:val="00C61054"/>
    <w:rsid w:val="00C61122"/>
    <w:rsid w:val="00C61AB2"/>
    <w:rsid w:val="00C62D66"/>
    <w:rsid w:val="00C63B34"/>
    <w:rsid w:val="00C655B4"/>
    <w:rsid w:val="00C6702C"/>
    <w:rsid w:val="00C67D90"/>
    <w:rsid w:val="00C71B36"/>
    <w:rsid w:val="00C71E7A"/>
    <w:rsid w:val="00C74428"/>
    <w:rsid w:val="00C748ED"/>
    <w:rsid w:val="00C7642F"/>
    <w:rsid w:val="00C8068F"/>
    <w:rsid w:val="00C81BD6"/>
    <w:rsid w:val="00C82676"/>
    <w:rsid w:val="00C82B77"/>
    <w:rsid w:val="00C83D93"/>
    <w:rsid w:val="00C85883"/>
    <w:rsid w:val="00C868F5"/>
    <w:rsid w:val="00C8738D"/>
    <w:rsid w:val="00C94AE9"/>
    <w:rsid w:val="00C95DFC"/>
    <w:rsid w:val="00C96A3D"/>
    <w:rsid w:val="00CA00C9"/>
    <w:rsid w:val="00CA72D8"/>
    <w:rsid w:val="00CB2160"/>
    <w:rsid w:val="00CB255E"/>
    <w:rsid w:val="00CB2C33"/>
    <w:rsid w:val="00CB4A9A"/>
    <w:rsid w:val="00CB6AEB"/>
    <w:rsid w:val="00CC05E1"/>
    <w:rsid w:val="00CC2A75"/>
    <w:rsid w:val="00CC4555"/>
    <w:rsid w:val="00CC49D9"/>
    <w:rsid w:val="00CC61E3"/>
    <w:rsid w:val="00CD0317"/>
    <w:rsid w:val="00CD128B"/>
    <w:rsid w:val="00CD1D73"/>
    <w:rsid w:val="00CD7E69"/>
    <w:rsid w:val="00CE1BAB"/>
    <w:rsid w:val="00CE2FB4"/>
    <w:rsid w:val="00CE4422"/>
    <w:rsid w:val="00CE5E6E"/>
    <w:rsid w:val="00CE63F0"/>
    <w:rsid w:val="00CE7A74"/>
    <w:rsid w:val="00CE7F7F"/>
    <w:rsid w:val="00CF25F4"/>
    <w:rsid w:val="00CF339B"/>
    <w:rsid w:val="00CF3853"/>
    <w:rsid w:val="00CF7396"/>
    <w:rsid w:val="00CF7911"/>
    <w:rsid w:val="00D01ABD"/>
    <w:rsid w:val="00D02265"/>
    <w:rsid w:val="00D022C3"/>
    <w:rsid w:val="00D02DF0"/>
    <w:rsid w:val="00D033DC"/>
    <w:rsid w:val="00D139C4"/>
    <w:rsid w:val="00D13AC3"/>
    <w:rsid w:val="00D15F24"/>
    <w:rsid w:val="00D16A7F"/>
    <w:rsid w:val="00D17D82"/>
    <w:rsid w:val="00D22C4F"/>
    <w:rsid w:val="00D253A8"/>
    <w:rsid w:val="00D25FD3"/>
    <w:rsid w:val="00D26C08"/>
    <w:rsid w:val="00D30FE0"/>
    <w:rsid w:val="00D32702"/>
    <w:rsid w:val="00D3342F"/>
    <w:rsid w:val="00D35229"/>
    <w:rsid w:val="00D36F22"/>
    <w:rsid w:val="00D413EC"/>
    <w:rsid w:val="00D425F0"/>
    <w:rsid w:val="00D43AAC"/>
    <w:rsid w:val="00D475DB"/>
    <w:rsid w:val="00D51E0F"/>
    <w:rsid w:val="00D53711"/>
    <w:rsid w:val="00D53C91"/>
    <w:rsid w:val="00D563D1"/>
    <w:rsid w:val="00D6078F"/>
    <w:rsid w:val="00D60FA9"/>
    <w:rsid w:val="00D63646"/>
    <w:rsid w:val="00D66836"/>
    <w:rsid w:val="00D66A69"/>
    <w:rsid w:val="00D67A95"/>
    <w:rsid w:val="00D67E23"/>
    <w:rsid w:val="00D73744"/>
    <w:rsid w:val="00D77139"/>
    <w:rsid w:val="00D81A34"/>
    <w:rsid w:val="00D81F08"/>
    <w:rsid w:val="00D825E3"/>
    <w:rsid w:val="00D86737"/>
    <w:rsid w:val="00D86BE7"/>
    <w:rsid w:val="00D922BB"/>
    <w:rsid w:val="00D930B6"/>
    <w:rsid w:val="00D939E7"/>
    <w:rsid w:val="00D93E61"/>
    <w:rsid w:val="00D969BA"/>
    <w:rsid w:val="00DA2A3B"/>
    <w:rsid w:val="00DA3B94"/>
    <w:rsid w:val="00DA6684"/>
    <w:rsid w:val="00DA68B3"/>
    <w:rsid w:val="00DA6B0B"/>
    <w:rsid w:val="00DA71C3"/>
    <w:rsid w:val="00DA7D60"/>
    <w:rsid w:val="00DB264F"/>
    <w:rsid w:val="00DB662B"/>
    <w:rsid w:val="00DB749E"/>
    <w:rsid w:val="00DC4E81"/>
    <w:rsid w:val="00DC55E2"/>
    <w:rsid w:val="00DC5A7F"/>
    <w:rsid w:val="00DD22C6"/>
    <w:rsid w:val="00DD4E54"/>
    <w:rsid w:val="00DD5C37"/>
    <w:rsid w:val="00DD5D52"/>
    <w:rsid w:val="00DD66AC"/>
    <w:rsid w:val="00DD7367"/>
    <w:rsid w:val="00DD7CB9"/>
    <w:rsid w:val="00DE0F6A"/>
    <w:rsid w:val="00DE4056"/>
    <w:rsid w:val="00DE4505"/>
    <w:rsid w:val="00DE4FA9"/>
    <w:rsid w:val="00DE5737"/>
    <w:rsid w:val="00DE726B"/>
    <w:rsid w:val="00DE74F4"/>
    <w:rsid w:val="00DF15E5"/>
    <w:rsid w:val="00DF1D18"/>
    <w:rsid w:val="00DF53A2"/>
    <w:rsid w:val="00DF6061"/>
    <w:rsid w:val="00DF6D74"/>
    <w:rsid w:val="00E02368"/>
    <w:rsid w:val="00E033D0"/>
    <w:rsid w:val="00E0671C"/>
    <w:rsid w:val="00E0713E"/>
    <w:rsid w:val="00E12E6E"/>
    <w:rsid w:val="00E138D9"/>
    <w:rsid w:val="00E14693"/>
    <w:rsid w:val="00E17F83"/>
    <w:rsid w:val="00E20380"/>
    <w:rsid w:val="00E207EC"/>
    <w:rsid w:val="00E227D9"/>
    <w:rsid w:val="00E228DC"/>
    <w:rsid w:val="00E23410"/>
    <w:rsid w:val="00E25736"/>
    <w:rsid w:val="00E260EB"/>
    <w:rsid w:val="00E26327"/>
    <w:rsid w:val="00E27F1F"/>
    <w:rsid w:val="00E302CF"/>
    <w:rsid w:val="00E321B4"/>
    <w:rsid w:val="00E34CFC"/>
    <w:rsid w:val="00E41045"/>
    <w:rsid w:val="00E417CD"/>
    <w:rsid w:val="00E41F6B"/>
    <w:rsid w:val="00E43DF6"/>
    <w:rsid w:val="00E466FF"/>
    <w:rsid w:val="00E510B5"/>
    <w:rsid w:val="00E51150"/>
    <w:rsid w:val="00E5273B"/>
    <w:rsid w:val="00E52A9A"/>
    <w:rsid w:val="00E53A07"/>
    <w:rsid w:val="00E55D81"/>
    <w:rsid w:val="00E57405"/>
    <w:rsid w:val="00E60A06"/>
    <w:rsid w:val="00E6149C"/>
    <w:rsid w:val="00E62F4B"/>
    <w:rsid w:val="00E6394B"/>
    <w:rsid w:val="00E64066"/>
    <w:rsid w:val="00E71977"/>
    <w:rsid w:val="00E7263D"/>
    <w:rsid w:val="00E748D0"/>
    <w:rsid w:val="00E75B0B"/>
    <w:rsid w:val="00E76498"/>
    <w:rsid w:val="00E7681F"/>
    <w:rsid w:val="00E77F5E"/>
    <w:rsid w:val="00E8000F"/>
    <w:rsid w:val="00E815A3"/>
    <w:rsid w:val="00E8254C"/>
    <w:rsid w:val="00E82A69"/>
    <w:rsid w:val="00E83F52"/>
    <w:rsid w:val="00E83FBA"/>
    <w:rsid w:val="00E845FE"/>
    <w:rsid w:val="00E90F1E"/>
    <w:rsid w:val="00E9326A"/>
    <w:rsid w:val="00E93562"/>
    <w:rsid w:val="00E93C42"/>
    <w:rsid w:val="00E95F4F"/>
    <w:rsid w:val="00E966E1"/>
    <w:rsid w:val="00EA0219"/>
    <w:rsid w:val="00EA0AC3"/>
    <w:rsid w:val="00EA12C6"/>
    <w:rsid w:val="00EB04B0"/>
    <w:rsid w:val="00EB185A"/>
    <w:rsid w:val="00EB792F"/>
    <w:rsid w:val="00EC00E0"/>
    <w:rsid w:val="00EC10D9"/>
    <w:rsid w:val="00EC1B30"/>
    <w:rsid w:val="00EC3231"/>
    <w:rsid w:val="00EC342E"/>
    <w:rsid w:val="00EC373C"/>
    <w:rsid w:val="00EC4327"/>
    <w:rsid w:val="00EC7EBB"/>
    <w:rsid w:val="00ED0C24"/>
    <w:rsid w:val="00ED111C"/>
    <w:rsid w:val="00ED1476"/>
    <w:rsid w:val="00ED16C0"/>
    <w:rsid w:val="00EE1805"/>
    <w:rsid w:val="00EE1BC1"/>
    <w:rsid w:val="00EE2AC6"/>
    <w:rsid w:val="00EE3F0B"/>
    <w:rsid w:val="00EE5447"/>
    <w:rsid w:val="00EE610B"/>
    <w:rsid w:val="00EE6AB3"/>
    <w:rsid w:val="00EF11DF"/>
    <w:rsid w:val="00EF156F"/>
    <w:rsid w:val="00EF20EE"/>
    <w:rsid w:val="00EF388C"/>
    <w:rsid w:val="00EF48D2"/>
    <w:rsid w:val="00EF52CC"/>
    <w:rsid w:val="00EF6D9E"/>
    <w:rsid w:val="00EF6FF8"/>
    <w:rsid w:val="00EF7506"/>
    <w:rsid w:val="00F02703"/>
    <w:rsid w:val="00F075B3"/>
    <w:rsid w:val="00F11251"/>
    <w:rsid w:val="00F11866"/>
    <w:rsid w:val="00F131F4"/>
    <w:rsid w:val="00F149C1"/>
    <w:rsid w:val="00F14DFD"/>
    <w:rsid w:val="00F16C95"/>
    <w:rsid w:val="00F20288"/>
    <w:rsid w:val="00F20A8E"/>
    <w:rsid w:val="00F218BF"/>
    <w:rsid w:val="00F21BB5"/>
    <w:rsid w:val="00F221C3"/>
    <w:rsid w:val="00F24900"/>
    <w:rsid w:val="00F24D83"/>
    <w:rsid w:val="00F2536F"/>
    <w:rsid w:val="00F25DA8"/>
    <w:rsid w:val="00F334B4"/>
    <w:rsid w:val="00F34F1C"/>
    <w:rsid w:val="00F359D0"/>
    <w:rsid w:val="00F36699"/>
    <w:rsid w:val="00F36BEC"/>
    <w:rsid w:val="00F378CD"/>
    <w:rsid w:val="00F41077"/>
    <w:rsid w:val="00F43837"/>
    <w:rsid w:val="00F44566"/>
    <w:rsid w:val="00F516A0"/>
    <w:rsid w:val="00F53694"/>
    <w:rsid w:val="00F53F85"/>
    <w:rsid w:val="00F54016"/>
    <w:rsid w:val="00F555E7"/>
    <w:rsid w:val="00F565F9"/>
    <w:rsid w:val="00F57CCE"/>
    <w:rsid w:val="00F65165"/>
    <w:rsid w:val="00F66457"/>
    <w:rsid w:val="00F664B9"/>
    <w:rsid w:val="00F70FDC"/>
    <w:rsid w:val="00F718AA"/>
    <w:rsid w:val="00F721FF"/>
    <w:rsid w:val="00F723FD"/>
    <w:rsid w:val="00F7603A"/>
    <w:rsid w:val="00F76168"/>
    <w:rsid w:val="00F8043F"/>
    <w:rsid w:val="00F826EC"/>
    <w:rsid w:val="00F82CC5"/>
    <w:rsid w:val="00F833FF"/>
    <w:rsid w:val="00F86F59"/>
    <w:rsid w:val="00F90023"/>
    <w:rsid w:val="00F91BFB"/>
    <w:rsid w:val="00F91D55"/>
    <w:rsid w:val="00F92764"/>
    <w:rsid w:val="00F92909"/>
    <w:rsid w:val="00F95C56"/>
    <w:rsid w:val="00F96207"/>
    <w:rsid w:val="00FA1DB5"/>
    <w:rsid w:val="00FA1E82"/>
    <w:rsid w:val="00FA299C"/>
    <w:rsid w:val="00FA2A7F"/>
    <w:rsid w:val="00FA3CD5"/>
    <w:rsid w:val="00FA5667"/>
    <w:rsid w:val="00FA69D6"/>
    <w:rsid w:val="00FA7048"/>
    <w:rsid w:val="00FA77B0"/>
    <w:rsid w:val="00FB056B"/>
    <w:rsid w:val="00FB6C7E"/>
    <w:rsid w:val="00FB7B43"/>
    <w:rsid w:val="00FC1B31"/>
    <w:rsid w:val="00FC1FFB"/>
    <w:rsid w:val="00FC52BA"/>
    <w:rsid w:val="00FC64A9"/>
    <w:rsid w:val="00FD3058"/>
    <w:rsid w:val="00FD32B4"/>
    <w:rsid w:val="00FD430F"/>
    <w:rsid w:val="00FD504F"/>
    <w:rsid w:val="00FD6C8D"/>
    <w:rsid w:val="00FD6EC7"/>
    <w:rsid w:val="00FE1908"/>
    <w:rsid w:val="00FE24B0"/>
    <w:rsid w:val="00FF04A3"/>
    <w:rsid w:val="00FF2C38"/>
    <w:rsid w:val="00FF397D"/>
    <w:rsid w:val="00FF4A54"/>
    <w:rsid w:val="00FF5E3C"/>
    <w:rsid w:val="00FF734D"/>
    <w:rsid w:val="00FF73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E75AA2"/>
  <w15:docId w15:val="{94F77FEB-BDE4-4554-B5CB-8E532FA5C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nhideWhenUsed="1" w:qFormat="1"/>
    <w:lsdException w:name="annotation text" w:semiHidden="1" w:unhideWhenUsed="1" w:qFormat="1"/>
    <w:lsdException w:name="header" w:semiHidden="1" w:uiPriority="99"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iPriority="99" w:unhideWhenUsed="1" w:qFormat="1"/>
    <w:lsdException w:name="envelope address" w:semiHidden="1" w:unhideWhenUsed="1"/>
    <w:lsdException w:name="envelope return" w:semiHidden="1" w:uiPriority="99"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qFormat="1"/>
    <w:lsdException w:name="endnote reference" w:semiHidden="1" w:uiPriority="99" w:unhideWhenUsed="1"/>
    <w:lsdException w:name="endnote text" w:semiHidden="1" w:uiPriority="99" w:unhideWhenUsed="1" w:qFormat="1"/>
    <w:lsdException w:name="table of authorities" w:semiHidden="1" w:unhideWhenUsed="1"/>
    <w:lsdException w:name="toa heading" w:semiHidden="1" w:unhideWhenUsed="1"/>
    <w:lsdException w:name="List" w:semiHidden="1" w:unhideWhenUsed="1" w:qFormat="1"/>
    <w:lsdException w:name="List Bullet" w:uiPriority="99" w:qFormat="1"/>
    <w:lsdException w:name="List Number" w:uiPriority="99"/>
    <w:lsdException w:name="List 2" w:semiHidden="1" w:uiPriority="99" w:unhideWhenUsed="1"/>
    <w:lsdException w:name="List 3" w:semiHidden="1" w:uiPriority="99" w:unhideWhenUsed="1"/>
    <w:lsdException w:name="List 4" w:semiHidden="1" w:uiPriority="99" w:unhideWhenUsed="1"/>
    <w:lsdException w:name="List 5" w:semiHidden="1" w:uiPriority="99"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qFormat="1"/>
    <w:lsdException w:name="List Number 3" w:semiHidden="1" w:unhideWhenUsed="1"/>
    <w:lsdException w:name="List Number 4" w:semiHidden="1" w:unhideWhenUsed="1"/>
    <w:lsdException w:name="List Number 5" w:semiHidden="1" w:uiPriority="99" w:unhideWhenUsed="1"/>
    <w:lsdException w:name="Title" w:qFormat="1"/>
    <w:lsdException w:name="Closing" w:semiHidden="1" w:uiPriority="99" w:unhideWhenUsed="1"/>
    <w:lsdException w:name="Signature" w:semiHidden="1" w:uiPriority="99" w:unhideWhenUsed="1"/>
    <w:lsdException w:name="Default Paragraph Font" w:semiHidden="1" w:unhideWhenUsed="1"/>
    <w:lsdException w:name="Body Text" w:semiHidden="1" w:unhideWhenUsed="1" w:qFormat="1"/>
    <w:lsdException w:name="Body Text Indent" w:semiHidden="1" w:unhideWhenUsed="1" w:qFormat="1"/>
    <w:lsdException w:name="List Continue" w:semiHidden="1" w:uiPriority="99" w:unhideWhenUsed="1" w:qFormat="1"/>
    <w:lsdException w:name="List Continue 2" w:semiHidden="1" w:uiPriority="99" w:unhideWhenUsed="1"/>
    <w:lsdException w:name="Subtitle" w:uiPriority="99" w:qFormat="1"/>
    <w:lsdException w:name="Salutation" w:semiHidden="1" w:uiPriority="99" w:unhideWhenUsed="1" w:qFormat="1"/>
    <w:lsdException w:name="Date" w:semiHidden="1" w:uiPriority="99" w:unhideWhenUsed="1"/>
    <w:lsdException w:name="Body Text First Indent" w:semiHidden="1" w:uiPriority="99" w:unhideWhenUsed="1"/>
    <w:lsdException w:name="Body Text First Indent 2" w:semiHidden="1" w:uiPriority="99"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iPriority="99" w:unhideWhenUsed="1" w:qFormat="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qFormat="1"/>
    <w:lsdException w:name="Plain Text" w:semiHidden="1" w:uiPriority="99" w:unhideWhenUsed="1" w:qFormat="1"/>
    <w:lsdException w:name="E-mail Signature" w:semiHidden="1" w:uiPriority="99" w:unhideWhenUsed="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iPriority="99"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qFormat="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qFormat="1"/>
    <w:lsdException w:name="List Paragraph" w:uiPriority="99" w:qFormat="1"/>
    <w:lsdException w:name="Quote" w:uiPriority="9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E3584"/>
    <w:pPr>
      <w:suppressAutoHyphens/>
    </w:pPr>
    <w:rPr>
      <w:sz w:val="24"/>
      <w:szCs w:val="24"/>
      <w:lang w:eastAsia="ar-SA"/>
    </w:rPr>
  </w:style>
  <w:style w:type="paragraph" w:styleId="Ttulo1">
    <w:name w:val="heading 1"/>
    <w:aliases w:val="Título Principal,1. Texto Base"/>
    <w:basedOn w:val="Normal"/>
    <w:next w:val="Normal"/>
    <w:link w:val="Ttulo1Car"/>
    <w:qFormat/>
    <w:rsid w:val="000E3584"/>
    <w:pPr>
      <w:keepNext/>
      <w:spacing w:before="240" w:after="60"/>
      <w:outlineLvl w:val="0"/>
    </w:pPr>
    <w:rPr>
      <w:rFonts w:ascii="Arial" w:hAnsi="Arial" w:cs="Arial"/>
      <w:b/>
      <w:bCs/>
      <w:color w:val="000080"/>
      <w:kern w:val="1"/>
      <w:sz w:val="32"/>
      <w:szCs w:val="32"/>
      <w:u w:val="single"/>
    </w:rPr>
  </w:style>
  <w:style w:type="paragraph" w:styleId="Ttulo2">
    <w:name w:val="heading 2"/>
    <w:aliases w:val="Títulos de Hallazgo e Introducción,CAPITULO 2,H21,3. Subtitulos"/>
    <w:basedOn w:val="Normal"/>
    <w:next w:val="Normal"/>
    <w:link w:val="Ttulo2Car"/>
    <w:qFormat/>
    <w:rsid w:val="00A70E73"/>
    <w:pPr>
      <w:keepNext/>
      <w:spacing w:before="240" w:after="60"/>
      <w:outlineLvl w:val="1"/>
    </w:pPr>
    <w:rPr>
      <w:rFonts w:ascii="Arial" w:hAnsi="Arial" w:cs="Arial"/>
      <w:b/>
      <w:bCs/>
      <w:i/>
      <w:iCs/>
      <w:sz w:val="28"/>
      <w:szCs w:val="28"/>
    </w:rPr>
  </w:style>
  <w:style w:type="paragraph" w:styleId="Ttulo3">
    <w:name w:val="heading 3"/>
    <w:aliases w:val="Subtítulos de Hallazgo,Graficos,otros,heading 3"/>
    <w:basedOn w:val="Normal"/>
    <w:next w:val="Normal"/>
    <w:link w:val="Ttulo3Car"/>
    <w:qFormat/>
    <w:rsid w:val="00A70E73"/>
    <w:pPr>
      <w:keepNext/>
      <w:spacing w:before="120" w:after="240"/>
      <w:jc w:val="both"/>
      <w:outlineLvl w:val="2"/>
    </w:pPr>
    <w:rPr>
      <w:rFonts w:cs="Arial"/>
      <w:b/>
      <w:bCs/>
      <w:sz w:val="28"/>
      <w:szCs w:val="26"/>
      <w:lang w:val="es-ES_tradnl"/>
    </w:rPr>
  </w:style>
  <w:style w:type="paragraph" w:styleId="Ttulo4">
    <w:name w:val="heading 4"/>
    <w:aliases w:val="h4,2. Titulo I-II-III ect.,Título 4.2,H41"/>
    <w:basedOn w:val="Normal"/>
    <w:next w:val="Normal"/>
    <w:link w:val="Ttulo4Car"/>
    <w:qFormat/>
    <w:rsid w:val="00A70E73"/>
    <w:pPr>
      <w:keepNext/>
      <w:spacing w:before="240" w:after="60"/>
      <w:outlineLvl w:val="3"/>
    </w:pPr>
    <w:rPr>
      <w:b/>
      <w:bCs/>
      <w:sz w:val="28"/>
      <w:szCs w:val="28"/>
      <w:lang w:val="es-ES_tradnl"/>
    </w:rPr>
  </w:style>
  <w:style w:type="paragraph" w:styleId="Ttulo5">
    <w:name w:val="heading 5"/>
    <w:aliases w:val="4.Cuadros"/>
    <w:basedOn w:val="Normal"/>
    <w:next w:val="Normal"/>
    <w:link w:val="Ttulo5Car"/>
    <w:uiPriority w:val="9"/>
    <w:qFormat/>
    <w:rsid w:val="00A70E73"/>
    <w:pPr>
      <w:spacing w:before="360" w:after="240" w:line="480" w:lineRule="auto"/>
      <w:jc w:val="center"/>
      <w:outlineLvl w:val="4"/>
    </w:pPr>
    <w:rPr>
      <w:b/>
      <w:bCs/>
      <w:iCs/>
      <w:sz w:val="44"/>
      <w:szCs w:val="26"/>
      <w:u w:val="single"/>
      <w:lang w:val="es-ES_tradnl"/>
    </w:rPr>
  </w:style>
  <w:style w:type="paragraph" w:styleId="Ttulo6">
    <w:name w:val="heading 6"/>
    <w:aliases w:val="5.Fuente"/>
    <w:basedOn w:val="Normal"/>
    <w:next w:val="Normal"/>
    <w:link w:val="Ttulo6Car"/>
    <w:uiPriority w:val="9"/>
    <w:qFormat/>
    <w:rsid w:val="00A70E73"/>
    <w:pPr>
      <w:spacing w:before="240" w:after="60"/>
      <w:outlineLvl w:val="5"/>
    </w:pPr>
    <w:rPr>
      <w:b/>
      <w:bCs/>
      <w:sz w:val="22"/>
      <w:szCs w:val="22"/>
    </w:rPr>
  </w:style>
  <w:style w:type="paragraph" w:styleId="Ttulo7">
    <w:name w:val="heading 7"/>
    <w:basedOn w:val="Normal"/>
    <w:next w:val="Normal"/>
    <w:link w:val="Ttulo7Car1"/>
    <w:qFormat/>
    <w:rsid w:val="000E3584"/>
    <w:pPr>
      <w:keepNext/>
      <w:widowControl w:val="0"/>
      <w:numPr>
        <w:ilvl w:val="6"/>
        <w:numId w:val="1"/>
      </w:numPr>
      <w:tabs>
        <w:tab w:val="left" w:pos="0"/>
      </w:tabs>
      <w:autoSpaceDE w:val="0"/>
      <w:jc w:val="right"/>
      <w:outlineLvl w:val="6"/>
    </w:pPr>
    <w:rPr>
      <w:rFonts w:ascii="Arial" w:hAnsi="Arial"/>
      <w:b/>
      <w:bCs/>
      <w:u w:val="single"/>
      <w:shd w:val="clear" w:color="auto" w:fill="FFFFFF"/>
    </w:rPr>
  </w:style>
  <w:style w:type="paragraph" w:styleId="Ttulo8">
    <w:name w:val="heading 8"/>
    <w:basedOn w:val="Normal"/>
    <w:next w:val="Normal"/>
    <w:link w:val="Ttulo8Car"/>
    <w:uiPriority w:val="9"/>
    <w:qFormat/>
    <w:rsid w:val="00A70E73"/>
    <w:pPr>
      <w:spacing w:before="240" w:after="60"/>
      <w:outlineLvl w:val="7"/>
    </w:pPr>
    <w:rPr>
      <w:rFonts w:ascii="Calibri" w:hAnsi="Calibri"/>
      <w:i/>
      <w:iCs/>
    </w:rPr>
  </w:style>
  <w:style w:type="paragraph" w:styleId="Ttulo9">
    <w:name w:val="heading 9"/>
    <w:basedOn w:val="Normal"/>
    <w:next w:val="Normal"/>
    <w:link w:val="Ttulo9Car"/>
    <w:uiPriority w:val="9"/>
    <w:qFormat/>
    <w:rsid w:val="00A70E73"/>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1. Texto Base Car"/>
    <w:link w:val="Ttulo1"/>
    <w:qFormat/>
    <w:rsid w:val="00A70E73"/>
    <w:rPr>
      <w:rFonts w:ascii="Arial" w:hAnsi="Arial" w:cs="Arial"/>
      <w:b/>
      <w:bCs/>
      <w:color w:val="000080"/>
      <w:kern w:val="1"/>
      <w:sz w:val="32"/>
      <w:szCs w:val="32"/>
      <w:u w:val="single"/>
      <w:lang w:val="es-ES" w:eastAsia="ar-SA" w:bidi="ar-SA"/>
    </w:rPr>
  </w:style>
  <w:style w:type="character" w:customStyle="1" w:styleId="TDC1Car">
    <w:name w:val="TDC 1 Car"/>
    <w:link w:val="TDC1"/>
    <w:uiPriority w:val="39"/>
    <w:rsid w:val="00A70E73"/>
    <w:rPr>
      <w:b/>
      <w:color w:val="000080"/>
      <w:sz w:val="28"/>
      <w:u w:val="single"/>
      <w:lang w:val="es-ES_tradnl" w:eastAsia="ar-SA" w:bidi="ar-SA"/>
    </w:rPr>
  </w:style>
  <w:style w:type="paragraph" w:customStyle="1" w:styleId="Car">
    <w:name w:val="Car"/>
    <w:basedOn w:val="Normal"/>
    <w:semiHidden/>
    <w:rsid w:val="00294863"/>
    <w:pPr>
      <w:suppressAutoHyphens w:val="0"/>
      <w:spacing w:after="160" w:line="240" w:lineRule="exact"/>
    </w:pPr>
    <w:rPr>
      <w:rFonts w:ascii="Verdana" w:hAnsi="Verdana"/>
      <w:sz w:val="20"/>
      <w:szCs w:val="21"/>
      <w:lang w:val="en-AU" w:eastAsia="en-US"/>
    </w:rPr>
  </w:style>
  <w:style w:type="paragraph" w:styleId="TDC1">
    <w:name w:val="toc 1"/>
    <w:basedOn w:val="Normal"/>
    <w:next w:val="Normal"/>
    <w:link w:val="TDC1Car"/>
    <w:autoRedefine/>
    <w:uiPriority w:val="39"/>
    <w:qFormat/>
    <w:rsid w:val="00A70E73"/>
    <w:pPr>
      <w:spacing w:before="120" w:after="120"/>
      <w:jc w:val="both"/>
    </w:pPr>
    <w:rPr>
      <w:b/>
      <w:color w:val="000080"/>
      <w:sz w:val="28"/>
      <w:szCs w:val="20"/>
      <w:u w:val="single"/>
      <w:lang w:val="es-ES_tradnl"/>
    </w:rPr>
  </w:style>
  <w:style w:type="character" w:customStyle="1" w:styleId="Ttulo2Car">
    <w:name w:val="Título 2 Car"/>
    <w:aliases w:val="Títulos de Hallazgo e Introducción Car,CAPITULO 2 Car,H21 Car,3. Subtitulos Car"/>
    <w:link w:val="Ttulo2"/>
    <w:qFormat/>
    <w:rsid w:val="00A70E73"/>
    <w:rPr>
      <w:rFonts w:ascii="Arial" w:hAnsi="Arial" w:cs="Arial"/>
      <w:b/>
      <w:bCs/>
      <w:i/>
      <w:iCs/>
      <w:sz w:val="28"/>
      <w:szCs w:val="28"/>
      <w:lang w:val="es-ES" w:eastAsia="ar-SA" w:bidi="ar-SA"/>
    </w:rPr>
  </w:style>
  <w:style w:type="character" w:customStyle="1" w:styleId="Ttulo3Car">
    <w:name w:val="Título 3 Car"/>
    <w:aliases w:val="Subtítulos de Hallazgo Car,Graficos Car,otros Car,heading 3 Car"/>
    <w:link w:val="Ttulo3"/>
    <w:qFormat/>
    <w:rsid w:val="00A70E73"/>
    <w:rPr>
      <w:rFonts w:cs="Arial"/>
      <w:b/>
      <w:bCs/>
      <w:sz w:val="28"/>
      <w:szCs w:val="26"/>
      <w:lang w:val="es-ES_tradnl" w:eastAsia="ar-SA" w:bidi="ar-SA"/>
    </w:rPr>
  </w:style>
  <w:style w:type="character" w:customStyle="1" w:styleId="Ttulo7Car1">
    <w:name w:val="Título 7 Car1"/>
    <w:link w:val="Ttulo7"/>
    <w:rsid w:val="00A70E73"/>
    <w:rPr>
      <w:rFonts w:ascii="Arial" w:hAnsi="Arial"/>
      <w:b/>
      <w:bCs/>
      <w:sz w:val="24"/>
      <w:szCs w:val="24"/>
      <w:u w:val="single"/>
      <w:lang w:eastAsia="ar-SA"/>
    </w:rPr>
  </w:style>
  <w:style w:type="character" w:customStyle="1" w:styleId="Ttulo8Car">
    <w:name w:val="Título 8 Car"/>
    <w:link w:val="Ttulo8"/>
    <w:uiPriority w:val="9"/>
    <w:rsid w:val="00A70E73"/>
    <w:rPr>
      <w:rFonts w:ascii="Calibri" w:hAnsi="Calibri"/>
      <w:i/>
      <w:iCs/>
      <w:sz w:val="24"/>
      <w:szCs w:val="24"/>
      <w:lang w:val="es-ES" w:eastAsia="ar-SA" w:bidi="ar-SA"/>
    </w:rPr>
  </w:style>
  <w:style w:type="character" w:customStyle="1" w:styleId="Absatz-Standardschriftart">
    <w:name w:val="Absatz-Standardschriftart"/>
    <w:qFormat/>
    <w:rsid w:val="000E3584"/>
  </w:style>
  <w:style w:type="character" w:customStyle="1" w:styleId="WW-Absatz-Standardschriftart">
    <w:name w:val="WW-Absatz-Standardschriftart"/>
    <w:qFormat/>
    <w:rsid w:val="000E3584"/>
  </w:style>
  <w:style w:type="character" w:customStyle="1" w:styleId="WW-Absatz-Standardschriftart1">
    <w:name w:val="WW-Absatz-Standardschriftart1"/>
    <w:qFormat/>
    <w:rsid w:val="000E3584"/>
  </w:style>
  <w:style w:type="character" w:customStyle="1" w:styleId="WW-Absatz-Standardschriftart11">
    <w:name w:val="WW-Absatz-Standardschriftart11"/>
    <w:rsid w:val="000E3584"/>
  </w:style>
  <w:style w:type="character" w:customStyle="1" w:styleId="WW-Absatz-Standardschriftart111">
    <w:name w:val="WW-Absatz-Standardschriftart111"/>
    <w:rsid w:val="000E3584"/>
  </w:style>
  <w:style w:type="character" w:customStyle="1" w:styleId="WW-Absatz-Standardschriftart1111">
    <w:name w:val="WW-Absatz-Standardschriftart1111"/>
    <w:rsid w:val="000E3584"/>
  </w:style>
  <w:style w:type="character" w:customStyle="1" w:styleId="WW-Absatz-Standardschriftart11111">
    <w:name w:val="WW-Absatz-Standardschriftart11111"/>
    <w:rsid w:val="000E3584"/>
  </w:style>
  <w:style w:type="character" w:customStyle="1" w:styleId="WW-Absatz-Standardschriftart111111">
    <w:name w:val="WW-Absatz-Standardschriftart111111"/>
    <w:rsid w:val="000E3584"/>
  </w:style>
  <w:style w:type="character" w:customStyle="1" w:styleId="WW-Absatz-Standardschriftart1111111">
    <w:name w:val="WW-Absatz-Standardschriftart1111111"/>
    <w:rsid w:val="000E3584"/>
  </w:style>
  <w:style w:type="character" w:customStyle="1" w:styleId="WW-Absatz-Standardschriftart11111111">
    <w:name w:val="WW-Absatz-Standardschriftart11111111"/>
    <w:rsid w:val="000E3584"/>
  </w:style>
  <w:style w:type="character" w:customStyle="1" w:styleId="WW-Absatz-Standardschriftart111111111">
    <w:name w:val="WW-Absatz-Standardschriftart111111111"/>
    <w:rsid w:val="000E3584"/>
  </w:style>
  <w:style w:type="character" w:customStyle="1" w:styleId="WW-Absatz-Standardschriftart1111111111">
    <w:name w:val="WW-Absatz-Standardschriftart1111111111"/>
    <w:rsid w:val="000E3584"/>
  </w:style>
  <w:style w:type="character" w:customStyle="1" w:styleId="WW-Absatz-Standardschriftart11111111111">
    <w:name w:val="WW-Absatz-Standardschriftart11111111111"/>
    <w:rsid w:val="000E3584"/>
  </w:style>
  <w:style w:type="character" w:customStyle="1" w:styleId="WW-Absatz-Standardschriftart111111111111">
    <w:name w:val="WW-Absatz-Standardschriftart111111111111"/>
    <w:rsid w:val="000E3584"/>
  </w:style>
  <w:style w:type="character" w:customStyle="1" w:styleId="WW-Absatz-Standardschriftart1111111111111">
    <w:name w:val="WW-Absatz-Standardschriftart1111111111111"/>
    <w:rsid w:val="000E3584"/>
  </w:style>
  <w:style w:type="character" w:customStyle="1" w:styleId="WW-Absatz-Standardschriftart11111111111111">
    <w:name w:val="WW-Absatz-Standardschriftart11111111111111"/>
    <w:rsid w:val="000E3584"/>
  </w:style>
  <w:style w:type="character" w:customStyle="1" w:styleId="WW-Absatz-Standardschriftart111111111111111">
    <w:name w:val="WW-Absatz-Standardschriftart111111111111111"/>
    <w:rsid w:val="000E3584"/>
  </w:style>
  <w:style w:type="character" w:customStyle="1" w:styleId="WW-Absatz-Standardschriftart1111111111111111">
    <w:name w:val="WW-Absatz-Standardschriftart1111111111111111"/>
    <w:rsid w:val="000E3584"/>
  </w:style>
  <w:style w:type="character" w:customStyle="1" w:styleId="WW-Absatz-Standardschriftart11111111111111111">
    <w:name w:val="WW-Absatz-Standardschriftart11111111111111111"/>
    <w:rsid w:val="000E3584"/>
  </w:style>
  <w:style w:type="character" w:customStyle="1" w:styleId="WW-Absatz-Standardschriftart111111111111111111">
    <w:name w:val="WW-Absatz-Standardschriftart111111111111111111"/>
    <w:rsid w:val="000E3584"/>
  </w:style>
  <w:style w:type="character" w:customStyle="1" w:styleId="WW-Absatz-Standardschriftart1111111111111111111">
    <w:name w:val="WW-Absatz-Standardschriftart1111111111111111111"/>
    <w:rsid w:val="000E3584"/>
  </w:style>
  <w:style w:type="character" w:customStyle="1" w:styleId="WW-Absatz-Standardschriftart11111111111111111111">
    <w:name w:val="WW-Absatz-Standardschriftart11111111111111111111"/>
    <w:rsid w:val="000E3584"/>
  </w:style>
  <w:style w:type="character" w:customStyle="1" w:styleId="WW-Absatz-Standardschriftart111111111111111111111">
    <w:name w:val="WW-Absatz-Standardschriftart111111111111111111111"/>
    <w:rsid w:val="000E3584"/>
  </w:style>
  <w:style w:type="character" w:customStyle="1" w:styleId="WW-Absatz-Standardschriftart1111111111111111111111">
    <w:name w:val="WW-Absatz-Standardschriftart1111111111111111111111"/>
    <w:rsid w:val="000E3584"/>
  </w:style>
  <w:style w:type="character" w:customStyle="1" w:styleId="WW-Absatz-Standardschriftart11111111111111111111111">
    <w:name w:val="WW-Absatz-Standardschriftart11111111111111111111111"/>
    <w:rsid w:val="000E3584"/>
  </w:style>
  <w:style w:type="character" w:customStyle="1" w:styleId="WW-Absatz-Standardschriftart111111111111111111111111">
    <w:name w:val="WW-Absatz-Standardschriftart111111111111111111111111"/>
    <w:rsid w:val="000E3584"/>
  </w:style>
  <w:style w:type="character" w:customStyle="1" w:styleId="WW-Absatz-Standardschriftart1111111111111111111111111">
    <w:name w:val="WW-Absatz-Standardschriftart1111111111111111111111111"/>
    <w:rsid w:val="000E3584"/>
  </w:style>
  <w:style w:type="character" w:customStyle="1" w:styleId="WW-Absatz-Standardschriftart11111111111111111111111111">
    <w:name w:val="WW-Absatz-Standardschriftart11111111111111111111111111"/>
    <w:rsid w:val="000E3584"/>
  </w:style>
  <w:style w:type="character" w:customStyle="1" w:styleId="WW-Absatz-Standardschriftart111111111111111111111111111">
    <w:name w:val="WW-Absatz-Standardschriftart111111111111111111111111111"/>
    <w:rsid w:val="000E3584"/>
  </w:style>
  <w:style w:type="character" w:customStyle="1" w:styleId="WW-Absatz-Standardschriftart1111111111111111111111111111">
    <w:name w:val="WW-Absatz-Standardschriftart1111111111111111111111111111"/>
    <w:rsid w:val="000E3584"/>
  </w:style>
  <w:style w:type="character" w:customStyle="1" w:styleId="WW-Absatz-Standardschriftart11111111111111111111111111111">
    <w:name w:val="WW-Absatz-Standardschriftart11111111111111111111111111111"/>
    <w:rsid w:val="000E3584"/>
  </w:style>
  <w:style w:type="character" w:customStyle="1" w:styleId="WW-Absatz-Standardschriftart111111111111111111111111111111">
    <w:name w:val="WW-Absatz-Standardschriftart111111111111111111111111111111"/>
    <w:rsid w:val="000E3584"/>
  </w:style>
  <w:style w:type="character" w:customStyle="1" w:styleId="WW-Absatz-Standardschriftart1111111111111111111111111111111">
    <w:name w:val="WW-Absatz-Standardschriftart1111111111111111111111111111111"/>
    <w:rsid w:val="000E3584"/>
  </w:style>
  <w:style w:type="character" w:customStyle="1" w:styleId="WW-Absatz-Standardschriftart11111111111111111111111111111111">
    <w:name w:val="WW-Absatz-Standardschriftart11111111111111111111111111111111"/>
    <w:rsid w:val="000E3584"/>
  </w:style>
  <w:style w:type="character" w:customStyle="1" w:styleId="WW-Absatz-Standardschriftart111111111111111111111111111111111">
    <w:name w:val="WW-Absatz-Standardschriftart111111111111111111111111111111111"/>
    <w:rsid w:val="000E3584"/>
  </w:style>
  <w:style w:type="character" w:customStyle="1" w:styleId="WW-Absatz-Standardschriftart1111111111111111111111111111111111">
    <w:name w:val="WW-Absatz-Standardschriftart1111111111111111111111111111111111"/>
    <w:rsid w:val="000E3584"/>
  </w:style>
  <w:style w:type="character" w:customStyle="1" w:styleId="WW-Absatz-Standardschriftart11111111111111111111111111111111111">
    <w:name w:val="WW-Absatz-Standardschriftart11111111111111111111111111111111111"/>
    <w:rsid w:val="000E3584"/>
  </w:style>
  <w:style w:type="character" w:customStyle="1" w:styleId="WW-Absatz-Standardschriftart111111111111111111111111111111111111">
    <w:name w:val="WW-Absatz-Standardschriftart111111111111111111111111111111111111"/>
    <w:rsid w:val="000E3584"/>
  </w:style>
  <w:style w:type="character" w:customStyle="1" w:styleId="WW-Absatz-Standardschriftart1111111111111111111111111111111111111">
    <w:name w:val="WW-Absatz-Standardschriftart1111111111111111111111111111111111111"/>
    <w:rsid w:val="000E3584"/>
  </w:style>
  <w:style w:type="character" w:customStyle="1" w:styleId="WW-Absatz-Standardschriftart11111111111111111111111111111111111111">
    <w:name w:val="WW-Absatz-Standardschriftart11111111111111111111111111111111111111"/>
    <w:rsid w:val="000E3584"/>
  </w:style>
  <w:style w:type="character" w:customStyle="1" w:styleId="WW-Absatz-Standardschriftart111111111111111111111111111111111111111">
    <w:name w:val="WW-Absatz-Standardschriftart111111111111111111111111111111111111111"/>
    <w:rsid w:val="000E3584"/>
  </w:style>
  <w:style w:type="character" w:customStyle="1" w:styleId="WW-Absatz-Standardschriftart1111111111111111111111111111111111111111">
    <w:name w:val="WW-Absatz-Standardschriftart1111111111111111111111111111111111111111"/>
    <w:rsid w:val="000E3584"/>
  </w:style>
  <w:style w:type="character" w:customStyle="1" w:styleId="WW-Absatz-Standardschriftart11111111111111111111111111111111111111111">
    <w:name w:val="WW-Absatz-Standardschriftart11111111111111111111111111111111111111111"/>
    <w:rsid w:val="000E3584"/>
  </w:style>
  <w:style w:type="character" w:customStyle="1" w:styleId="WW-Absatz-Standardschriftart111111111111111111111111111111111111111111">
    <w:name w:val="WW-Absatz-Standardschriftart111111111111111111111111111111111111111111"/>
    <w:rsid w:val="000E3584"/>
  </w:style>
  <w:style w:type="character" w:customStyle="1" w:styleId="WW-Absatz-Standardschriftart1111111111111111111111111111111111111111111">
    <w:name w:val="WW-Absatz-Standardschriftart1111111111111111111111111111111111111111111"/>
    <w:rsid w:val="000E3584"/>
  </w:style>
  <w:style w:type="character" w:customStyle="1" w:styleId="WW-Absatz-Standardschriftart11111111111111111111111111111111111111111111">
    <w:name w:val="WW-Absatz-Standardschriftart11111111111111111111111111111111111111111111"/>
    <w:rsid w:val="000E3584"/>
  </w:style>
  <w:style w:type="character" w:customStyle="1" w:styleId="WW-Absatz-Standardschriftart111111111111111111111111111111111111111111111">
    <w:name w:val="WW-Absatz-Standardschriftart111111111111111111111111111111111111111111111"/>
    <w:rsid w:val="000E3584"/>
  </w:style>
  <w:style w:type="character" w:customStyle="1" w:styleId="WW-Absatz-Standardschriftart1111111111111111111111111111111111111111111111">
    <w:name w:val="WW-Absatz-Standardschriftart1111111111111111111111111111111111111111111111"/>
    <w:rsid w:val="000E3584"/>
  </w:style>
  <w:style w:type="character" w:customStyle="1" w:styleId="WW-Absatz-Standardschriftart11111111111111111111111111111111111111111111111">
    <w:name w:val="WW-Absatz-Standardschriftart11111111111111111111111111111111111111111111111"/>
    <w:rsid w:val="000E3584"/>
  </w:style>
  <w:style w:type="character" w:customStyle="1" w:styleId="WW-Absatz-Standardschriftart111111111111111111111111111111111111111111111111">
    <w:name w:val="WW-Absatz-Standardschriftart111111111111111111111111111111111111111111111111"/>
    <w:rsid w:val="000E3584"/>
  </w:style>
  <w:style w:type="character" w:customStyle="1" w:styleId="WW-Absatz-Standardschriftart1111111111111111111111111111111111111111111111111">
    <w:name w:val="WW-Absatz-Standardschriftart1111111111111111111111111111111111111111111111111"/>
    <w:rsid w:val="000E3584"/>
  </w:style>
  <w:style w:type="character" w:customStyle="1" w:styleId="WW-Absatz-Standardschriftart11111111111111111111111111111111111111111111111111">
    <w:name w:val="WW-Absatz-Standardschriftart11111111111111111111111111111111111111111111111111"/>
    <w:rsid w:val="000E3584"/>
  </w:style>
  <w:style w:type="character" w:customStyle="1" w:styleId="WW-Absatz-Standardschriftart111111111111111111111111111111111111111111111111111">
    <w:name w:val="WW-Absatz-Standardschriftart111111111111111111111111111111111111111111111111111"/>
    <w:rsid w:val="000E3584"/>
  </w:style>
  <w:style w:type="character" w:customStyle="1" w:styleId="WW-Absatz-Standardschriftart1111111111111111111111111111111111111111111111111111">
    <w:name w:val="WW-Absatz-Standardschriftart1111111111111111111111111111111111111111111111111111"/>
    <w:rsid w:val="000E3584"/>
  </w:style>
  <w:style w:type="character" w:customStyle="1" w:styleId="WW-Absatz-Standardschriftart11111111111111111111111111111111111111111111111111111">
    <w:name w:val="WW-Absatz-Standardschriftart11111111111111111111111111111111111111111111111111111"/>
    <w:rsid w:val="000E3584"/>
  </w:style>
  <w:style w:type="character" w:customStyle="1" w:styleId="WW-Absatz-Standardschriftart111111111111111111111111111111111111111111111111111111">
    <w:name w:val="WW-Absatz-Standardschriftart111111111111111111111111111111111111111111111111111111"/>
    <w:rsid w:val="000E3584"/>
  </w:style>
  <w:style w:type="character" w:customStyle="1" w:styleId="WW-Absatz-Standardschriftart1111111111111111111111111111111111111111111111111111111">
    <w:name w:val="WW-Absatz-Standardschriftart1111111111111111111111111111111111111111111111111111111"/>
    <w:rsid w:val="000E3584"/>
  </w:style>
  <w:style w:type="character" w:customStyle="1" w:styleId="WW-Absatz-Standardschriftart11111111111111111111111111111111111111111111111111111111">
    <w:name w:val="WW-Absatz-Standardschriftart11111111111111111111111111111111111111111111111111111111"/>
    <w:rsid w:val="000E3584"/>
  </w:style>
  <w:style w:type="character" w:customStyle="1" w:styleId="WW-Absatz-Standardschriftart111111111111111111111111111111111111111111111111111111111">
    <w:name w:val="WW-Absatz-Standardschriftart111111111111111111111111111111111111111111111111111111111"/>
    <w:rsid w:val="000E3584"/>
  </w:style>
  <w:style w:type="character" w:customStyle="1" w:styleId="WW-Absatz-Standardschriftart1111111111111111111111111111111111111111111111111111111111">
    <w:name w:val="WW-Absatz-Standardschriftart1111111111111111111111111111111111111111111111111111111111"/>
    <w:rsid w:val="000E3584"/>
  </w:style>
  <w:style w:type="character" w:customStyle="1" w:styleId="WW-Absatz-Standardschriftart11111111111111111111111111111111111111111111111111111111111">
    <w:name w:val="WW-Absatz-Standardschriftart11111111111111111111111111111111111111111111111111111111111"/>
    <w:rsid w:val="000E3584"/>
  </w:style>
  <w:style w:type="character" w:customStyle="1" w:styleId="WW-Absatz-Standardschriftart111111111111111111111111111111111111111111111111111111111111">
    <w:name w:val="WW-Absatz-Standardschriftart111111111111111111111111111111111111111111111111111111111111"/>
    <w:rsid w:val="000E3584"/>
  </w:style>
  <w:style w:type="character" w:customStyle="1" w:styleId="WW-Absatz-Standardschriftart1111111111111111111111111111111111111111111111111111111111111">
    <w:name w:val="WW-Absatz-Standardschriftart1111111111111111111111111111111111111111111111111111111111111"/>
    <w:rsid w:val="000E3584"/>
  </w:style>
  <w:style w:type="character" w:customStyle="1" w:styleId="WW-Absatz-Standardschriftart11111111111111111111111111111111111111111111111111111111111111">
    <w:name w:val="WW-Absatz-Standardschriftart11111111111111111111111111111111111111111111111111111111111111"/>
    <w:rsid w:val="000E3584"/>
  </w:style>
  <w:style w:type="character" w:customStyle="1" w:styleId="WW-Absatz-Standardschriftart111111111111111111111111111111111111111111111111111111111111111">
    <w:name w:val="WW-Absatz-Standardschriftart111111111111111111111111111111111111111111111111111111111111111"/>
    <w:rsid w:val="000E3584"/>
  </w:style>
  <w:style w:type="character" w:customStyle="1" w:styleId="WW-Absatz-Standardschriftart1111111111111111111111111111111111111111111111111111111111111111">
    <w:name w:val="WW-Absatz-Standardschriftart1111111111111111111111111111111111111111111111111111111111111111"/>
    <w:rsid w:val="000E3584"/>
  </w:style>
  <w:style w:type="character" w:customStyle="1" w:styleId="WW-Absatz-Standardschriftart11111111111111111111111111111111111111111111111111111111111111111">
    <w:name w:val="WW-Absatz-Standardschriftart11111111111111111111111111111111111111111111111111111111111111111"/>
    <w:rsid w:val="000E3584"/>
  </w:style>
  <w:style w:type="character" w:customStyle="1" w:styleId="WW-Absatz-Standardschriftart111111111111111111111111111111111111111111111111111111111111111111">
    <w:name w:val="WW-Absatz-Standardschriftart111111111111111111111111111111111111111111111111111111111111111111"/>
    <w:rsid w:val="000E3584"/>
  </w:style>
  <w:style w:type="character" w:customStyle="1" w:styleId="WW-Absatz-Standardschriftart1111111111111111111111111111111111111111111111111111111111111111111">
    <w:name w:val="WW-Absatz-Standardschriftart1111111111111111111111111111111111111111111111111111111111111111111"/>
    <w:rsid w:val="000E3584"/>
  </w:style>
  <w:style w:type="character" w:customStyle="1" w:styleId="WW-Absatz-Standardschriftart11111111111111111111111111111111111111111111111111111111111111111111">
    <w:name w:val="WW-Absatz-Standardschriftart11111111111111111111111111111111111111111111111111111111111111111111"/>
    <w:rsid w:val="000E3584"/>
  </w:style>
  <w:style w:type="character" w:customStyle="1" w:styleId="WW-Absatz-Standardschriftart111111111111111111111111111111111111111111111111111111111111111111111">
    <w:name w:val="WW-Absatz-Standardschriftart111111111111111111111111111111111111111111111111111111111111111111111"/>
    <w:rsid w:val="000E3584"/>
  </w:style>
  <w:style w:type="character" w:customStyle="1" w:styleId="WW-Absatz-Standardschriftart1111111111111111111111111111111111111111111111111111111111111111111111">
    <w:name w:val="WW-Absatz-Standardschriftart1111111111111111111111111111111111111111111111111111111111111111111111"/>
    <w:rsid w:val="000E3584"/>
  </w:style>
  <w:style w:type="character" w:customStyle="1" w:styleId="WW-Absatz-Standardschriftart11111111111111111111111111111111111111111111111111111111111111111111111">
    <w:name w:val="WW-Absatz-Standardschriftart11111111111111111111111111111111111111111111111111111111111111111111111"/>
    <w:rsid w:val="000E3584"/>
  </w:style>
  <w:style w:type="character" w:customStyle="1" w:styleId="WW-Absatz-Standardschriftart111111111111111111111111111111111111111111111111111111111111111111111111">
    <w:name w:val="WW-Absatz-Standardschriftart111111111111111111111111111111111111111111111111111111111111111111111111"/>
    <w:rsid w:val="000E3584"/>
  </w:style>
  <w:style w:type="character" w:customStyle="1" w:styleId="WW-Absatz-Standardschriftart1111111111111111111111111111111111111111111111111111111111111111111111111">
    <w:name w:val="WW-Absatz-Standardschriftart1111111111111111111111111111111111111111111111111111111111111111111111111"/>
    <w:rsid w:val="000E3584"/>
  </w:style>
  <w:style w:type="character" w:customStyle="1" w:styleId="WW-Absatz-Standardschriftart11111111111111111111111111111111111111111111111111111111111111111111111111">
    <w:name w:val="WW-Absatz-Standardschriftart11111111111111111111111111111111111111111111111111111111111111111111111111"/>
    <w:rsid w:val="000E3584"/>
  </w:style>
  <w:style w:type="character" w:customStyle="1" w:styleId="WW-Absatz-Standardschriftart111111111111111111111111111111111111111111111111111111111111111111111111111">
    <w:name w:val="WW-Absatz-Standardschriftart111111111111111111111111111111111111111111111111111111111111111111111111111"/>
    <w:rsid w:val="000E3584"/>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0E3584"/>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0E3584"/>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0E3584"/>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0E3584"/>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0E3584"/>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0E3584"/>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0E3584"/>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0E3584"/>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0E3584"/>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0E3584"/>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0E3584"/>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0E3584"/>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0E3584"/>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0E3584"/>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0E3584"/>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Fuentedeprrafopredeter2">
    <w:name w:val="Fuente de párrafo predeter.2"/>
    <w:qFormat/>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a">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b">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Fuentedeprrafopredeter1">
    <w:name w:val="Fuente de párrafo predeter.1"/>
    <w:qFormat/>
    <w:rsid w:val="000E3584"/>
  </w:style>
  <w:style w:type="character" w:styleId="Hipervnculo">
    <w:name w:val="Hyperlink"/>
    <w:uiPriority w:val="99"/>
    <w:rsid w:val="000E3584"/>
    <w:rPr>
      <w:color w:val="000080"/>
      <w:u w:val="single"/>
    </w:rPr>
  </w:style>
  <w:style w:type="character" w:customStyle="1" w:styleId="Carcterdenumeracin">
    <w:name w:val="Carácter de numeración"/>
    <w:rsid w:val="000E3584"/>
  </w:style>
  <w:style w:type="character" w:customStyle="1" w:styleId="Vietas">
    <w:name w:val="Viñetas"/>
    <w:qFormat/>
    <w:rsid w:val="000E3584"/>
    <w:rPr>
      <w:rFonts w:ascii="StarSymbol" w:eastAsia="StarSymbol" w:hAnsi="StarSymbol" w:cs="StarSymbol"/>
      <w:sz w:val="18"/>
      <w:szCs w:val="18"/>
    </w:rPr>
  </w:style>
  <w:style w:type="paragraph" w:customStyle="1" w:styleId="Encabezado2">
    <w:name w:val="Encabezado2"/>
    <w:basedOn w:val="Normal"/>
    <w:next w:val="Textoindependiente"/>
    <w:uiPriority w:val="99"/>
    <w:qFormat/>
    <w:rsid w:val="000E3584"/>
    <w:pPr>
      <w:keepNext/>
      <w:spacing w:before="240" w:after="120"/>
    </w:pPr>
    <w:rPr>
      <w:rFonts w:ascii="Arial" w:eastAsia="Arial Unicode MS" w:hAnsi="Arial" w:cs="Tahoma"/>
      <w:sz w:val="28"/>
      <w:szCs w:val="28"/>
    </w:rPr>
  </w:style>
  <w:style w:type="paragraph" w:styleId="Textoindependiente">
    <w:name w:val="Body Text"/>
    <w:basedOn w:val="Normal"/>
    <w:qFormat/>
    <w:rsid w:val="000E3584"/>
    <w:pPr>
      <w:spacing w:after="120"/>
    </w:pPr>
  </w:style>
  <w:style w:type="paragraph" w:styleId="Lista">
    <w:name w:val="List"/>
    <w:basedOn w:val="Textoindependiente"/>
    <w:qFormat/>
    <w:rsid w:val="000E3584"/>
    <w:rPr>
      <w:rFonts w:cs="Tahoma"/>
    </w:rPr>
  </w:style>
  <w:style w:type="paragraph" w:customStyle="1" w:styleId="Etiqueta">
    <w:name w:val="Etiqueta"/>
    <w:basedOn w:val="Normal"/>
    <w:qFormat/>
    <w:rsid w:val="000E3584"/>
    <w:pPr>
      <w:suppressLineNumbers/>
      <w:spacing w:before="120" w:after="120"/>
    </w:pPr>
    <w:rPr>
      <w:rFonts w:cs="Tahoma"/>
      <w:i/>
      <w:iCs/>
    </w:rPr>
  </w:style>
  <w:style w:type="paragraph" w:customStyle="1" w:styleId="ndice">
    <w:name w:val="Índice"/>
    <w:basedOn w:val="Normal"/>
    <w:qFormat/>
    <w:rsid w:val="000E3584"/>
    <w:pPr>
      <w:suppressLineNumbers/>
    </w:pPr>
    <w:rPr>
      <w:rFonts w:cs="Tahoma"/>
    </w:rPr>
  </w:style>
  <w:style w:type="paragraph" w:customStyle="1" w:styleId="Encabezado1">
    <w:name w:val="Encabezado1"/>
    <w:basedOn w:val="Normal"/>
    <w:next w:val="Textoindependiente"/>
    <w:qFormat/>
    <w:rsid w:val="000E3584"/>
    <w:pPr>
      <w:keepNext/>
      <w:spacing w:before="240" w:after="120"/>
    </w:pPr>
    <w:rPr>
      <w:rFonts w:ascii="Arial" w:eastAsia="Arial Unicode MS" w:hAnsi="Arial" w:cs="Tahoma"/>
      <w:sz w:val="28"/>
      <w:szCs w:val="28"/>
    </w:rPr>
  </w:style>
  <w:style w:type="paragraph" w:styleId="Encabezado">
    <w:name w:val="header"/>
    <w:aliases w:val="encabezado,h"/>
    <w:basedOn w:val="Normal"/>
    <w:link w:val="EncabezadoCar1"/>
    <w:uiPriority w:val="99"/>
    <w:qFormat/>
    <w:rsid w:val="000E3584"/>
    <w:pPr>
      <w:widowControl w:val="0"/>
      <w:tabs>
        <w:tab w:val="center" w:pos="4320"/>
        <w:tab w:val="right" w:pos="8640"/>
      </w:tabs>
      <w:autoSpaceDE w:val="0"/>
    </w:pPr>
    <w:rPr>
      <w:rFonts w:ascii="Arial" w:hAnsi="Arial" w:cs="Arial"/>
      <w:u w:val="single"/>
      <w:shd w:val="clear" w:color="auto" w:fill="FFFFFF"/>
    </w:rPr>
  </w:style>
  <w:style w:type="character" w:customStyle="1" w:styleId="EncabezadoCar1">
    <w:name w:val="Encabezado Car1"/>
    <w:aliases w:val="encabezado Car1,h Car"/>
    <w:link w:val="Encabezado"/>
    <w:uiPriority w:val="99"/>
    <w:rsid w:val="00455672"/>
    <w:rPr>
      <w:rFonts w:ascii="Arial" w:hAnsi="Arial" w:cs="Arial"/>
      <w:sz w:val="24"/>
      <w:szCs w:val="24"/>
      <w:u w:val="single"/>
      <w:shd w:val="clear" w:color="auto" w:fill="FFFFFF"/>
      <w:lang w:val="es-ES" w:eastAsia="ar-SA" w:bidi="ar-SA"/>
    </w:rPr>
  </w:style>
  <w:style w:type="paragraph" w:styleId="Piedepgina">
    <w:name w:val="footer"/>
    <w:basedOn w:val="Normal"/>
    <w:link w:val="PiedepginaCar"/>
    <w:qFormat/>
    <w:rsid w:val="000E3584"/>
    <w:pPr>
      <w:widowControl w:val="0"/>
      <w:tabs>
        <w:tab w:val="center" w:pos="4320"/>
        <w:tab w:val="right" w:pos="8640"/>
      </w:tabs>
      <w:autoSpaceDE w:val="0"/>
    </w:pPr>
    <w:rPr>
      <w:rFonts w:ascii="Arial" w:hAnsi="Arial" w:cs="Arial"/>
      <w:u w:val="single"/>
      <w:shd w:val="clear" w:color="auto" w:fill="FFFFFF"/>
    </w:rPr>
  </w:style>
  <w:style w:type="paragraph" w:customStyle="1" w:styleId="T3fulo7">
    <w:name w:val="T稚3fulo 7"/>
    <w:next w:val="Normal"/>
    <w:uiPriority w:val="99"/>
    <w:qFormat/>
    <w:rsid w:val="000E3584"/>
    <w:pPr>
      <w:keepNext/>
      <w:widowControl w:val="0"/>
      <w:suppressAutoHyphens/>
      <w:autoSpaceDE w:val="0"/>
      <w:jc w:val="both"/>
    </w:pPr>
    <w:rPr>
      <w:rFonts w:ascii="Arial" w:eastAsia="Arial" w:hAnsi="Arial"/>
      <w:b/>
      <w:bCs/>
      <w:sz w:val="24"/>
      <w:szCs w:val="24"/>
      <w:u w:val="single"/>
      <w:shd w:val="clear" w:color="auto" w:fill="FFFFFF"/>
      <w:lang w:eastAsia="ar-SA"/>
    </w:rPr>
  </w:style>
  <w:style w:type="paragraph" w:customStyle="1" w:styleId="Autocorrecci3f0">
    <w:name w:val="Autocorrecci3f"/>
    <w:uiPriority w:val="99"/>
    <w:qFormat/>
    <w:rsid w:val="000E3584"/>
    <w:pPr>
      <w:widowControl w:val="0"/>
      <w:suppressAutoHyphens/>
      <w:autoSpaceDE w:val="0"/>
    </w:pPr>
    <w:rPr>
      <w:rFonts w:ascii="Arial" w:eastAsia="Arial" w:hAnsi="Arial"/>
      <w:u w:val="single"/>
      <w:shd w:val="clear" w:color="auto" w:fill="FFFFFF"/>
      <w:lang w:eastAsia="ar-SA"/>
    </w:rPr>
  </w:style>
  <w:style w:type="paragraph" w:customStyle="1" w:styleId="Tulo1">
    <w:name w:val="T稚ulo 1"/>
    <w:next w:val="Normal"/>
    <w:uiPriority w:val="99"/>
    <w:qFormat/>
    <w:rsid w:val="000E3584"/>
    <w:pPr>
      <w:keepNext/>
      <w:widowControl w:val="0"/>
      <w:suppressAutoHyphens/>
      <w:autoSpaceDE w:val="0"/>
      <w:jc w:val="both"/>
    </w:pPr>
    <w:rPr>
      <w:rFonts w:ascii="Arial" w:eastAsia="Arial" w:hAnsi="Arial" w:cs="Arial"/>
      <w:b/>
      <w:bCs/>
      <w:sz w:val="22"/>
      <w:szCs w:val="22"/>
      <w:u w:val="single"/>
      <w:shd w:val="clear" w:color="auto" w:fill="FFFFFF"/>
      <w:lang w:eastAsia="ar-SA"/>
    </w:rPr>
  </w:style>
  <w:style w:type="paragraph" w:customStyle="1" w:styleId="Normal1">
    <w:name w:val="Normal1"/>
    <w:uiPriority w:val="99"/>
    <w:qFormat/>
    <w:rsid w:val="000E3584"/>
    <w:pPr>
      <w:widowControl w:val="0"/>
      <w:suppressAutoHyphens/>
    </w:pPr>
    <w:rPr>
      <w:rFonts w:eastAsia="Arial Unicode MS"/>
      <w:sz w:val="28"/>
      <w:szCs w:val="28"/>
      <w:lang w:val="es-ES_tradnl" w:eastAsia="ar-SA"/>
    </w:rPr>
  </w:style>
  <w:style w:type="paragraph" w:customStyle="1" w:styleId="Ttulo51">
    <w:name w:val="Título 51"/>
    <w:next w:val="Normal"/>
    <w:uiPriority w:val="99"/>
    <w:qFormat/>
    <w:rsid w:val="000E3584"/>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Contenidodelmarco">
    <w:name w:val="Contenido del marco"/>
    <w:basedOn w:val="Textoindependiente"/>
    <w:uiPriority w:val="99"/>
    <w:qFormat/>
    <w:rsid w:val="000E3584"/>
  </w:style>
  <w:style w:type="paragraph" w:customStyle="1" w:styleId="Contenidodelatabla">
    <w:name w:val="Contenido de la tabla"/>
    <w:basedOn w:val="Normal"/>
    <w:qFormat/>
    <w:rsid w:val="000E3584"/>
    <w:pPr>
      <w:suppressLineNumbers/>
    </w:pPr>
  </w:style>
  <w:style w:type="paragraph" w:customStyle="1" w:styleId="Encabezadodelatabla">
    <w:name w:val="Encabezado de la tabla"/>
    <w:basedOn w:val="Contenidodelatabla"/>
    <w:qFormat/>
    <w:rsid w:val="000E3584"/>
    <w:pPr>
      <w:jc w:val="center"/>
    </w:pPr>
    <w:rPr>
      <w:b/>
      <w:bCs/>
    </w:rPr>
  </w:style>
  <w:style w:type="paragraph" w:customStyle="1" w:styleId="style3">
    <w:name w:val="style3"/>
    <w:basedOn w:val="Normal"/>
    <w:uiPriority w:val="99"/>
    <w:rsid w:val="000E3584"/>
    <w:pPr>
      <w:spacing w:before="280" w:after="280"/>
    </w:pPr>
    <w:rPr>
      <w:b/>
      <w:bCs/>
      <w:color w:val="000000"/>
    </w:rPr>
  </w:style>
  <w:style w:type="paragraph" w:styleId="NormalWeb">
    <w:name w:val="Normal (Web)"/>
    <w:basedOn w:val="Normal"/>
    <w:link w:val="NormalWebCar"/>
    <w:qFormat/>
    <w:rsid w:val="000E3584"/>
    <w:pPr>
      <w:spacing w:before="280" w:after="280"/>
    </w:pPr>
  </w:style>
  <w:style w:type="paragraph" w:customStyle="1" w:styleId="Ttulo31">
    <w:name w:val="Título 31"/>
    <w:next w:val="Normal"/>
    <w:qFormat/>
    <w:rsid w:val="000E3584"/>
    <w:pPr>
      <w:widowControl w:val="0"/>
      <w:numPr>
        <w:ilvl w:val="2"/>
        <w:numId w:val="1"/>
      </w:numPr>
      <w:suppressAutoHyphens/>
      <w:outlineLvl w:val="2"/>
    </w:pPr>
    <w:rPr>
      <w:rFonts w:eastAsia="Arial Unicode MS"/>
      <w:sz w:val="24"/>
      <w:szCs w:val="24"/>
      <w:u w:val="single"/>
      <w:shd w:val="clear" w:color="auto" w:fill="FFFFFF"/>
      <w:lang w:val="es-ES_tradnl"/>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qFormat/>
    <w:rsid w:val="000E3584"/>
    <w:pPr>
      <w:widowControl w:val="0"/>
      <w:ind w:left="283" w:hanging="283"/>
    </w:pPr>
    <w:rPr>
      <w:sz w:val="20"/>
      <w:szCs w:val="20"/>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qFormat/>
    <w:locked/>
    <w:rsid w:val="00A70E73"/>
    <w:rPr>
      <w:lang w:val="es-ES" w:eastAsia="ar-SA" w:bidi="ar-SA"/>
    </w:rPr>
  </w:style>
  <w:style w:type="paragraph" w:customStyle="1" w:styleId="CharChar">
    <w:name w:val="Char Char"/>
    <w:basedOn w:val="Normal"/>
    <w:semiHidden/>
    <w:rsid w:val="0069543D"/>
    <w:pPr>
      <w:suppressAutoHyphens w:val="0"/>
      <w:spacing w:after="160" w:line="240" w:lineRule="exact"/>
    </w:pPr>
    <w:rPr>
      <w:rFonts w:ascii="Verdana" w:hAnsi="Verdana"/>
      <w:sz w:val="20"/>
      <w:szCs w:val="21"/>
      <w:lang w:val="en-AU" w:eastAsia="en-US"/>
    </w:rPr>
  </w:style>
  <w:style w:type="paragraph" w:customStyle="1" w:styleId="CharChar0">
    <w:name w:val="Char Char"/>
    <w:basedOn w:val="Normal"/>
    <w:qFormat/>
    <w:rsid w:val="00384DB7"/>
    <w:pPr>
      <w:suppressAutoHyphens w:val="0"/>
      <w:spacing w:after="160" w:line="240" w:lineRule="exact"/>
    </w:pPr>
    <w:rPr>
      <w:rFonts w:ascii="Verdana" w:hAnsi="Verdana" w:cs="Verdana"/>
      <w:sz w:val="20"/>
      <w:szCs w:val="20"/>
      <w:lang w:val="en-AU" w:eastAsia="en-US"/>
    </w:rPr>
  </w:style>
  <w:style w:type="paragraph" w:styleId="Sangradetextonormal">
    <w:name w:val="Body Text Indent"/>
    <w:basedOn w:val="Normal"/>
    <w:link w:val="SangradetextonormalCar"/>
    <w:qFormat/>
    <w:rsid w:val="00455672"/>
    <w:pPr>
      <w:spacing w:after="120"/>
      <w:ind w:left="283"/>
    </w:pPr>
    <w:rPr>
      <w:sz w:val="20"/>
      <w:szCs w:val="20"/>
      <w:lang w:val="es-ES_tradnl"/>
    </w:rPr>
  </w:style>
  <w:style w:type="character" w:customStyle="1" w:styleId="SangradetextonormalCar">
    <w:name w:val="Sangría de texto normal Car"/>
    <w:link w:val="Sangradetextonormal"/>
    <w:qFormat/>
    <w:locked/>
    <w:rsid w:val="00455672"/>
    <w:rPr>
      <w:lang w:val="es-ES_tradnl" w:eastAsia="ar-SA" w:bidi="ar-SA"/>
    </w:rPr>
  </w:style>
  <w:style w:type="paragraph" w:customStyle="1" w:styleId="Normalprueba1">
    <w:name w:val="Normal.prueba1"/>
    <w:qFormat/>
    <w:rsid w:val="00455672"/>
    <w:pPr>
      <w:widowControl w:val="0"/>
    </w:pPr>
    <w:rPr>
      <w:sz w:val="28"/>
      <w:szCs w:val="28"/>
      <w:lang w:val="es-ES_tradnl"/>
    </w:rPr>
  </w:style>
  <w:style w:type="paragraph" w:styleId="Textodeglobo">
    <w:name w:val="Balloon Text"/>
    <w:basedOn w:val="Normal"/>
    <w:link w:val="TextodegloboCar"/>
    <w:qFormat/>
    <w:rsid w:val="007D50EF"/>
    <w:rPr>
      <w:rFonts w:ascii="Tahoma" w:hAnsi="Tahoma" w:cs="Tahoma"/>
      <w:sz w:val="16"/>
      <w:szCs w:val="16"/>
    </w:rPr>
  </w:style>
  <w:style w:type="character" w:customStyle="1" w:styleId="Fuentedeprrafopredeter3">
    <w:name w:val="Fuente de párrafo predeter.3"/>
    <w:qFormat/>
    <w:rsid w:val="00A70E73"/>
  </w:style>
  <w:style w:type="character" w:customStyle="1" w:styleId="WW8Num1z0">
    <w:name w:val="WW8Num1z0"/>
    <w:qFormat/>
    <w:rsid w:val="00A70E73"/>
    <w:rPr>
      <w:rFonts w:ascii="Symbol" w:hAnsi="Symbol"/>
    </w:rPr>
  </w:style>
  <w:style w:type="paragraph" w:customStyle="1" w:styleId="Encabezado3">
    <w:name w:val="Encabezado3"/>
    <w:basedOn w:val="Normal"/>
    <w:next w:val="Textoindependiente"/>
    <w:uiPriority w:val="99"/>
    <w:qFormat/>
    <w:rsid w:val="00A70E73"/>
    <w:pPr>
      <w:keepNext/>
      <w:spacing w:before="240" w:after="120"/>
    </w:pPr>
    <w:rPr>
      <w:rFonts w:ascii="Arial" w:eastAsia="Arial Unicode MS" w:hAnsi="Arial" w:cs="Tahoma"/>
      <w:sz w:val="28"/>
      <w:szCs w:val="28"/>
      <w:lang w:val="es-ES_tradnl"/>
    </w:rPr>
  </w:style>
  <w:style w:type="paragraph" w:styleId="Subttulo">
    <w:name w:val="Subtitle"/>
    <w:basedOn w:val="Normal"/>
    <w:next w:val="Textoindependiente"/>
    <w:link w:val="SubttuloCar"/>
    <w:uiPriority w:val="99"/>
    <w:qFormat/>
    <w:rsid w:val="00A70E73"/>
    <w:pPr>
      <w:jc w:val="center"/>
    </w:pPr>
    <w:rPr>
      <w:rFonts w:ascii="Arial" w:hAnsi="Arial" w:cs="Arial"/>
      <w:b/>
      <w:bCs/>
      <w:sz w:val="28"/>
      <w:szCs w:val="28"/>
      <w:u w:val="single"/>
    </w:rPr>
  </w:style>
  <w:style w:type="paragraph" w:customStyle="1" w:styleId="Car0">
    <w:name w:val="Car"/>
    <w:basedOn w:val="Normal"/>
    <w:qFormat/>
    <w:rsid w:val="00A70E73"/>
    <w:pPr>
      <w:spacing w:after="160" w:line="240" w:lineRule="exact"/>
    </w:pPr>
    <w:rPr>
      <w:rFonts w:ascii="Verdana" w:hAnsi="Verdana" w:cs="Verdana"/>
      <w:sz w:val="20"/>
      <w:szCs w:val="20"/>
      <w:lang w:val="en-AU"/>
    </w:rPr>
  </w:style>
  <w:style w:type="paragraph" w:styleId="Prrafodelista">
    <w:name w:val="List Paragraph"/>
    <w:aliases w:val="Bullet 1,Use Case List Paragraph,Lista vistosa - Énfasis 11,Párrafo de lista Car Car Car,Informe,Párrafo de lista3,FooterText,numbered,Paragraphe de liste1,Bulletr List Paragraph,列出段落,列出段落1,lp1,lp11,List Paragraph 1,Bullets,Footnote"/>
    <w:basedOn w:val="Normal"/>
    <w:uiPriority w:val="99"/>
    <w:qFormat/>
    <w:rsid w:val="00A70E73"/>
    <w:pPr>
      <w:ind w:left="708"/>
    </w:pPr>
  </w:style>
  <w:style w:type="paragraph" w:styleId="Sangra2detindependiente">
    <w:name w:val="Body Text Indent 2"/>
    <w:basedOn w:val="Normal"/>
    <w:link w:val="Sangra2detindependienteCar"/>
    <w:qFormat/>
    <w:rsid w:val="00A70E73"/>
    <w:pPr>
      <w:spacing w:after="120" w:line="480" w:lineRule="auto"/>
      <w:ind w:left="283"/>
    </w:pPr>
    <w:rPr>
      <w:sz w:val="20"/>
      <w:szCs w:val="20"/>
      <w:lang w:val="es-ES_tradnl"/>
    </w:rPr>
  </w:style>
  <w:style w:type="character" w:styleId="Refdenotaalpie">
    <w:name w:val="footnote reference"/>
    <w:aliases w:val="ƒ89,^ƒ89,Footnotes refss,Texto de nota al pie,Appel note de bas de page,Referencia nota al pie,Footnote number,referencia nota al pie,BVI fnr,f,Ref,de nota al pie,FC,ftref,16 Point,Superscript 6 Point,Superscript 6 Point + 11 pt"/>
    <w:qFormat/>
    <w:rsid w:val="00A70E73"/>
    <w:rPr>
      <w:vertAlign w:val="superscript"/>
    </w:rPr>
  </w:style>
  <w:style w:type="paragraph" w:styleId="Listaconvietas">
    <w:name w:val="List Bullet"/>
    <w:aliases w:val="UL"/>
    <w:basedOn w:val="Normal"/>
    <w:uiPriority w:val="99"/>
    <w:qFormat/>
    <w:rsid w:val="00A70E73"/>
    <w:pPr>
      <w:tabs>
        <w:tab w:val="num" w:pos="1080"/>
      </w:tabs>
      <w:suppressAutoHyphens w:val="0"/>
      <w:ind w:left="1080" w:hanging="360"/>
    </w:pPr>
    <w:rPr>
      <w:rFonts w:ascii="Arial" w:hAnsi="Arial" w:cs="Arial"/>
      <w:lang w:val="es-CR" w:eastAsia="es-ES"/>
    </w:rPr>
  </w:style>
  <w:style w:type="character" w:styleId="Textoennegrita">
    <w:name w:val="Strong"/>
    <w:uiPriority w:val="22"/>
    <w:qFormat/>
    <w:rsid w:val="00A70E73"/>
    <w:rPr>
      <w:rFonts w:cs="Times New Roman"/>
      <w:b/>
      <w:bCs/>
    </w:rPr>
  </w:style>
  <w:style w:type="character" w:customStyle="1" w:styleId="WW8Num46z0">
    <w:name w:val="WW8Num46z0"/>
    <w:qFormat/>
    <w:rsid w:val="00A70E73"/>
    <w:rPr>
      <w:rFonts w:ascii="Symbol" w:hAnsi="Symbol" w:cs="Symbol"/>
    </w:rPr>
  </w:style>
  <w:style w:type="character" w:customStyle="1" w:styleId="Caracteresdenotaalpie">
    <w:name w:val="Caracteres de nota al pie"/>
    <w:qFormat/>
    <w:rsid w:val="00A70E73"/>
    <w:rPr>
      <w:vertAlign w:val="superscript"/>
    </w:rPr>
  </w:style>
  <w:style w:type="paragraph" w:styleId="Textocomentario">
    <w:name w:val="annotation text"/>
    <w:basedOn w:val="Normal"/>
    <w:link w:val="TextocomentarioCar"/>
    <w:qFormat/>
    <w:rsid w:val="00A70E73"/>
    <w:rPr>
      <w:sz w:val="20"/>
      <w:szCs w:val="20"/>
    </w:rPr>
  </w:style>
  <w:style w:type="character" w:customStyle="1" w:styleId="TextocomentarioCar">
    <w:name w:val="Texto comentario Car"/>
    <w:link w:val="Textocomentario"/>
    <w:qFormat/>
    <w:rsid w:val="00A70E73"/>
    <w:rPr>
      <w:lang w:val="es-ES" w:eastAsia="ar-SA" w:bidi="ar-SA"/>
    </w:rPr>
  </w:style>
  <w:style w:type="paragraph" w:styleId="Sinespaciado">
    <w:name w:val="No Spacing"/>
    <w:link w:val="SinespaciadoCar"/>
    <w:qFormat/>
    <w:rsid w:val="00A70E73"/>
    <w:pPr>
      <w:suppressAutoHyphens/>
    </w:pPr>
    <w:rPr>
      <w:rFonts w:ascii="Calibri" w:eastAsia="Calibri" w:hAnsi="Calibri" w:cs="Calibri"/>
      <w:sz w:val="22"/>
      <w:szCs w:val="22"/>
      <w:lang w:eastAsia="ar-SA"/>
    </w:rPr>
  </w:style>
  <w:style w:type="character" w:customStyle="1" w:styleId="SinespaciadoCar">
    <w:name w:val="Sin espaciado Car"/>
    <w:link w:val="Sinespaciado"/>
    <w:rsid w:val="00A70E73"/>
    <w:rPr>
      <w:rFonts w:ascii="Calibri" w:eastAsia="Calibri" w:hAnsi="Calibri" w:cs="Calibri"/>
      <w:sz w:val="22"/>
      <w:szCs w:val="22"/>
      <w:lang w:val="es-ES" w:eastAsia="ar-SA" w:bidi="ar-SA"/>
    </w:rPr>
  </w:style>
  <w:style w:type="paragraph" w:customStyle="1" w:styleId="BodyText22">
    <w:name w:val="Body Text 22"/>
    <w:basedOn w:val="Normal"/>
    <w:uiPriority w:val="99"/>
    <w:qFormat/>
    <w:rsid w:val="00A70E73"/>
    <w:pPr>
      <w:widowControl w:val="0"/>
      <w:suppressAutoHyphens w:val="0"/>
      <w:overflowPunct w:val="0"/>
      <w:autoSpaceDE w:val="0"/>
      <w:autoSpaceDN w:val="0"/>
      <w:adjustRightInd w:val="0"/>
      <w:jc w:val="both"/>
      <w:textAlignment w:val="baseline"/>
    </w:pPr>
    <w:rPr>
      <w:lang w:val="es-ES_tradnl" w:eastAsia="es-ES"/>
    </w:rPr>
  </w:style>
  <w:style w:type="paragraph" w:customStyle="1" w:styleId="predeterminado">
    <w:name w:val="predeterminado"/>
    <w:basedOn w:val="Normal"/>
    <w:uiPriority w:val="99"/>
    <w:rsid w:val="00A70E73"/>
    <w:pPr>
      <w:suppressAutoHyphens w:val="0"/>
      <w:spacing w:before="100" w:beforeAutospacing="1" w:after="100" w:afterAutospacing="1"/>
    </w:pPr>
    <w:rPr>
      <w:lang w:eastAsia="es-ES"/>
    </w:rPr>
  </w:style>
  <w:style w:type="paragraph" w:styleId="Textodebloque">
    <w:name w:val="Block Text"/>
    <w:basedOn w:val="Normal"/>
    <w:uiPriority w:val="99"/>
    <w:qFormat/>
    <w:rsid w:val="00A70E73"/>
    <w:pPr>
      <w:widowControl w:val="0"/>
      <w:suppressAutoHyphens w:val="0"/>
      <w:ind w:left="851" w:right="851" w:firstLine="709"/>
      <w:jc w:val="both"/>
    </w:pPr>
    <w:rPr>
      <w:lang w:eastAsia="es-ES"/>
    </w:rPr>
  </w:style>
  <w:style w:type="paragraph" w:customStyle="1" w:styleId="Predeterminado0">
    <w:name w:val="Predeterminado"/>
    <w:link w:val="PredeterminadoCar"/>
    <w:uiPriority w:val="99"/>
    <w:qFormat/>
    <w:rsid w:val="00A70E73"/>
    <w:pPr>
      <w:widowControl w:val="0"/>
      <w:autoSpaceDE w:val="0"/>
      <w:autoSpaceDN w:val="0"/>
      <w:adjustRightInd w:val="0"/>
    </w:pPr>
    <w:rPr>
      <w:rFonts w:ascii="Trebuchet MS" w:hAnsi="Trebuchet MS" w:cs="Trebuchet MS"/>
      <w:color w:val="000000"/>
      <w:sz w:val="48"/>
      <w:szCs w:val="48"/>
    </w:rPr>
  </w:style>
  <w:style w:type="paragraph" w:customStyle="1" w:styleId="EstiloTtulo3Rojo">
    <w:name w:val="Estilo Título 3 + Rojo"/>
    <w:basedOn w:val="Ttulo3"/>
    <w:link w:val="EstiloTtulo3RojoCar"/>
    <w:rsid w:val="00A70E73"/>
    <w:pPr>
      <w:spacing w:before="240" w:after="60"/>
    </w:pPr>
    <w:rPr>
      <w:color w:val="000080"/>
    </w:rPr>
  </w:style>
  <w:style w:type="character" w:customStyle="1" w:styleId="EstiloTtulo3RojoCar">
    <w:name w:val="Estilo Título 3 + Rojo Car"/>
    <w:link w:val="EstiloTtulo3Rojo"/>
    <w:rsid w:val="00A70E73"/>
    <w:rPr>
      <w:rFonts w:cs="Arial"/>
      <w:b/>
      <w:bCs/>
      <w:color w:val="000080"/>
      <w:sz w:val="28"/>
      <w:szCs w:val="26"/>
      <w:lang w:val="es-ES_tradnl" w:eastAsia="ar-SA" w:bidi="ar-SA"/>
    </w:rPr>
  </w:style>
  <w:style w:type="paragraph" w:customStyle="1" w:styleId="Estilo14ptNegritaCentrado">
    <w:name w:val="Estilo 14 pt Negrita Centrado"/>
    <w:basedOn w:val="Normal"/>
    <w:uiPriority w:val="99"/>
    <w:rsid w:val="00A70E73"/>
    <w:pPr>
      <w:spacing w:line="480" w:lineRule="auto"/>
      <w:jc w:val="center"/>
    </w:pPr>
    <w:rPr>
      <w:b/>
      <w:bCs/>
      <w:sz w:val="32"/>
      <w:szCs w:val="20"/>
      <w:u w:val="single"/>
      <w:lang w:val="es-ES_tradnl"/>
    </w:rPr>
  </w:style>
  <w:style w:type="paragraph" w:customStyle="1" w:styleId="Estilo14ptNegritaCentradoInterlineadoDoble">
    <w:name w:val="Estilo 14 pt Negrita Centrado Interlineado:  Doble"/>
    <w:basedOn w:val="Normal"/>
    <w:uiPriority w:val="99"/>
    <w:rsid w:val="00A70E73"/>
    <w:pPr>
      <w:spacing w:line="480" w:lineRule="auto"/>
      <w:jc w:val="center"/>
    </w:pPr>
    <w:rPr>
      <w:b/>
      <w:bCs/>
      <w:sz w:val="40"/>
      <w:szCs w:val="20"/>
      <w:u w:val="single"/>
      <w:lang w:val="es-ES_tradnl"/>
    </w:rPr>
  </w:style>
  <w:style w:type="paragraph" w:customStyle="1" w:styleId="Textoindependiente21">
    <w:name w:val="Texto independiente 21"/>
    <w:basedOn w:val="Normal"/>
    <w:qFormat/>
    <w:rsid w:val="00A70E73"/>
    <w:pPr>
      <w:jc w:val="both"/>
    </w:pPr>
    <w:rPr>
      <w:rFonts w:ascii="Verdana" w:hAnsi="Verdana"/>
      <w:i/>
      <w:szCs w:val="20"/>
      <w:lang w:val="es-ES_tradnl"/>
    </w:rPr>
  </w:style>
  <w:style w:type="paragraph" w:customStyle="1" w:styleId="Titulo6">
    <w:name w:val="Titulo 6"/>
    <w:basedOn w:val="TDC1"/>
    <w:uiPriority w:val="99"/>
    <w:rsid w:val="00A70E73"/>
    <w:pPr>
      <w:tabs>
        <w:tab w:val="right" w:leader="dot" w:pos="8828"/>
      </w:tabs>
    </w:pPr>
    <w:rPr>
      <w:b w:val="0"/>
      <w:bCs/>
      <w:caps/>
      <w:noProof/>
    </w:rPr>
  </w:style>
  <w:style w:type="paragraph" w:customStyle="1" w:styleId="Estilo18ptNegritaSubrayadoCentrado">
    <w:name w:val="Estilo 18 pt Negrita Subrayado Centrado"/>
    <w:basedOn w:val="Normal"/>
    <w:uiPriority w:val="99"/>
    <w:rsid w:val="00A70E73"/>
    <w:pPr>
      <w:jc w:val="both"/>
    </w:pPr>
    <w:rPr>
      <w:b/>
      <w:bCs/>
      <w:sz w:val="36"/>
      <w:szCs w:val="20"/>
      <w:u w:val="single"/>
      <w:lang w:val="es-ES_tradnl"/>
    </w:rPr>
  </w:style>
  <w:style w:type="paragraph" w:customStyle="1" w:styleId="Estilo14ptAzuloscuroJustificadoPrimeralnea125cmAnt">
    <w:name w:val="Estilo 14 pt Azul oscuro Justificado Primera línea:  125 cm Ant..."/>
    <w:basedOn w:val="Normal"/>
    <w:uiPriority w:val="99"/>
    <w:rsid w:val="00A70E73"/>
    <w:pPr>
      <w:spacing w:before="100" w:after="100" w:line="480" w:lineRule="auto"/>
      <w:ind w:firstLine="708"/>
      <w:jc w:val="both"/>
    </w:pPr>
    <w:rPr>
      <w:color w:val="000080"/>
      <w:sz w:val="28"/>
      <w:szCs w:val="20"/>
      <w:lang w:val="es-ES_tradnl"/>
    </w:rPr>
  </w:style>
  <w:style w:type="paragraph" w:customStyle="1" w:styleId="Estilo14ptJustificadoPrimeralnea125cmInterlineadoD">
    <w:name w:val="Estilo 14 pt Justificado Primera línea:  125 cm Interlineado:  D..."/>
    <w:basedOn w:val="Normal"/>
    <w:uiPriority w:val="99"/>
    <w:rsid w:val="00A70E73"/>
    <w:pPr>
      <w:spacing w:line="480" w:lineRule="auto"/>
      <w:ind w:firstLine="708"/>
      <w:jc w:val="both"/>
    </w:pPr>
    <w:rPr>
      <w:sz w:val="28"/>
      <w:szCs w:val="20"/>
      <w:lang w:val="es-ES_tradnl"/>
    </w:rPr>
  </w:style>
  <w:style w:type="character" w:styleId="Nmerodepgina">
    <w:name w:val="page number"/>
    <w:basedOn w:val="Fuentedeprrafopredeter"/>
    <w:qFormat/>
    <w:rsid w:val="00A70E73"/>
  </w:style>
  <w:style w:type="paragraph" w:customStyle="1" w:styleId="Prrafodelista1">
    <w:name w:val="Párrafo de lista1"/>
    <w:basedOn w:val="Normal"/>
    <w:qFormat/>
    <w:rsid w:val="00A70E73"/>
    <w:pPr>
      <w:suppressAutoHyphens w:val="0"/>
      <w:ind w:left="720"/>
      <w:contextualSpacing/>
    </w:pPr>
    <w:rPr>
      <w:lang w:eastAsia="es-ES"/>
    </w:rPr>
  </w:style>
  <w:style w:type="paragraph" w:styleId="HTMLconformatoprevio">
    <w:name w:val="HTML Preformatted"/>
    <w:basedOn w:val="Normal"/>
    <w:link w:val="HTMLconformatoprevioCar"/>
    <w:uiPriority w:val="99"/>
    <w:qFormat/>
    <w:rsid w:val="00A70E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eastAsia="es-ES"/>
    </w:rPr>
  </w:style>
  <w:style w:type="paragraph" w:styleId="Textoindependiente2">
    <w:name w:val="Body Text 2"/>
    <w:basedOn w:val="Normal"/>
    <w:link w:val="Textoindependiente2Car"/>
    <w:qFormat/>
    <w:rsid w:val="00A70E73"/>
    <w:pPr>
      <w:spacing w:after="120" w:line="480" w:lineRule="auto"/>
    </w:pPr>
    <w:rPr>
      <w:sz w:val="20"/>
      <w:szCs w:val="20"/>
    </w:rPr>
  </w:style>
  <w:style w:type="paragraph" w:customStyle="1" w:styleId="western">
    <w:name w:val="western"/>
    <w:basedOn w:val="Normal"/>
    <w:link w:val="westernCar"/>
    <w:qFormat/>
    <w:rsid w:val="00A70E73"/>
    <w:pPr>
      <w:suppressAutoHyphens w:val="0"/>
      <w:spacing w:before="100" w:beforeAutospacing="1"/>
    </w:pPr>
    <w:rPr>
      <w:sz w:val="18"/>
      <w:szCs w:val="18"/>
      <w:lang w:eastAsia="es-ES"/>
    </w:rPr>
  </w:style>
  <w:style w:type="character" w:customStyle="1" w:styleId="Refdenotaalpie1">
    <w:name w:val="Ref. de nota al pie1"/>
    <w:rsid w:val="00A70E73"/>
    <w:rPr>
      <w:vertAlign w:val="superscript"/>
    </w:rPr>
  </w:style>
  <w:style w:type="paragraph" w:styleId="Textosinformato">
    <w:name w:val="Plain Text"/>
    <w:basedOn w:val="Normal"/>
    <w:uiPriority w:val="99"/>
    <w:qFormat/>
    <w:rsid w:val="00A70E73"/>
    <w:pPr>
      <w:suppressAutoHyphens w:val="0"/>
    </w:pPr>
    <w:rPr>
      <w:rFonts w:ascii="Bookman Old Style" w:hAnsi="Bookman Old Style"/>
      <w:i/>
      <w:iCs/>
      <w:lang w:eastAsia="es-ES"/>
    </w:rPr>
  </w:style>
  <w:style w:type="paragraph" w:customStyle="1" w:styleId="Normal2">
    <w:name w:val="Normal2"/>
    <w:uiPriority w:val="99"/>
    <w:rsid w:val="00A70E73"/>
    <w:pPr>
      <w:suppressAutoHyphens/>
    </w:pPr>
    <w:rPr>
      <w:sz w:val="24"/>
      <w:lang w:val="es-CR" w:eastAsia="ar-SA"/>
    </w:rPr>
  </w:style>
  <w:style w:type="paragraph" w:customStyle="1" w:styleId="Sangra3detindependiente1">
    <w:name w:val="Sangría 3 de t. independiente1"/>
    <w:basedOn w:val="Normal"/>
    <w:uiPriority w:val="99"/>
    <w:qFormat/>
    <w:rsid w:val="00A70E73"/>
    <w:pPr>
      <w:spacing w:after="120"/>
      <w:ind w:left="283"/>
    </w:pPr>
    <w:rPr>
      <w:sz w:val="16"/>
      <w:szCs w:val="16"/>
    </w:rPr>
  </w:style>
  <w:style w:type="paragraph" w:styleId="Remitedesobre">
    <w:name w:val="envelope return"/>
    <w:basedOn w:val="Normal"/>
    <w:uiPriority w:val="99"/>
    <w:rsid w:val="00A70E73"/>
    <w:pPr>
      <w:widowControl w:val="0"/>
      <w:suppressAutoHyphens w:val="0"/>
      <w:autoSpaceDE w:val="0"/>
      <w:autoSpaceDN w:val="0"/>
      <w:adjustRightInd w:val="0"/>
    </w:pPr>
    <w:rPr>
      <w:rFonts w:ascii="Arial" w:hAnsi="Arial" w:cs="Arial"/>
      <w:spacing w:val="-3"/>
      <w:lang w:val="es-CR" w:eastAsia="es-CR"/>
    </w:rPr>
  </w:style>
  <w:style w:type="paragraph" w:customStyle="1" w:styleId="lcon">
    <w:name w:val="lcon"/>
    <w:uiPriority w:val="99"/>
    <w:rsid w:val="00A70E73"/>
    <w:pPr>
      <w:widowControl w:val="0"/>
      <w:autoSpaceDE w:val="0"/>
      <w:autoSpaceDN w:val="0"/>
      <w:adjustRightInd w:val="0"/>
      <w:jc w:val="both"/>
    </w:pPr>
    <w:rPr>
      <w:rFonts w:ascii="Courier New" w:hAnsi="Courier New" w:cs="Courier New"/>
      <w:spacing w:val="-3"/>
      <w:sz w:val="24"/>
      <w:szCs w:val="24"/>
      <w:lang w:val="es-CR" w:eastAsia="es-CR"/>
    </w:rPr>
  </w:style>
  <w:style w:type="paragraph" w:customStyle="1" w:styleId="CaracterCaracterCharCharCaracterCaracterCarCarCarCarChar">
    <w:name w:val="Caracter Caracter Char Char Caracter Caracter Car Car Car Car Char"/>
    <w:basedOn w:val="Normal"/>
    <w:uiPriority w:val="99"/>
    <w:rsid w:val="00A70E73"/>
    <w:pPr>
      <w:suppressAutoHyphens w:val="0"/>
      <w:jc w:val="both"/>
    </w:pPr>
    <w:rPr>
      <w:rFonts w:ascii="Arial" w:hAnsi="Arial" w:cs="Arial"/>
      <w:lang w:val="pl-PL" w:eastAsia="pl-PL"/>
    </w:rPr>
  </w:style>
  <w:style w:type="paragraph" w:customStyle="1" w:styleId="H5">
    <w:name w:val="H5"/>
    <w:next w:val="Normal"/>
    <w:uiPriority w:val="99"/>
    <w:qFormat/>
    <w:rsid w:val="00A70E73"/>
    <w:pPr>
      <w:keepNext/>
      <w:widowControl w:val="0"/>
      <w:autoSpaceDE w:val="0"/>
      <w:autoSpaceDN w:val="0"/>
      <w:adjustRightInd w:val="0"/>
      <w:spacing w:before="100" w:after="100"/>
      <w:outlineLvl w:val="5"/>
    </w:pPr>
    <w:rPr>
      <w:rFonts w:ascii="Arial" w:hAnsi="Arial" w:cs="Arial"/>
      <w:b/>
      <w:bCs/>
    </w:rPr>
  </w:style>
  <w:style w:type="paragraph" w:customStyle="1" w:styleId="estilo2">
    <w:name w:val="estilo2"/>
    <w:uiPriority w:val="99"/>
    <w:qFormat/>
    <w:rsid w:val="00A70E73"/>
    <w:pPr>
      <w:widowControl w:val="0"/>
      <w:autoSpaceDE w:val="0"/>
      <w:autoSpaceDN w:val="0"/>
      <w:adjustRightInd w:val="0"/>
      <w:spacing w:before="100" w:after="100"/>
    </w:pPr>
    <w:rPr>
      <w:rFonts w:ascii="Verdana" w:hAnsi="Verdana" w:cs="Verdana"/>
      <w:sz w:val="24"/>
      <w:szCs w:val="24"/>
    </w:rPr>
  </w:style>
  <w:style w:type="paragraph" w:customStyle="1" w:styleId="Estilo1">
    <w:name w:val="Estilo1"/>
    <w:uiPriority w:val="99"/>
    <w:qFormat/>
    <w:rsid w:val="00A70E73"/>
    <w:pPr>
      <w:autoSpaceDE w:val="0"/>
      <w:autoSpaceDN w:val="0"/>
      <w:adjustRightInd w:val="0"/>
    </w:pPr>
    <w:rPr>
      <w:sz w:val="24"/>
      <w:szCs w:val="24"/>
      <w:lang w:val="en-US"/>
    </w:rPr>
  </w:style>
  <w:style w:type="paragraph" w:styleId="Textoindependiente3">
    <w:name w:val="Body Text 3"/>
    <w:basedOn w:val="Normal"/>
    <w:link w:val="Textoindependiente3Car"/>
    <w:qFormat/>
    <w:rsid w:val="00A70E73"/>
    <w:pPr>
      <w:tabs>
        <w:tab w:val="left" w:pos="1134"/>
      </w:tabs>
      <w:suppressAutoHyphens w:val="0"/>
      <w:jc w:val="both"/>
    </w:pPr>
    <w:rPr>
      <w:rFonts w:ascii="Arial" w:hAnsi="Arial"/>
      <w:szCs w:val="20"/>
      <w:lang w:val="es-ES_tradnl" w:eastAsia="es-ES"/>
    </w:rPr>
  </w:style>
  <w:style w:type="character" w:customStyle="1" w:styleId="Textoindependiente3Car">
    <w:name w:val="Texto independiente 3 Car"/>
    <w:link w:val="Textoindependiente3"/>
    <w:qFormat/>
    <w:locked/>
    <w:rsid w:val="00A70E73"/>
    <w:rPr>
      <w:rFonts w:ascii="Arial" w:hAnsi="Arial"/>
      <w:sz w:val="24"/>
      <w:lang w:val="es-ES_tradnl" w:eastAsia="es-ES" w:bidi="ar-SA"/>
    </w:rPr>
  </w:style>
  <w:style w:type="paragraph" w:customStyle="1" w:styleId="Textoindependiente22">
    <w:name w:val="Texto independiente 22"/>
    <w:basedOn w:val="Normal"/>
    <w:rsid w:val="00A70E73"/>
    <w:pPr>
      <w:widowControl w:val="0"/>
      <w:suppressAutoHyphens w:val="0"/>
      <w:jc w:val="both"/>
    </w:pPr>
    <w:rPr>
      <w:szCs w:val="20"/>
      <w:lang w:val="en-US" w:eastAsia="es-ES"/>
    </w:rPr>
  </w:style>
  <w:style w:type="paragraph" w:styleId="Sangra3detindependiente">
    <w:name w:val="Body Text Indent 3"/>
    <w:basedOn w:val="Normal"/>
    <w:link w:val="Sangra3detindependienteCar"/>
    <w:qFormat/>
    <w:rsid w:val="00A70E73"/>
    <w:pPr>
      <w:suppressAutoHyphens w:val="0"/>
      <w:spacing w:after="120"/>
      <w:ind w:left="283"/>
    </w:pPr>
    <w:rPr>
      <w:sz w:val="16"/>
      <w:szCs w:val="16"/>
      <w:lang w:val="es-CR" w:eastAsia="es-ES"/>
    </w:rPr>
  </w:style>
  <w:style w:type="paragraph" w:customStyle="1" w:styleId="Style1">
    <w:name w:val="Style 1"/>
    <w:basedOn w:val="Normal"/>
    <w:uiPriority w:val="99"/>
    <w:rsid w:val="00A70E73"/>
    <w:pPr>
      <w:widowControl w:val="0"/>
      <w:suppressAutoHyphens w:val="0"/>
      <w:autoSpaceDE w:val="0"/>
      <w:autoSpaceDN w:val="0"/>
      <w:adjustRightInd w:val="0"/>
    </w:pPr>
    <w:rPr>
      <w:lang w:val="en-US" w:eastAsia="es-ES"/>
    </w:rPr>
  </w:style>
  <w:style w:type="paragraph" w:customStyle="1" w:styleId="bodytext2">
    <w:name w:val="bodytext2"/>
    <w:basedOn w:val="Normal"/>
    <w:rsid w:val="00A70E73"/>
    <w:pPr>
      <w:suppressAutoHyphens w:val="0"/>
      <w:ind w:right="334" w:hanging="283"/>
      <w:jc w:val="both"/>
    </w:pPr>
    <w:rPr>
      <w:rFonts w:ascii="Arial" w:hAnsi="Arial" w:cs="Arial"/>
      <w:lang w:eastAsia="es-ES"/>
    </w:rPr>
  </w:style>
  <w:style w:type="paragraph" w:styleId="Ttulo">
    <w:name w:val="Title"/>
    <w:aliases w:val="artículo"/>
    <w:basedOn w:val="Normal"/>
    <w:link w:val="TtuloCar1"/>
    <w:qFormat/>
    <w:rsid w:val="00A70E73"/>
    <w:pPr>
      <w:widowControl w:val="0"/>
      <w:suppressAutoHyphens w:val="0"/>
      <w:autoSpaceDE w:val="0"/>
      <w:autoSpaceDN w:val="0"/>
      <w:adjustRightInd w:val="0"/>
      <w:jc w:val="center"/>
    </w:pPr>
    <w:rPr>
      <w:rFonts w:ascii="Arial" w:hAnsi="Arial" w:cs="Arial"/>
      <w:b/>
      <w:bCs/>
      <w:sz w:val="28"/>
      <w:szCs w:val="28"/>
      <w:shd w:val="clear" w:color="auto" w:fill="FFFFFF"/>
      <w:lang w:eastAsia="es-ES"/>
    </w:rPr>
  </w:style>
  <w:style w:type="paragraph" w:customStyle="1" w:styleId="WW-Predeterminado">
    <w:name w:val="WW-Predeterminado"/>
    <w:uiPriority w:val="99"/>
    <w:qFormat/>
    <w:rsid w:val="00A70E73"/>
    <w:pPr>
      <w:widowControl w:val="0"/>
      <w:autoSpaceDE w:val="0"/>
      <w:autoSpaceDN w:val="0"/>
      <w:adjustRightInd w:val="0"/>
    </w:pPr>
    <w:rPr>
      <w:rFonts w:ascii="Arial" w:hAnsi="Arial" w:cs="Arial"/>
      <w:color w:val="000000"/>
      <w:sz w:val="24"/>
      <w:szCs w:val="24"/>
    </w:rPr>
  </w:style>
  <w:style w:type="paragraph" w:customStyle="1" w:styleId="WW-Predeterminado1">
    <w:name w:val="WW-Predeterminado1"/>
    <w:link w:val="WW-Predeterminado1Car"/>
    <w:uiPriority w:val="99"/>
    <w:qFormat/>
    <w:rsid w:val="00A70E73"/>
    <w:pPr>
      <w:widowControl w:val="0"/>
      <w:autoSpaceDE w:val="0"/>
      <w:autoSpaceDN w:val="0"/>
      <w:adjustRightInd w:val="0"/>
    </w:pPr>
    <w:rPr>
      <w:rFonts w:ascii="Arial" w:hAnsi="Arial" w:cs="Arial"/>
      <w:color w:val="000000"/>
      <w:sz w:val="24"/>
      <w:szCs w:val="24"/>
    </w:rPr>
  </w:style>
  <w:style w:type="paragraph" w:customStyle="1" w:styleId="Sangra2detindependiente1">
    <w:name w:val="Sangría 2 de t. independiente1"/>
    <w:rsid w:val="00A70E73"/>
    <w:pPr>
      <w:widowControl w:val="0"/>
      <w:suppressAutoHyphens/>
      <w:autoSpaceDE w:val="0"/>
      <w:spacing w:line="480" w:lineRule="auto"/>
      <w:ind w:firstLine="708"/>
      <w:jc w:val="both"/>
    </w:pPr>
    <w:rPr>
      <w:rFonts w:ascii="Arial" w:eastAsia="Arial" w:hAnsi="Arial" w:cs="Arial"/>
      <w:sz w:val="24"/>
      <w:szCs w:val="24"/>
      <w:u w:val="single"/>
      <w:lang w:bidi="es-ES"/>
    </w:rPr>
  </w:style>
  <w:style w:type="paragraph" w:customStyle="1" w:styleId="Cuerpodetexto">
    <w:name w:val="Cuerpo de texto"/>
    <w:basedOn w:val="Predeterminado0"/>
    <w:uiPriority w:val="99"/>
    <w:qFormat/>
    <w:rsid w:val="00A70E73"/>
    <w:pPr>
      <w:autoSpaceDE/>
      <w:autoSpaceDN/>
      <w:adjustRightInd/>
    </w:pPr>
    <w:rPr>
      <w:rFonts w:ascii="Times New Roman" w:hAnsi="Times New Roman" w:cs="Times New Roman"/>
      <w:snapToGrid w:val="0"/>
      <w:color w:val="auto"/>
      <w:sz w:val="20"/>
      <w:szCs w:val="20"/>
    </w:rPr>
  </w:style>
  <w:style w:type="paragraph" w:customStyle="1" w:styleId="Default">
    <w:name w:val="Default"/>
    <w:qFormat/>
    <w:rsid w:val="00A70E73"/>
    <w:pPr>
      <w:widowControl w:val="0"/>
      <w:autoSpaceDE w:val="0"/>
      <w:autoSpaceDN w:val="0"/>
      <w:adjustRightInd w:val="0"/>
    </w:pPr>
    <w:rPr>
      <w:rFonts w:ascii="Verdana" w:hAnsi="Verdana" w:cs="Verdana"/>
      <w:color w:val="000000"/>
      <w:sz w:val="24"/>
      <w:szCs w:val="24"/>
    </w:rPr>
  </w:style>
  <w:style w:type="paragraph" w:customStyle="1" w:styleId="CM1">
    <w:name w:val="CM1"/>
    <w:basedOn w:val="Default"/>
    <w:next w:val="Default"/>
    <w:uiPriority w:val="99"/>
    <w:rsid w:val="00A70E73"/>
    <w:pPr>
      <w:spacing w:after="225"/>
    </w:pPr>
    <w:rPr>
      <w:rFonts w:cs="Times New Roman"/>
      <w:color w:val="auto"/>
    </w:rPr>
  </w:style>
  <w:style w:type="paragraph" w:customStyle="1" w:styleId="Prrafodelista2">
    <w:name w:val="Párrafo de lista2"/>
    <w:basedOn w:val="Normal"/>
    <w:link w:val="PrrafodelistaCar"/>
    <w:uiPriority w:val="34"/>
    <w:qFormat/>
    <w:rsid w:val="00A70E73"/>
    <w:pPr>
      <w:suppressAutoHyphens w:val="0"/>
      <w:spacing w:line="276" w:lineRule="auto"/>
      <w:ind w:left="720"/>
      <w:contextualSpacing/>
      <w:jc w:val="both"/>
    </w:pPr>
    <w:rPr>
      <w:rFonts w:ascii="Calibri" w:hAnsi="Calibri"/>
      <w:lang w:val="es-CR" w:eastAsia="es-ES"/>
    </w:rPr>
  </w:style>
  <w:style w:type="character" w:customStyle="1" w:styleId="PrrafodelistaCar">
    <w:name w:val="Párrafo de lista Car"/>
    <w:aliases w:val="Bullet 1 Car,Use Case List Paragraph Car,Lista vistosa - Énfasis 11 Car,Párrafo de lista Car Car Car Car,Informe Car,Párrafo de lista3 Car,FooterText Car,numbered Car,Paragraphe de liste1 Car,Bulletr List Paragraph Car,列出段落 Car"/>
    <w:link w:val="Prrafodelista2"/>
    <w:uiPriority w:val="34"/>
    <w:qFormat/>
    <w:rsid w:val="00A70E73"/>
    <w:rPr>
      <w:rFonts w:ascii="Calibri" w:hAnsi="Calibri"/>
      <w:sz w:val="24"/>
      <w:szCs w:val="24"/>
      <w:lang w:val="es-CR" w:eastAsia="es-ES" w:bidi="ar-SA"/>
    </w:rPr>
  </w:style>
  <w:style w:type="paragraph" w:customStyle="1" w:styleId="prrafodelista0">
    <w:name w:val="prrafodelista"/>
    <w:basedOn w:val="Normal"/>
    <w:rsid w:val="00A70E73"/>
    <w:pPr>
      <w:suppressAutoHyphens w:val="0"/>
      <w:spacing w:before="100" w:beforeAutospacing="1" w:after="100" w:afterAutospacing="1"/>
    </w:pPr>
    <w:rPr>
      <w:lang w:eastAsia="es-ES"/>
    </w:rPr>
  </w:style>
  <w:style w:type="paragraph" w:customStyle="1" w:styleId="normalprueba10">
    <w:name w:val="normalprueba1"/>
    <w:basedOn w:val="Normal"/>
    <w:uiPriority w:val="99"/>
    <w:rsid w:val="00A70E73"/>
    <w:pPr>
      <w:suppressAutoHyphens w:val="0"/>
      <w:spacing w:before="100" w:beforeAutospacing="1" w:after="100" w:afterAutospacing="1"/>
    </w:pPr>
    <w:rPr>
      <w:lang w:eastAsia="es-ES"/>
    </w:rPr>
  </w:style>
  <w:style w:type="character" w:customStyle="1" w:styleId="Nivel4Char">
    <w:name w:val="Nivel 4 Char"/>
    <w:link w:val="Nivel4"/>
    <w:locked/>
    <w:rsid w:val="00A70E73"/>
    <w:rPr>
      <w:lang w:val="es-ES" w:bidi="ar-SA"/>
    </w:rPr>
  </w:style>
  <w:style w:type="paragraph" w:customStyle="1" w:styleId="Nivel4">
    <w:name w:val="Nivel 4"/>
    <w:basedOn w:val="Normal"/>
    <w:link w:val="Nivel4Char"/>
    <w:qFormat/>
    <w:rsid w:val="00A70E73"/>
    <w:pPr>
      <w:suppressAutoHyphens w:val="0"/>
      <w:spacing w:before="240" w:after="240" w:line="276" w:lineRule="auto"/>
      <w:jc w:val="both"/>
    </w:pPr>
    <w:rPr>
      <w:sz w:val="20"/>
      <w:szCs w:val="20"/>
    </w:rPr>
  </w:style>
  <w:style w:type="paragraph" w:customStyle="1" w:styleId="Body1">
    <w:name w:val="Body 1"/>
    <w:uiPriority w:val="99"/>
    <w:qFormat/>
    <w:rsid w:val="00A70E73"/>
    <w:rPr>
      <w:rFonts w:ascii="Helvetica" w:eastAsia="Arial Unicode MS" w:hAnsi="Helvetica"/>
      <w:color w:val="000000"/>
      <w:sz w:val="24"/>
      <w:lang w:val="es-CR" w:eastAsia="es-CR"/>
    </w:rPr>
  </w:style>
  <w:style w:type="character" w:customStyle="1" w:styleId="Destacado">
    <w:name w:val="Destacado"/>
    <w:uiPriority w:val="99"/>
    <w:rsid w:val="00A70E73"/>
    <w:rPr>
      <w:i/>
      <w:iCs/>
    </w:rPr>
  </w:style>
  <w:style w:type="character" w:customStyle="1" w:styleId="CarCar2">
    <w:name w:val="Car Car2"/>
    <w:qFormat/>
    <w:locked/>
    <w:rsid w:val="00A70E73"/>
    <w:rPr>
      <w:lang w:val="es-ES" w:eastAsia="es-ES" w:bidi="ar-SA"/>
    </w:rPr>
  </w:style>
  <w:style w:type="character" w:styleId="nfasis">
    <w:name w:val="Emphasis"/>
    <w:qFormat/>
    <w:rsid w:val="00A70E73"/>
    <w:rPr>
      <w:i/>
      <w:iCs/>
    </w:rPr>
  </w:style>
  <w:style w:type="paragraph" w:customStyle="1" w:styleId="bodytext220">
    <w:name w:val="bodytext22"/>
    <w:basedOn w:val="Normal"/>
    <w:uiPriority w:val="99"/>
    <w:rsid w:val="00A70E73"/>
    <w:pPr>
      <w:suppressAutoHyphens w:val="0"/>
      <w:autoSpaceDE w:val="0"/>
      <w:autoSpaceDN w:val="0"/>
      <w:jc w:val="both"/>
    </w:pPr>
    <w:rPr>
      <w:rFonts w:ascii="Arial" w:hAnsi="Arial" w:cs="Arial"/>
      <w:lang w:eastAsia="es-ES"/>
    </w:rPr>
  </w:style>
  <w:style w:type="character" w:customStyle="1" w:styleId="tittextos1">
    <w:name w:val="tittextos1"/>
    <w:rsid w:val="00A70E73"/>
    <w:rPr>
      <w:rFonts w:ascii="Arial" w:hAnsi="Arial" w:cs="Arial" w:hint="default"/>
      <w:b/>
      <w:bCs/>
      <w:strike w:val="0"/>
      <w:dstrike w:val="0"/>
      <w:color w:val="4C2E24"/>
      <w:sz w:val="20"/>
      <w:szCs w:val="20"/>
      <w:u w:val="none"/>
      <w:effect w:val="none"/>
    </w:rPr>
  </w:style>
  <w:style w:type="character" w:customStyle="1" w:styleId="apple-style-span">
    <w:name w:val="apple-style-span"/>
    <w:rsid w:val="00A70E73"/>
  </w:style>
  <w:style w:type="character" w:customStyle="1" w:styleId="apple-converted-space">
    <w:name w:val="apple-converted-space"/>
    <w:qFormat/>
    <w:rsid w:val="00A70E73"/>
  </w:style>
  <w:style w:type="character" w:customStyle="1" w:styleId="Carcterdecarcter">
    <w:name w:val="Carácter de carácter"/>
    <w:rsid w:val="00A70E73"/>
    <w:rPr>
      <w:rFonts w:ascii="Tahoma" w:hAnsi="Tahoma" w:cs="Tahoma"/>
      <w:b/>
      <w:bCs/>
      <w:color w:val="FFFFFF"/>
    </w:rPr>
  </w:style>
  <w:style w:type="character" w:customStyle="1" w:styleId="Programa">
    <w:name w:val="Programa"/>
    <w:rsid w:val="00A70E73"/>
    <w:rPr>
      <w:rFonts w:ascii="Tahoma" w:hAnsi="Tahoma" w:cs="Tahoma"/>
      <w:color w:val="000000"/>
    </w:rPr>
  </w:style>
  <w:style w:type="character" w:customStyle="1" w:styleId="WW8Num1z1">
    <w:name w:val="WW8Num1z1"/>
    <w:qFormat/>
    <w:rsid w:val="00A70E73"/>
    <w:rPr>
      <w:rFonts w:ascii="Courier New" w:hAnsi="Courier New" w:cs="Courier New"/>
    </w:rPr>
  </w:style>
  <w:style w:type="character" w:customStyle="1" w:styleId="WW8Num1z2">
    <w:name w:val="WW8Num1z2"/>
    <w:qFormat/>
    <w:rsid w:val="00A70E73"/>
    <w:rPr>
      <w:rFonts w:ascii="Wingdings" w:hAnsi="Wingdings" w:cs="Wingdings"/>
    </w:rPr>
  </w:style>
  <w:style w:type="character" w:customStyle="1" w:styleId="WW8Num1z3">
    <w:name w:val="WW8Num1z3"/>
    <w:qFormat/>
    <w:rsid w:val="00A70E73"/>
    <w:rPr>
      <w:rFonts w:ascii="Symbol" w:hAnsi="Symbol" w:cs="Symbol"/>
    </w:rPr>
  </w:style>
  <w:style w:type="paragraph" w:customStyle="1" w:styleId="DefinitionTerm">
    <w:name w:val="Definition Term"/>
    <w:next w:val="DefinitionList"/>
    <w:uiPriority w:val="99"/>
    <w:rsid w:val="00A70E73"/>
    <w:pPr>
      <w:widowControl w:val="0"/>
      <w:autoSpaceDE w:val="0"/>
      <w:autoSpaceDN w:val="0"/>
      <w:adjustRightInd w:val="0"/>
    </w:pPr>
    <w:rPr>
      <w:rFonts w:ascii="Arial" w:hAnsi="Arial" w:cs="Arial"/>
      <w:sz w:val="24"/>
      <w:szCs w:val="24"/>
    </w:rPr>
  </w:style>
  <w:style w:type="paragraph" w:customStyle="1" w:styleId="DefinitionList">
    <w:name w:val="Definition List"/>
    <w:next w:val="DefinitionTerm"/>
    <w:uiPriority w:val="99"/>
    <w:rsid w:val="00A70E73"/>
    <w:pPr>
      <w:widowControl w:val="0"/>
      <w:autoSpaceDE w:val="0"/>
      <w:autoSpaceDN w:val="0"/>
      <w:adjustRightInd w:val="0"/>
      <w:ind w:left="360"/>
    </w:pPr>
    <w:rPr>
      <w:rFonts w:ascii="Arial" w:hAnsi="Arial" w:cs="Arial"/>
      <w:sz w:val="24"/>
      <w:szCs w:val="24"/>
    </w:rPr>
  </w:style>
  <w:style w:type="character" w:customStyle="1" w:styleId="Definition">
    <w:name w:val="Definition"/>
    <w:rsid w:val="00A70E73"/>
    <w:rPr>
      <w:i/>
      <w:iCs/>
    </w:rPr>
  </w:style>
  <w:style w:type="paragraph" w:customStyle="1" w:styleId="H1">
    <w:name w:val="H1"/>
    <w:next w:val="Normal"/>
    <w:uiPriority w:val="99"/>
    <w:rsid w:val="00A70E73"/>
    <w:pPr>
      <w:keepNext/>
      <w:widowControl w:val="0"/>
      <w:autoSpaceDE w:val="0"/>
      <w:autoSpaceDN w:val="0"/>
      <w:adjustRightInd w:val="0"/>
      <w:spacing w:before="100" w:after="100"/>
      <w:outlineLvl w:val="1"/>
    </w:pPr>
    <w:rPr>
      <w:rFonts w:ascii="Arial" w:hAnsi="Arial" w:cs="Arial"/>
      <w:b/>
      <w:bCs/>
      <w:sz w:val="48"/>
      <w:szCs w:val="48"/>
    </w:rPr>
  </w:style>
  <w:style w:type="paragraph" w:customStyle="1" w:styleId="H2">
    <w:name w:val="H2"/>
    <w:next w:val="Normal"/>
    <w:uiPriority w:val="99"/>
    <w:rsid w:val="00A70E73"/>
    <w:pPr>
      <w:keepNext/>
      <w:widowControl w:val="0"/>
      <w:autoSpaceDE w:val="0"/>
      <w:autoSpaceDN w:val="0"/>
      <w:adjustRightInd w:val="0"/>
      <w:spacing w:before="100" w:after="100"/>
      <w:outlineLvl w:val="2"/>
    </w:pPr>
    <w:rPr>
      <w:rFonts w:ascii="Arial" w:hAnsi="Arial" w:cs="Arial"/>
      <w:b/>
      <w:bCs/>
      <w:sz w:val="36"/>
      <w:szCs w:val="36"/>
    </w:rPr>
  </w:style>
  <w:style w:type="paragraph" w:customStyle="1" w:styleId="H3">
    <w:name w:val="H3"/>
    <w:next w:val="Normal"/>
    <w:uiPriority w:val="99"/>
    <w:rsid w:val="00A70E73"/>
    <w:pPr>
      <w:keepNext/>
      <w:widowControl w:val="0"/>
      <w:autoSpaceDE w:val="0"/>
      <w:autoSpaceDN w:val="0"/>
      <w:adjustRightInd w:val="0"/>
      <w:spacing w:before="100" w:after="100"/>
      <w:outlineLvl w:val="3"/>
    </w:pPr>
    <w:rPr>
      <w:rFonts w:ascii="Arial" w:hAnsi="Arial" w:cs="Arial"/>
      <w:b/>
      <w:bCs/>
      <w:sz w:val="28"/>
      <w:szCs w:val="28"/>
    </w:rPr>
  </w:style>
  <w:style w:type="paragraph" w:customStyle="1" w:styleId="H4">
    <w:name w:val="H4"/>
    <w:next w:val="Normal"/>
    <w:uiPriority w:val="99"/>
    <w:rsid w:val="00A70E73"/>
    <w:pPr>
      <w:keepNext/>
      <w:widowControl w:val="0"/>
      <w:autoSpaceDE w:val="0"/>
      <w:autoSpaceDN w:val="0"/>
      <w:adjustRightInd w:val="0"/>
      <w:spacing w:before="100" w:after="100"/>
      <w:outlineLvl w:val="4"/>
    </w:pPr>
    <w:rPr>
      <w:rFonts w:ascii="Arial" w:hAnsi="Arial" w:cs="Arial"/>
      <w:b/>
      <w:bCs/>
      <w:sz w:val="24"/>
      <w:szCs w:val="24"/>
    </w:rPr>
  </w:style>
  <w:style w:type="paragraph" w:customStyle="1" w:styleId="H6">
    <w:name w:val="H6"/>
    <w:next w:val="Normal"/>
    <w:uiPriority w:val="99"/>
    <w:rsid w:val="00A70E73"/>
    <w:pPr>
      <w:keepNext/>
      <w:widowControl w:val="0"/>
      <w:autoSpaceDE w:val="0"/>
      <w:autoSpaceDN w:val="0"/>
      <w:adjustRightInd w:val="0"/>
      <w:spacing w:before="100" w:after="100"/>
      <w:outlineLvl w:val="6"/>
    </w:pPr>
    <w:rPr>
      <w:rFonts w:ascii="Arial" w:hAnsi="Arial" w:cs="Arial"/>
      <w:b/>
      <w:bCs/>
      <w:sz w:val="16"/>
      <w:szCs w:val="16"/>
    </w:rPr>
  </w:style>
  <w:style w:type="paragraph" w:customStyle="1" w:styleId="Address">
    <w:name w:val="Address"/>
    <w:next w:val="Normal"/>
    <w:uiPriority w:val="99"/>
    <w:rsid w:val="00A70E73"/>
    <w:pPr>
      <w:widowControl w:val="0"/>
      <w:autoSpaceDE w:val="0"/>
      <w:autoSpaceDN w:val="0"/>
      <w:adjustRightInd w:val="0"/>
    </w:pPr>
    <w:rPr>
      <w:rFonts w:ascii="Arial" w:hAnsi="Arial" w:cs="Arial"/>
      <w:i/>
      <w:iCs/>
      <w:sz w:val="24"/>
      <w:szCs w:val="24"/>
    </w:rPr>
  </w:style>
  <w:style w:type="paragraph" w:customStyle="1" w:styleId="Blockquote">
    <w:name w:val="Blockquote"/>
    <w:next w:val="Normal"/>
    <w:uiPriority w:val="99"/>
    <w:rsid w:val="00A70E73"/>
    <w:pPr>
      <w:widowControl w:val="0"/>
      <w:autoSpaceDE w:val="0"/>
      <w:autoSpaceDN w:val="0"/>
      <w:adjustRightInd w:val="0"/>
      <w:spacing w:before="100" w:after="100"/>
      <w:ind w:left="360" w:right="360"/>
    </w:pPr>
    <w:rPr>
      <w:rFonts w:ascii="Arial" w:hAnsi="Arial" w:cs="Arial"/>
      <w:sz w:val="24"/>
      <w:szCs w:val="24"/>
    </w:rPr>
  </w:style>
  <w:style w:type="character" w:customStyle="1" w:styleId="CITE">
    <w:name w:val="CITE"/>
    <w:rsid w:val="00A70E73"/>
    <w:rPr>
      <w:i/>
      <w:iCs/>
    </w:rPr>
  </w:style>
  <w:style w:type="character" w:customStyle="1" w:styleId="CODE">
    <w:name w:val="CODE"/>
    <w:rsid w:val="00A70E73"/>
    <w:rPr>
      <w:rFonts w:ascii="Courier New" w:hAnsi="Courier New" w:cs="Courier New"/>
      <w:sz w:val="20"/>
      <w:szCs w:val="20"/>
    </w:rPr>
  </w:style>
  <w:style w:type="character" w:styleId="Hipervnculovisitado">
    <w:name w:val="FollowedHyperlink"/>
    <w:uiPriority w:val="99"/>
    <w:rsid w:val="00A70E73"/>
    <w:rPr>
      <w:color w:val="800080"/>
      <w:u w:val="single"/>
    </w:rPr>
  </w:style>
  <w:style w:type="character" w:customStyle="1" w:styleId="Keyboard">
    <w:name w:val="Keyboard"/>
    <w:uiPriority w:val="99"/>
    <w:rsid w:val="00A70E73"/>
    <w:rPr>
      <w:rFonts w:ascii="Courier New" w:hAnsi="Courier New" w:cs="Courier New"/>
      <w:b/>
      <w:bCs/>
      <w:sz w:val="20"/>
      <w:szCs w:val="20"/>
    </w:rPr>
  </w:style>
  <w:style w:type="paragraph" w:customStyle="1" w:styleId="Preformatted">
    <w:name w:val="Preformatted"/>
    <w:next w:val="Normal"/>
    <w:uiPriority w:val="99"/>
    <w:rsid w:val="00A70E73"/>
    <w:pPr>
      <w:widowControl w:val="0"/>
      <w:autoSpaceDE w:val="0"/>
      <w:autoSpaceDN w:val="0"/>
      <w:adjustRightInd w:val="0"/>
    </w:pPr>
    <w:rPr>
      <w:rFonts w:ascii="Courier New" w:hAnsi="Courier New" w:cs="Courier New"/>
    </w:rPr>
  </w:style>
  <w:style w:type="paragraph" w:customStyle="1" w:styleId="z-BottomofForm">
    <w:name w:val="z-Bottom of Form"/>
    <w:next w:val="Normal"/>
    <w:uiPriority w:val="99"/>
    <w:rsid w:val="00A70E73"/>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Normal"/>
    <w:uiPriority w:val="99"/>
    <w:rsid w:val="00A70E73"/>
    <w:pPr>
      <w:widowControl w:val="0"/>
      <w:pBdr>
        <w:bottom w:val="double" w:sz="6" w:space="0" w:color="000000"/>
      </w:pBdr>
      <w:autoSpaceDE w:val="0"/>
      <w:autoSpaceDN w:val="0"/>
      <w:adjustRightInd w:val="0"/>
      <w:jc w:val="center"/>
    </w:pPr>
    <w:rPr>
      <w:rFonts w:ascii="Arial" w:hAnsi="Arial" w:cs="Arial"/>
      <w:vanish/>
      <w:sz w:val="16"/>
      <w:szCs w:val="16"/>
    </w:rPr>
  </w:style>
  <w:style w:type="character" w:customStyle="1" w:styleId="Sample">
    <w:name w:val="Sample"/>
    <w:rsid w:val="00A70E73"/>
    <w:rPr>
      <w:rFonts w:ascii="Courier New" w:hAnsi="Courier New" w:cs="Courier New"/>
    </w:rPr>
  </w:style>
  <w:style w:type="character" w:customStyle="1" w:styleId="Typewriter">
    <w:name w:val="Typewriter"/>
    <w:rsid w:val="00A70E73"/>
    <w:rPr>
      <w:rFonts w:ascii="Courier New" w:hAnsi="Courier New" w:cs="Courier New"/>
      <w:sz w:val="20"/>
      <w:szCs w:val="20"/>
    </w:rPr>
  </w:style>
  <w:style w:type="character" w:customStyle="1" w:styleId="Variable">
    <w:name w:val="Variable"/>
    <w:rsid w:val="00A70E73"/>
    <w:rPr>
      <w:i/>
      <w:iCs/>
    </w:rPr>
  </w:style>
  <w:style w:type="character" w:customStyle="1" w:styleId="HTMLMarkup">
    <w:name w:val="HTML Markup"/>
    <w:rsid w:val="00A70E73"/>
    <w:rPr>
      <w:vanish/>
      <w:color w:val="FF0000"/>
    </w:rPr>
  </w:style>
  <w:style w:type="character" w:customStyle="1" w:styleId="Comment">
    <w:name w:val="Comment"/>
    <w:rsid w:val="00A70E73"/>
    <w:rPr>
      <w:vanish/>
    </w:rPr>
  </w:style>
  <w:style w:type="paragraph" w:customStyle="1" w:styleId="Estilo">
    <w:name w:val="Estilo"/>
    <w:next w:val="Normal"/>
    <w:uiPriority w:val="99"/>
    <w:qFormat/>
    <w:rsid w:val="00A70E73"/>
    <w:pPr>
      <w:widowControl w:val="0"/>
      <w:autoSpaceDE w:val="0"/>
      <w:autoSpaceDN w:val="0"/>
      <w:adjustRightInd w:val="0"/>
    </w:pPr>
    <w:rPr>
      <w:rFonts w:ascii="Arial" w:hAnsi="Arial" w:cs="Arial"/>
      <w:color w:val="000000"/>
      <w:sz w:val="24"/>
      <w:szCs w:val="24"/>
    </w:rPr>
  </w:style>
  <w:style w:type="paragraph" w:customStyle="1" w:styleId="TableContents">
    <w:name w:val="Table Contents"/>
    <w:qFormat/>
    <w:rsid w:val="00A70E73"/>
    <w:pPr>
      <w:widowControl w:val="0"/>
      <w:autoSpaceDE w:val="0"/>
      <w:autoSpaceDN w:val="0"/>
      <w:adjustRightInd w:val="0"/>
    </w:pPr>
    <w:rPr>
      <w:rFonts w:ascii="Arial" w:hAnsi="Arial" w:cs="Arial"/>
      <w:color w:val="000000"/>
      <w:sz w:val="24"/>
      <w:szCs w:val="24"/>
    </w:rPr>
  </w:style>
  <w:style w:type="paragraph" w:customStyle="1" w:styleId="TableHeading">
    <w:name w:val="Table Heading"/>
    <w:uiPriority w:val="99"/>
    <w:qFormat/>
    <w:rsid w:val="00A70E73"/>
    <w:pPr>
      <w:widowControl w:val="0"/>
      <w:autoSpaceDE w:val="0"/>
      <w:autoSpaceDN w:val="0"/>
      <w:adjustRightInd w:val="0"/>
      <w:jc w:val="center"/>
    </w:pPr>
    <w:rPr>
      <w:rFonts w:ascii="Arial" w:hAnsi="Arial" w:cs="Arial"/>
      <w:b/>
      <w:bCs/>
      <w:color w:val="000000"/>
      <w:sz w:val="24"/>
      <w:szCs w:val="24"/>
    </w:rPr>
  </w:style>
  <w:style w:type="paragraph" w:customStyle="1" w:styleId="titulomembrete">
    <w:name w:val="titulomembrete"/>
    <w:uiPriority w:val="99"/>
    <w:rsid w:val="00A70E73"/>
    <w:pPr>
      <w:keepNext/>
      <w:widowControl w:val="0"/>
      <w:autoSpaceDE w:val="0"/>
      <w:autoSpaceDN w:val="0"/>
      <w:adjustRightInd w:val="0"/>
      <w:jc w:val="center"/>
    </w:pPr>
    <w:rPr>
      <w:rFonts w:ascii="Arial" w:hAnsi="Arial" w:cs="Arial"/>
      <w:b/>
      <w:bCs/>
    </w:rPr>
  </w:style>
  <w:style w:type="paragraph" w:customStyle="1" w:styleId="membrete">
    <w:name w:val="membrete"/>
    <w:uiPriority w:val="99"/>
    <w:rsid w:val="00A70E73"/>
    <w:pPr>
      <w:widowControl w:val="0"/>
      <w:autoSpaceDE w:val="0"/>
      <w:autoSpaceDN w:val="0"/>
      <w:adjustRightInd w:val="0"/>
      <w:jc w:val="center"/>
    </w:pPr>
    <w:rPr>
      <w:rFonts w:ascii="Arial" w:hAnsi="Arial" w:cs="Arial"/>
      <w:sz w:val="18"/>
      <w:szCs w:val="18"/>
    </w:rPr>
  </w:style>
  <w:style w:type="paragraph" w:customStyle="1" w:styleId="fomulas">
    <w:name w:val="fomulas"/>
    <w:uiPriority w:val="99"/>
    <w:rsid w:val="00A70E73"/>
    <w:pPr>
      <w:widowControl w:val="0"/>
      <w:autoSpaceDE w:val="0"/>
      <w:autoSpaceDN w:val="0"/>
      <w:adjustRightInd w:val="0"/>
      <w:spacing w:line="432" w:lineRule="auto"/>
      <w:jc w:val="both"/>
    </w:pPr>
    <w:rPr>
      <w:rFonts w:ascii="Arial" w:hAnsi="Arial" w:cs="Arial"/>
      <w:b/>
      <w:bCs/>
      <w:sz w:val="22"/>
      <w:szCs w:val="22"/>
    </w:rPr>
  </w:style>
  <w:style w:type="paragraph" w:customStyle="1" w:styleId="WW-TableContents12345">
    <w:name w:val="WW-Table Contents12345"/>
    <w:basedOn w:val="Normal"/>
    <w:uiPriority w:val="99"/>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Prrafodelista10">
    <w:name w:val="Párrafo de lista1"/>
    <w:basedOn w:val="Normal"/>
    <w:link w:val="ListParagraphChar"/>
    <w:qFormat/>
    <w:rsid w:val="00A70E73"/>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Ttulo41">
    <w:name w:val="Título 41"/>
    <w:next w:val="Normal"/>
    <w:uiPriority w:val="99"/>
    <w:qFormat/>
    <w:rsid w:val="00A70E73"/>
    <w:pPr>
      <w:keepNext/>
      <w:widowControl w:val="0"/>
      <w:tabs>
        <w:tab w:val="num" w:pos="2880"/>
      </w:tabs>
      <w:suppressAutoHyphens/>
      <w:autoSpaceDE w:val="0"/>
      <w:spacing w:line="480" w:lineRule="auto"/>
      <w:ind w:left="2880" w:hanging="360"/>
      <w:jc w:val="center"/>
      <w:outlineLvl w:val="3"/>
    </w:pPr>
    <w:rPr>
      <w:rFonts w:ascii="Arial" w:hAnsi="Arial"/>
      <w:b/>
      <w:bCs/>
      <w:sz w:val="24"/>
      <w:szCs w:val="24"/>
      <w:u w:val="single"/>
      <w:shd w:val="clear" w:color="auto" w:fill="FFFFFF"/>
      <w:lang w:eastAsia="en-US"/>
    </w:rPr>
  </w:style>
  <w:style w:type="character" w:customStyle="1" w:styleId="hps">
    <w:name w:val="hps"/>
    <w:basedOn w:val="Fuentedeprrafopredeter"/>
    <w:rsid w:val="00A70E73"/>
  </w:style>
  <w:style w:type="paragraph" w:customStyle="1" w:styleId="arial">
    <w:name w:val="arial"/>
    <w:uiPriority w:val="99"/>
    <w:rsid w:val="00A70E73"/>
    <w:pPr>
      <w:keepNext/>
      <w:widowControl w:val="0"/>
      <w:autoSpaceDE w:val="0"/>
      <w:autoSpaceDN w:val="0"/>
      <w:adjustRightInd w:val="0"/>
      <w:jc w:val="both"/>
    </w:pPr>
    <w:rPr>
      <w:rFonts w:ascii="Arial" w:hAnsi="Arial"/>
      <w:i/>
      <w:iCs/>
      <w:sz w:val="28"/>
      <w:szCs w:val="28"/>
    </w:rPr>
  </w:style>
  <w:style w:type="paragraph" w:customStyle="1" w:styleId="standard">
    <w:name w:val="standard"/>
    <w:basedOn w:val="Normal"/>
    <w:uiPriority w:val="99"/>
    <w:rsid w:val="00A70E73"/>
    <w:pPr>
      <w:suppressAutoHyphens w:val="0"/>
      <w:autoSpaceDN w:val="0"/>
    </w:pPr>
    <w:rPr>
      <w:lang w:eastAsia="es-ES"/>
    </w:rPr>
  </w:style>
  <w:style w:type="paragraph" w:customStyle="1" w:styleId="heading11">
    <w:name w:val="heading11"/>
    <w:basedOn w:val="Normal"/>
    <w:uiPriority w:val="99"/>
    <w:rsid w:val="00A70E73"/>
    <w:pPr>
      <w:keepNext/>
      <w:suppressAutoHyphens w:val="0"/>
      <w:autoSpaceDN w:val="0"/>
      <w:jc w:val="right"/>
    </w:pPr>
    <w:rPr>
      <w:b/>
      <w:bCs/>
      <w:sz w:val="21"/>
      <w:szCs w:val="21"/>
      <w:lang w:eastAsia="es-ES"/>
    </w:rPr>
  </w:style>
  <w:style w:type="paragraph" w:styleId="Lista2">
    <w:name w:val="List 2"/>
    <w:basedOn w:val="Normal"/>
    <w:uiPriority w:val="99"/>
    <w:rsid w:val="00A70E73"/>
    <w:pPr>
      <w:ind w:left="566" w:hanging="283"/>
    </w:pPr>
    <w:rPr>
      <w:sz w:val="20"/>
      <w:szCs w:val="20"/>
      <w:lang w:val="es-ES_tradnl"/>
    </w:rPr>
  </w:style>
  <w:style w:type="paragraph" w:styleId="Textoindependienteprimerasangra">
    <w:name w:val="Body Text First Indent"/>
    <w:basedOn w:val="Textoindependiente"/>
    <w:link w:val="TextoindependienteprimerasangraCar"/>
    <w:uiPriority w:val="99"/>
    <w:rsid w:val="00A70E73"/>
    <w:pPr>
      <w:ind w:firstLine="210"/>
    </w:pPr>
    <w:rPr>
      <w:sz w:val="20"/>
      <w:szCs w:val="20"/>
      <w:lang w:val="es-ES_tradnl"/>
    </w:rPr>
  </w:style>
  <w:style w:type="paragraph" w:styleId="Textoindependienteprimerasangra2">
    <w:name w:val="Body Text First Indent 2"/>
    <w:basedOn w:val="Sangradetextonormal"/>
    <w:link w:val="Textoindependienteprimerasangra2Car"/>
    <w:uiPriority w:val="99"/>
    <w:rsid w:val="00A70E73"/>
    <w:pPr>
      <w:ind w:firstLine="210"/>
    </w:pPr>
  </w:style>
  <w:style w:type="paragraph" w:styleId="Lista3">
    <w:name w:val="List 3"/>
    <w:basedOn w:val="Normal"/>
    <w:uiPriority w:val="99"/>
    <w:rsid w:val="00A70E73"/>
    <w:pPr>
      <w:ind w:left="849" w:hanging="283"/>
    </w:pPr>
    <w:rPr>
      <w:sz w:val="20"/>
      <w:szCs w:val="20"/>
      <w:lang w:val="es-ES_tradnl"/>
    </w:rPr>
  </w:style>
  <w:style w:type="character" w:customStyle="1" w:styleId="CarCar6">
    <w:name w:val="Car Car6"/>
    <w:qFormat/>
    <w:locked/>
    <w:rsid w:val="00A70E73"/>
    <w:rPr>
      <w:rFonts w:cs="Arial"/>
      <w:color w:val="000000"/>
      <w:lang w:val="es-ES_tradnl" w:eastAsia="es-ES" w:bidi="ar-SA"/>
    </w:rPr>
  </w:style>
  <w:style w:type="paragraph" w:customStyle="1" w:styleId="xl63">
    <w:name w:val="xl63"/>
    <w:basedOn w:val="Normal"/>
    <w:uiPriority w:val="99"/>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64">
    <w:name w:val="xl64"/>
    <w:basedOn w:val="Normal"/>
    <w:uiPriority w:val="99"/>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65">
    <w:name w:val="xl65"/>
    <w:basedOn w:val="Normal"/>
    <w:uiPriority w:val="99"/>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6">
    <w:name w:val="xl66"/>
    <w:basedOn w:val="Normal"/>
    <w:uiPriority w:val="99"/>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7">
    <w:name w:val="xl67"/>
    <w:basedOn w:val="Normal"/>
    <w:uiPriority w:val="99"/>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8">
    <w:name w:val="xl68"/>
    <w:basedOn w:val="Normal"/>
    <w:uiPriority w:val="99"/>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9">
    <w:name w:val="xl69"/>
    <w:basedOn w:val="Normal"/>
    <w:uiPriority w:val="99"/>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0">
    <w:name w:val="xl70"/>
    <w:basedOn w:val="Normal"/>
    <w:uiPriority w:val="99"/>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71">
    <w:name w:val="xl71"/>
    <w:basedOn w:val="Normal"/>
    <w:uiPriority w:val="99"/>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color w:val="000000"/>
      <w:lang w:val="en-US" w:eastAsia="en-US"/>
    </w:rPr>
  </w:style>
  <w:style w:type="paragraph" w:customStyle="1" w:styleId="xl72">
    <w:name w:val="xl72"/>
    <w:basedOn w:val="Normal"/>
    <w:uiPriority w:val="99"/>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3">
    <w:name w:val="xl73"/>
    <w:basedOn w:val="Normal"/>
    <w:uiPriority w:val="99"/>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74">
    <w:name w:val="xl74"/>
    <w:basedOn w:val="Normal"/>
    <w:uiPriority w:val="99"/>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lang w:val="en-US" w:eastAsia="en-US"/>
    </w:rPr>
  </w:style>
  <w:style w:type="paragraph" w:customStyle="1" w:styleId="xl75">
    <w:name w:val="xl75"/>
    <w:basedOn w:val="Normal"/>
    <w:uiPriority w:val="99"/>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28"/>
      <w:szCs w:val="28"/>
      <w:lang w:val="en-US" w:eastAsia="en-US"/>
    </w:rPr>
  </w:style>
  <w:style w:type="character" w:customStyle="1" w:styleId="spelle">
    <w:name w:val="spelle"/>
    <w:qFormat/>
    <w:rsid w:val="00A70E73"/>
  </w:style>
  <w:style w:type="paragraph" w:customStyle="1" w:styleId="Pa3">
    <w:name w:val="Pa3"/>
    <w:basedOn w:val="Normal"/>
    <w:next w:val="Normal"/>
    <w:uiPriority w:val="99"/>
    <w:rsid w:val="00A70E73"/>
    <w:pPr>
      <w:suppressAutoHyphens w:val="0"/>
      <w:autoSpaceDE w:val="0"/>
      <w:autoSpaceDN w:val="0"/>
      <w:adjustRightInd w:val="0"/>
      <w:spacing w:line="181" w:lineRule="atLeast"/>
    </w:pPr>
    <w:rPr>
      <w:rFonts w:eastAsia="Calibri"/>
      <w:lang w:val="es-CR" w:eastAsia="es-CR"/>
    </w:rPr>
  </w:style>
  <w:style w:type="paragraph" w:customStyle="1" w:styleId="Pa5">
    <w:name w:val="Pa5"/>
    <w:basedOn w:val="Normal"/>
    <w:next w:val="Normal"/>
    <w:uiPriority w:val="99"/>
    <w:rsid w:val="00A70E73"/>
    <w:pPr>
      <w:suppressAutoHyphens w:val="0"/>
      <w:autoSpaceDE w:val="0"/>
      <w:autoSpaceDN w:val="0"/>
      <w:adjustRightInd w:val="0"/>
      <w:spacing w:line="181" w:lineRule="atLeast"/>
    </w:pPr>
    <w:rPr>
      <w:rFonts w:eastAsia="Calibri"/>
      <w:lang w:val="es-CR" w:eastAsia="es-CR"/>
    </w:rPr>
  </w:style>
  <w:style w:type="paragraph" w:customStyle="1" w:styleId="Pa6">
    <w:name w:val="Pa6"/>
    <w:basedOn w:val="Normal"/>
    <w:next w:val="Normal"/>
    <w:uiPriority w:val="99"/>
    <w:rsid w:val="00A70E73"/>
    <w:pPr>
      <w:suppressAutoHyphens w:val="0"/>
      <w:autoSpaceDE w:val="0"/>
      <w:autoSpaceDN w:val="0"/>
      <w:adjustRightInd w:val="0"/>
      <w:spacing w:line="181" w:lineRule="atLeast"/>
    </w:pPr>
    <w:rPr>
      <w:rFonts w:eastAsia="Calibri"/>
      <w:lang w:val="es-CR" w:eastAsia="es-CR"/>
    </w:rPr>
  </w:style>
  <w:style w:type="paragraph" w:customStyle="1" w:styleId="Textodebloque1">
    <w:name w:val="Texto de bloque1"/>
    <w:rsid w:val="00A70E73"/>
    <w:pPr>
      <w:widowControl w:val="0"/>
      <w:suppressAutoHyphens/>
      <w:autoSpaceDE w:val="0"/>
      <w:ind w:firstLine="709"/>
      <w:jc w:val="both"/>
    </w:pPr>
    <w:rPr>
      <w:rFonts w:ascii="Century" w:eastAsia="Century" w:hAnsi="Century"/>
      <w:color w:val="000000"/>
      <w:kern w:val="1"/>
      <w:sz w:val="24"/>
      <w:szCs w:val="24"/>
      <w:u w:val="single"/>
      <w:lang w:val="es-CR"/>
    </w:rPr>
  </w:style>
  <w:style w:type="paragraph" w:customStyle="1" w:styleId="Ttulo30">
    <w:name w:val="TÍtulo 3"/>
    <w:next w:val="Normal"/>
    <w:uiPriority w:val="99"/>
    <w:qFormat/>
    <w:rsid w:val="00A70E73"/>
    <w:pPr>
      <w:keepNext/>
      <w:widowControl w:val="0"/>
      <w:autoSpaceDE w:val="0"/>
      <w:autoSpaceDN w:val="0"/>
      <w:adjustRightInd w:val="0"/>
      <w:jc w:val="both"/>
    </w:pPr>
    <w:rPr>
      <w:rFonts w:ascii="Arial" w:hAnsi="Arial" w:cs="Arial"/>
      <w:sz w:val="24"/>
      <w:szCs w:val="24"/>
    </w:rPr>
  </w:style>
  <w:style w:type="paragraph" w:customStyle="1" w:styleId="textos">
    <w:name w:val="textos"/>
    <w:basedOn w:val="Normal"/>
    <w:uiPriority w:val="99"/>
    <w:rsid w:val="00A70E73"/>
    <w:pPr>
      <w:suppressAutoHyphens w:val="0"/>
      <w:spacing w:before="100" w:beforeAutospacing="1" w:after="100" w:afterAutospacing="1"/>
    </w:pPr>
    <w:rPr>
      <w:rFonts w:ascii="Arial" w:hAnsi="Arial" w:cs="Arial"/>
      <w:color w:val="000066"/>
      <w:sz w:val="28"/>
      <w:szCs w:val="28"/>
      <w:lang w:eastAsia="es-ES"/>
    </w:rPr>
  </w:style>
  <w:style w:type="paragraph" w:customStyle="1" w:styleId="subtitulo">
    <w:name w:val="subtitulo"/>
    <w:basedOn w:val="Normal"/>
    <w:uiPriority w:val="99"/>
    <w:rsid w:val="00A70E73"/>
    <w:pPr>
      <w:suppressAutoHyphens w:val="0"/>
      <w:spacing w:before="100" w:beforeAutospacing="1" w:after="100" w:afterAutospacing="1"/>
    </w:pPr>
    <w:rPr>
      <w:rFonts w:ascii="Arial" w:hAnsi="Arial" w:cs="Arial"/>
      <w:b/>
      <w:bCs/>
      <w:i/>
      <w:iCs/>
      <w:color w:val="333300"/>
      <w:sz w:val="23"/>
      <w:szCs w:val="23"/>
      <w:lang w:eastAsia="es-ES"/>
    </w:rPr>
  </w:style>
  <w:style w:type="paragraph" w:customStyle="1" w:styleId="Textoindependiente31">
    <w:name w:val="Texto independiente 31"/>
    <w:uiPriority w:val="99"/>
    <w:qFormat/>
    <w:rsid w:val="00A70E73"/>
    <w:pPr>
      <w:widowControl w:val="0"/>
      <w:autoSpaceDE w:val="0"/>
      <w:autoSpaceDN w:val="0"/>
      <w:adjustRightInd w:val="0"/>
      <w:jc w:val="both"/>
    </w:pPr>
    <w:rPr>
      <w:rFonts w:ascii="Arial" w:hAnsi="Arial" w:cs="Arial"/>
      <w:sz w:val="24"/>
      <w:szCs w:val="24"/>
    </w:rPr>
  </w:style>
  <w:style w:type="paragraph" w:customStyle="1" w:styleId="ecxjuris">
    <w:name w:val="ecxjuris"/>
    <w:uiPriority w:val="99"/>
    <w:rsid w:val="00A70E73"/>
    <w:pPr>
      <w:widowControl w:val="0"/>
      <w:autoSpaceDE w:val="0"/>
      <w:autoSpaceDN w:val="0"/>
      <w:adjustRightInd w:val="0"/>
      <w:spacing w:after="324"/>
    </w:pPr>
    <w:rPr>
      <w:rFonts w:ascii="Arial" w:hAnsi="Arial"/>
      <w:sz w:val="24"/>
      <w:szCs w:val="24"/>
    </w:rPr>
  </w:style>
  <w:style w:type="paragraph" w:styleId="Fecha">
    <w:name w:val="Date"/>
    <w:basedOn w:val="Normal"/>
    <w:link w:val="FechaCar"/>
    <w:uiPriority w:val="99"/>
    <w:rsid w:val="00A70E73"/>
    <w:pPr>
      <w:suppressAutoHyphens w:val="0"/>
    </w:pPr>
    <w:rPr>
      <w:rFonts w:ascii="Courier New" w:hAnsi="Courier New"/>
      <w:szCs w:val="20"/>
      <w:lang w:val="es-ES_tradnl" w:eastAsia="es-ES"/>
    </w:rPr>
  </w:style>
  <w:style w:type="paragraph" w:customStyle="1" w:styleId="Textodebloque10">
    <w:name w:val="Texto de bloque1"/>
    <w:basedOn w:val="Normal"/>
    <w:uiPriority w:val="99"/>
    <w:rsid w:val="00A70E73"/>
    <w:pPr>
      <w:widowControl w:val="0"/>
      <w:autoSpaceDE w:val="0"/>
      <w:ind w:left="-540" w:right="-415" w:firstLine="1248"/>
      <w:jc w:val="both"/>
    </w:pPr>
    <w:rPr>
      <w:rFonts w:ascii="Arial" w:hAnsi="Arial" w:cs="Arial"/>
      <w:lang w:eastAsia="zh-CN"/>
    </w:rPr>
  </w:style>
  <w:style w:type="paragraph" w:customStyle="1" w:styleId="msolistparagraph0">
    <w:name w:val="msolistparagraph"/>
    <w:basedOn w:val="Normal"/>
    <w:uiPriority w:val="99"/>
    <w:rsid w:val="00A70E73"/>
    <w:pPr>
      <w:suppressAutoHyphens w:val="0"/>
      <w:ind w:left="708"/>
    </w:pPr>
    <w:rPr>
      <w:rFonts w:ascii="Courier 10cpi" w:hAnsi="Courier 10cpi"/>
      <w:sz w:val="20"/>
      <w:szCs w:val="20"/>
      <w:lang w:eastAsia="es-ES"/>
    </w:rPr>
  </w:style>
  <w:style w:type="paragraph" w:customStyle="1" w:styleId="textosinformato1">
    <w:name w:val="textosinformato1"/>
    <w:uiPriority w:val="99"/>
    <w:rsid w:val="00A70E73"/>
    <w:pPr>
      <w:widowControl w:val="0"/>
      <w:autoSpaceDE w:val="0"/>
      <w:autoSpaceDN w:val="0"/>
      <w:adjustRightInd w:val="0"/>
    </w:pPr>
    <w:rPr>
      <w:rFonts w:ascii="Courier New" w:hAnsi="Courier New" w:cs="Courier New"/>
    </w:rPr>
  </w:style>
  <w:style w:type="paragraph" w:customStyle="1" w:styleId="listparagraph">
    <w:name w:val="listparagraph"/>
    <w:basedOn w:val="Normal"/>
    <w:uiPriority w:val="99"/>
    <w:rsid w:val="00A70E73"/>
    <w:pPr>
      <w:suppressAutoHyphens w:val="0"/>
      <w:ind w:left="720"/>
    </w:pPr>
    <w:rPr>
      <w:lang w:eastAsia="es-ES"/>
    </w:rPr>
  </w:style>
  <w:style w:type="paragraph" w:customStyle="1" w:styleId="Textoindependiente220">
    <w:name w:val="Texto independiente 22"/>
    <w:basedOn w:val="Normal"/>
    <w:uiPriority w:val="99"/>
    <w:rsid w:val="00A70E73"/>
    <w:pPr>
      <w:spacing w:line="360" w:lineRule="auto"/>
      <w:jc w:val="both"/>
    </w:pPr>
    <w:rPr>
      <w:rFonts w:ascii="Arial" w:hAnsi="Arial" w:cs="Arial"/>
      <w:kern w:val="1"/>
      <w:szCs w:val="20"/>
      <w:lang w:val="es-CR"/>
    </w:rPr>
  </w:style>
  <w:style w:type="paragraph" w:customStyle="1" w:styleId="Encabezado10">
    <w:name w:val="Encabezado 1"/>
    <w:next w:val="Normal"/>
    <w:uiPriority w:val="99"/>
    <w:qFormat/>
    <w:rsid w:val="00A70E73"/>
    <w:pPr>
      <w:keepNext/>
      <w:widowControl w:val="0"/>
      <w:autoSpaceDE w:val="0"/>
      <w:autoSpaceDN w:val="0"/>
      <w:adjustRightInd w:val="0"/>
      <w:jc w:val="both"/>
      <w:outlineLvl w:val="0"/>
    </w:pPr>
    <w:rPr>
      <w:rFonts w:ascii="Comic Sans MS" w:hAnsi="Comic Sans MS" w:cs="Comic Sans MS"/>
      <w:b/>
      <w:bCs/>
      <w:sz w:val="28"/>
      <w:szCs w:val="28"/>
    </w:rPr>
  </w:style>
  <w:style w:type="character" w:customStyle="1" w:styleId="Muydestacado">
    <w:name w:val="Muy destacado"/>
    <w:rsid w:val="00A70E73"/>
    <w:rPr>
      <w:b/>
      <w:bCs/>
    </w:rPr>
  </w:style>
  <w:style w:type="paragraph" w:customStyle="1" w:styleId="encabezado20">
    <w:name w:val="encabezado2"/>
    <w:basedOn w:val="Normal"/>
    <w:uiPriority w:val="99"/>
    <w:rsid w:val="00A70E73"/>
    <w:pPr>
      <w:keepNext/>
      <w:suppressAutoHyphens w:val="0"/>
    </w:pPr>
    <w:rPr>
      <w:b/>
      <w:bCs/>
      <w:sz w:val="18"/>
      <w:szCs w:val="18"/>
      <w:lang w:eastAsia="es-ES"/>
    </w:rPr>
  </w:style>
  <w:style w:type="paragraph" w:customStyle="1" w:styleId="encabezado30">
    <w:name w:val="encabezado3"/>
    <w:basedOn w:val="Normal"/>
    <w:uiPriority w:val="99"/>
    <w:rsid w:val="00A70E73"/>
    <w:pPr>
      <w:keepNext/>
      <w:suppressAutoHyphens w:val="0"/>
      <w:jc w:val="center"/>
    </w:pPr>
    <w:rPr>
      <w:b/>
      <w:bCs/>
      <w:sz w:val="18"/>
      <w:szCs w:val="18"/>
      <w:lang w:eastAsia="es-ES"/>
    </w:rPr>
  </w:style>
  <w:style w:type="paragraph" w:customStyle="1" w:styleId="estilo14ptazuloscurojustificadoprimeralnea125cmant0">
    <w:name w:val="estilo14ptazuloscurojustificadoprimeralnea125cmant"/>
    <w:basedOn w:val="Normal"/>
    <w:uiPriority w:val="99"/>
    <w:rsid w:val="00A70E73"/>
    <w:pPr>
      <w:suppressAutoHyphens w:val="0"/>
      <w:spacing w:before="100" w:beforeAutospacing="1" w:after="100" w:afterAutospacing="1"/>
    </w:pPr>
    <w:rPr>
      <w:lang w:eastAsia="es-ES"/>
    </w:rPr>
  </w:style>
  <w:style w:type="paragraph" w:customStyle="1" w:styleId="Encabezado21">
    <w:name w:val="Encabezado 2"/>
    <w:basedOn w:val="Predeterminado0"/>
    <w:next w:val="Predeterminado0"/>
    <w:uiPriority w:val="99"/>
    <w:qFormat/>
    <w:rsid w:val="00A70E73"/>
    <w:pPr>
      <w:keepNext/>
    </w:pPr>
    <w:rPr>
      <w:rFonts w:ascii="Times New Roman" w:hAnsi="Times New Roman" w:cs="Times New Roman"/>
      <w:b/>
      <w:bCs/>
      <w:color w:val="auto"/>
      <w:sz w:val="18"/>
      <w:szCs w:val="18"/>
    </w:rPr>
  </w:style>
  <w:style w:type="paragraph" w:customStyle="1" w:styleId="Encabezado31">
    <w:name w:val="Encabezado 3"/>
    <w:basedOn w:val="Predeterminado0"/>
    <w:next w:val="Predeterminado0"/>
    <w:link w:val="Heading3Char"/>
    <w:uiPriority w:val="99"/>
    <w:qFormat/>
    <w:rsid w:val="00A70E73"/>
    <w:pPr>
      <w:keepNext/>
      <w:jc w:val="center"/>
    </w:pPr>
    <w:rPr>
      <w:rFonts w:ascii="Times New Roman" w:hAnsi="Times New Roman" w:cs="Times New Roman"/>
      <w:b/>
      <w:bCs/>
      <w:color w:val="auto"/>
      <w:sz w:val="18"/>
      <w:szCs w:val="18"/>
    </w:rPr>
  </w:style>
  <w:style w:type="paragraph" w:customStyle="1" w:styleId="Fecha1">
    <w:name w:val="Fecha1"/>
    <w:basedOn w:val="Normal"/>
    <w:uiPriority w:val="99"/>
    <w:rsid w:val="00A70E73"/>
    <w:pPr>
      <w:suppressAutoHyphens w:val="0"/>
    </w:pPr>
    <w:rPr>
      <w:rFonts w:ascii="Courier New" w:hAnsi="Courier New"/>
      <w:szCs w:val="20"/>
    </w:rPr>
  </w:style>
  <w:style w:type="paragraph" w:customStyle="1" w:styleId="Sinespaciado1">
    <w:name w:val="Sin espaciado1"/>
    <w:link w:val="NoSpacingChar"/>
    <w:qFormat/>
    <w:rsid w:val="00A70E73"/>
    <w:rPr>
      <w:rFonts w:ascii="Calibri" w:hAnsi="Calibri"/>
      <w:sz w:val="22"/>
      <w:szCs w:val="22"/>
      <w:lang w:val="en-US" w:eastAsia="en-US"/>
    </w:rPr>
  </w:style>
  <w:style w:type="paragraph" w:customStyle="1" w:styleId="framecontents">
    <w:name w:val="framecontents"/>
    <w:basedOn w:val="Normal"/>
    <w:uiPriority w:val="99"/>
    <w:rsid w:val="00A70E73"/>
    <w:pPr>
      <w:suppressAutoHyphens w:val="0"/>
      <w:spacing w:before="100" w:beforeAutospacing="1" w:after="100" w:afterAutospacing="1"/>
    </w:pPr>
    <w:rPr>
      <w:lang w:eastAsia="es-ES"/>
    </w:rPr>
  </w:style>
  <w:style w:type="paragraph" w:customStyle="1" w:styleId="contenidodelatabla0">
    <w:name w:val="contenidodelatabla"/>
    <w:basedOn w:val="Normal"/>
    <w:uiPriority w:val="99"/>
    <w:rsid w:val="00A70E73"/>
    <w:rPr>
      <w:rFonts w:eastAsia="Calibri"/>
      <w:lang w:val="es-CR"/>
    </w:rPr>
  </w:style>
  <w:style w:type="paragraph" w:styleId="Listaconnmeros">
    <w:name w:val="List Number"/>
    <w:basedOn w:val="Normal"/>
    <w:uiPriority w:val="99"/>
    <w:rsid w:val="00A70E73"/>
    <w:pPr>
      <w:numPr>
        <w:numId w:val="5"/>
      </w:numPr>
    </w:pPr>
    <w:rPr>
      <w:sz w:val="20"/>
      <w:szCs w:val="20"/>
      <w:lang w:val="es-ES_tradnl"/>
    </w:rPr>
  </w:style>
  <w:style w:type="character" w:customStyle="1" w:styleId="encabezadoCarCar1">
    <w:name w:val="encabezado Car Car1"/>
    <w:locked/>
    <w:rsid w:val="00A70E73"/>
    <w:rPr>
      <w:sz w:val="24"/>
      <w:szCs w:val="24"/>
      <w:lang w:val="es-CR" w:eastAsia="es-ES" w:bidi="ar-SA"/>
    </w:rPr>
  </w:style>
  <w:style w:type="paragraph" w:customStyle="1" w:styleId="ww-predeterminado0">
    <w:name w:val="ww-predeterminado0"/>
    <w:basedOn w:val="Normal"/>
    <w:uiPriority w:val="99"/>
    <w:rsid w:val="00A70E73"/>
    <w:pPr>
      <w:suppressAutoHyphens w:val="0"/>
    </w:pPr>
    <w:rPr>
      <w:lang w:eastAsia="es-ES"/>
    </w:rPr>
  </w:style>
  <w:style w:type="paragraph" w:customStyle="1" w:styleId="ww-encabezado20">
    <w:name w:val="ww-encabezado20"/>
    <w:basedOn w:val="Normal"/>
    <w:uiPriority w:val="99"/>
    <w:rsid w:val="00A70E73"/>
    <w:pPr>
      <w:keepNext/>
      <w:suppressAutoHyphens w:val="0"/>
      <w:autoSpaceDE w:val="0"/>
    </w:pPr>
    <w:rPr>
      <w:b/>
      <w:bCs/>
      <w:sz w:val="18"/>
      <w:szCs w:val="18"/>
      <w:lang w:eastAsia="es-ES"/>
    </w:rPr>
  </w:style>
  <w:style w:type="paragraph" w:customStyle="1" w:styleId="ww-encabezado30">
    <w:name w:val="ww-encabezado30"/>
    <w:basedOn w:val="Normal"/>
    <w:uiPriority w:val="99"/>
    <w:rsid w:val="00A70E73"/>
    <w:pPr>
      <w:keepNext/>
      <w:suppressAutoHyphens w:val="0"/>
      <w:autoSpaceDE w:val="0"/>
      <w:jc w:val="center"/>
    </w:pPr>
    <w:rPr>
      <w:b/>
      <w:bCs/>
      <w:sz w:val="18"/>
      <w:szCs w:val="18"/>
      <w:lang w:eastAsia="es-ES"/>
    </w:rPr>
  </w:style>
  <w:style w:type="paragraph" w:customStyle="1" w:styleId="Encabezadoencabezado">
    <w:name w:val="Encabezado.encabezado"/>
    <w:basedOn w:val="Normal"/>
    <w:uiPriority w:val="99"/>
    <w:rsid w:val="00A70E73"/>
    <w:pPr>
      <w:tabs>
        <w:tab w:val="center" w:pos="4252"/>
        <w:tab w:val="right" w:pos="8504"/>
      </w:tabs>
      <w:suppressAutoHyphens w:val="0"/>
      <w:overflowPunct w:val="0"/>
      <w:autoSpaceDE w:val="0"/>
      <w:autoSpaceDN w:val="0"/>
      <w:adjustRightInd w:val="0"/>
      <w:textAlignment w:val="baseline"/>
    </w:pPr>
    <w:rPr>
      <w:sz w:val="22"/>
      <w:szCs w:val="20"/>
      <w:lang w:eastAsia="es-ES"/>
    </w:rPr>
  </w:style>
  <w:style w:type="paragraph" w:customStyle="1" w:styleId="cuerpocarta">
    <w:name w:val="cuerpo carta"/>
    <w:basedOn w:val="Normal"/>
    <w:uiPriority w:val="99"/>
    <w:rsid w:val="00A70E73"/>
    <w:pPr>
      <w:widowControl w:val="0"/>
      <w:ind w:left="1080"/>
      <w:jc w:val="both"/>
    </w:pPr>
    <w:rPr>
      <w:rFonts w:ascii="Toronto" w:hAnsi="Toronto"/>
      <w:i/>
      <w:szCs w:val="20"/>
      <w:lang w:val="es-CR"/>
    </w:rPr>
  </w:style>
  <w:style w:type="paragraph" w:customStyle="1" w:styleId="Sangra2detindependiente10">
    <w:name w:val="Sangría 2 de t. independiente1"/>
    <w:basedOn w:val="Normal"/>
    <w:qFormat/>
    <w:rsid w:val="00A70E7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sangra2detindependiente11">
    <w:name w:val="sangra2detindependiente1"/>
    <w:basedOn w:val="Normal"/>
    <w:uiPriority w:val="99"/>
    <w:rsid w:val="00A70E73"/>
    <w:pPr>
      <w:suppressAutoHyphens w:val="0"/>
      <w:spacing w:before="100" w:beforeAutospacing="1" w:after="100" w:afterAutospacing="1"/>
    </w:pPr>
    <w:rPr>
      <w:lang w:eastAsia="es-ES"/>
    </w:rPr>
  </w:style>
  <w:style w:type="paragraph" w:styleId="TtuloTDC">
    <w:name w:val="TOC Heading"/>
    <w:basedOn w:val="Ttulo1"/>
    <w:next w:val="Normal"/>
    <w:uiPriority w:val="99"/>
    <w:qFormat/>
    <w:rsid w:val="00A70E7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lang w:eastAsia="en-US" w:bidi="en-US"/>
      <w14:shadow w14:blurRad="50800" w14:dist="38100" w14:dir="2700000" w14:sx="100000" w14:sy="100000" w14:kx="0" w14:ky="0" w14:algn="tl">
        <w14:srgbClr w14:val="000000">
          <w14:alpha w14:val="60000"/>
        </w14:srgbClr>
      </w14:shadow>
    </w:rPr>
  </w:style>
  <w:style w:type="paragraph" w:customStyle="1" w:styleId="Textosinformato10">
    <w:name w:val="Texto sin formato1"/>
    <w:uiPriority w:val="99"/>
    <w:qFormat/>
    <w:rsid w:val="00A70E73"/>
    <w:pPr>
      <w:widowControl w:val="0"/>
      <w:autoSpaceDE w:val="0"/>
      <w:autoSpaceDN w:val="0"/>
      <w:adjustRightInd w:val="0"/>
    </w:pPr>
    <w:rPr>
      <w:rFonts w:ascii="Verdana" w:hAnsi="Verdana" w:cs="Verdana"/>
    </w:rPr>
  </w:style>
  <w:style w:type="character" w:customStyle="1" w:styleId="apple-tab-span">
    <w:name w:val="apple-tab-span"/>
    <w:basedOn w:val="Fuentedeprrafopredeter"/>
    <w:rsid w:val="00A70E73"/>
  </w:style>
  <w:style w:type="paragraph" w:customStyle="1" w:styleId="ListBulletBold">
    <w:name w:val="List Bullet Bold"/>
    <w:basedOn w:val="Listaconvietas"/>
    <w:next w:val="Continuarlista"/>
    <w:uiPriority w:val="99"/>
    <w:qFormat/>
    <w:rsid w:val="00A70E73"/>
    <w:pPr>
      <w:keepNext/>
      <w:keepLines/>
      <w:numPr>
        <w:numId w:val="2"/>
      </w:numPr>
      <w:tabs>
        <w:tab w:val="num" w:pos="1080"/>
      </w:tabs>
      <w:spacing w:before="60" w:after="60"/>
      <w:jc w:val="both"/>
    </w:pPr>
    <w:rPr>
      <w:rFonts w:ascii="Tahoma" w:hAnsi="Tahoma" w:cs="Tahoma"/>
      <w:b/>
      <w:bCs/>
      <w:sz w:val="20"/>
      <w:szCs w:val="20"/>
      <w:lang w:val="es-CL" w:eastAsia="en-US"/>
    </w:rPr>
  </w:style>
  <w:style w:type="paragraph" w:styleId="Continuarlista">
    <w:name w:val="List Continue"/>
    <w:basedOn w:val="Normal"/>
    <w:uiPriority w:val="99"/>
    <w:qFormat/>
    <w:rsid w:val="00A70E73"/>
    <w:pPr>
      <w:numPr>
        <w:numId w:val="6"/>
      </w:numPr>
      <w:tabs>
        <w:tab w:val="clear" w:pos="717"/>
      </w:tabs>
      <w:spacing w:after="120"/>
      <w:ind w:left="283" w:firstLine="0"/>
    </w:pPr>
    <w:rPr>
      <w:sz w:val="20"/>
      <w:szCs w:val="20"/>
    </w:rPr>
  </w:style>
  <w:style w:type="paragraph" w:customStyle="1" w:styleId="Estilopredeterminado">
    <w:name w:val="Estilo predeterminado"/>
    <w:next w:val="Normal"/>
    <w:uiPriority w:val="99"/>
    <w:rsid w:val="00A70E73"/>
    <w:pPr>
      <w:widowControl w:val="0"/>
      <w:autoSpaceDE w:val="0"/>
      <w:autoSpaceDN w:val="0"/>
      <w:adjustRightInd w:val="0"/>
    </w:pPr>
    <w:rPr>
      <w:rFonts w:ascii="Arial" w:hAnsi="Arial" w:cs="Arial"/>
      <w:sz w:val="24"/>
      <w:szCs w:val="24"/>
    </w:rPr>
  </w:style>
  <w:style w:type="paragraph" w:styleId="Listaconvietas2">
    <w:name w:val="List Bullet 2"/>
    <w:basedOn w:val="Normal"/>
    <w:rsid w:val="00A70E73"/>
    <w:pPr>
      <w:numPr>
        <w:numId w:val="7"/>
      </w:numPr>
    </w:pPr>
    <w:rPr>
      <w:sz w:val="20"/>
      <w:szCs w:val="20"/>
      <w:lang w:val="es-ES_tradnl"/>
    </w:rPr>
  </w:style>
  <w:style w:type="paragraph" w:customStyle="1" w:styleId="epgrafe">
    <w:name w:val="epígrafe"/>
    <w:basedOn w:val="Normal"/>
    <w:uiPriority w:val="99"/>
    <w:qFormat/>
    <w:rsid w:val="00A70E73"/>
    <w:pPr>
      <w:widowControl w:val="0"/>
      <w:suppressAutoHyphens w:val="0"/>
    </w:pPr>
    <w:rPr>
      <w:snapToGrid w:val="0"/>
      <w:szCs w:val="20"/>
      <w:lang w:val="es-ES_tradnl" w:eastAsia="es-ES"/>
    </w:rPr>
  </w:style>
  <w:style w:type="paragraph" w:customStyle="1" w:styleId="Textosinformato2">
    <w:name w:val="Texto sin formato2"/>
    <w:basedOn w:val="Normal"/>
    <w:uiPriority w:val="99"/>
    <w:rsid w:val="00A70E73"/>
    <w:rPr>
      <w:rFonts w:ascii="Courier New" w:hAnsi="Courier New" w:cs="Courier New"/>
      <w:sz w:val="20"/>
      <w:szCs w:val="20"/>
    </w:rPr>
  </w:style>
  <w:style w:type="paragraph" w:customStyle="1" w:styleId="CalendarInformation">
    <w:name w:val="Calendar Information"/>
    <w:basedOn w:val="Normal"/>
    <w:link w:val="CalendarInformationChar"/>
    <w:rsid w:val="00A70E73"/>
    <w:pPr>
      <w:framePr w:hSpace="187" w:wrap="auto" w:vAnchor="page" w:hAnchor="page" w:xAlign="center" w:y="1441"/>
      <w:tabs>
        <w:tab w:val="left" w:pos="576"/>
      </w:tabs>
      <w:suppressAutoHyphens w:val="0"/>
    </w:pPr>
    <w:rPr>
      <w:rFonts w:ascii="Century Gothic" w:hAnsi="Century Gothic"/>
      <w:szCs w:val="20"/>
    </w:rPr>
  </w:style>
  <w:style w:type="character" w:customStyle="1" w:styleId="CalendarInformationChar">
    <w:name w:val="Calendar Information Char"/>
    <w:link w:val="CalendarInformation"/>
    <w:locked/>
    <w:rsid w:val="00A70E73"/>
    <w:rPr>
      <w:rFonts w:ascii="Century Gothic" w:hAnsi="Century Gothic"/>
      <w:sz w:val="24"/>
      <w:lang w:bidi="ar-SA"/>
    </w:rPr>
  </w:style>
  <w:style w:type="character" w:customStyle="1" w:styleId="CarCar5">
    <w:name w:val="Car Car5"/>
    <w:qFormat/>
    <w:rsid w:val="00A70E73"/>
    <w:rPr>
      <w:rFonts w:ascii="Arial" w:hAnsi="Arial" w:cs="Arial"/>
      <w:b/>
      <w:bCs/>
      <w:kern w:val="1"/>
      <w:sz w:val="28"/>
      <w:szCs w:val="28"/>
      <w:lang w:val="es-ES" w:eastAsia="ar-SA" w:bidi="ar-SA"/>
    </w:rPr>
  </w:style>
  <w:style w:type="character" w:customStyle="1" w:styleId="H2Car">
    <w:name w:val="H2 Car"/>
    <w:aliases w:val="Títulos de Hallazgo e Introducción Car Car"/>
    <w:rsid w:val="00A70E73"/>
    <w:rPr>
      <w:b/>
      <w:bCs/>
      <w:sz w:val="28"/>
      <w:szCs w:val="28"/>
      <w:u w:val="single"/>
      <w:lang w:val="es-ES" w:eastAsia="ar-SA" w:bidi="ar-SA"/>
    </w:rPr>
  </w:style>
  <w:style w:type="character" w:customStyle="1" w:styleId="CarCar8">
    <w:name w:val="Car Car8"/>
    <w:qFormat/>
    <w:rsid w:val="00A70E73"/>
    <w:rPr>
      <w:rFonts w:ascii="Arial" w:hAnsi="Arial" w:cs="Arial"/>
      <w:b/>
      <w:bCs/>
      <w:sz w:val="26"/>
      <w:szCs w:val="26"/>
      <w:lang w:val="es-ES" w:eastAsia="ar-SA" w:bidi="ar-SA"/>
    </w:rPr>
  </w:style>
  <w:style w:type="character" w:customStyle="1" w:styleId="CarCar7">
    <w:name w:val="Car Car7"/>
    <w:qFormat/>
    <w:rsid w:val="00A70E73"/>
    <w:rPr>
      <w:b/>
      <w:bCs/>
      <w:sz w:val="28"/>
      <w:szCs w:val="28"/>
      <w:lang w:val="es-ES" w:eastAsia="es-ES" w:bidi="ar-SA"/>
    </w:rPr>
  </w:style>
  <w:style w:type="character" w:customStyle="1" w:styleId="Ttulo7Car">
    <w:name w:val="Título 7 Car"/>
    <w:rsid w:val="00A70E73"/>
    <w:rPr>
      <w:sz w:val="24"/>
      <w:szCs w:val="24"/>
      <w:lang w:val="es-ES" w:eastAsia="es-ES" w:bidi="ar-SA"/>
    </w:rPr>
  </w:style>
  <w:style w:type="character" w:customStyle="1" w:styleId="EncabezadoCar">
    <w:name w:val="Encabezado Car"/>
    <w:aliases w:val="encabezado Car,h Car1,h Car Car1"/>
    <w:uiPriority w:val="99"/>
    <w:qFormat/>
    <w:rsid w:val="00A70E73"/>
    <w:rPr>
      <w:rFonts w:ascii="MS Sans Serif" w:hAnsi="MS Sans Serif"/>
      <w:sz w:val="24"/>
      <w:lang w:val="es-ES_tradnl" w:eastAsia="es-ES" w:bidi="ar-SA"/>
    </w:rPr>
  </w:style>
  <w:style w:type="paragraph" w:customStyle="1" w:styleId="Informal1">
    <w:name w:val="Informal1"/>
    <w:uiPriority w:val="99"/>
    <w:rsid w:val="00A70E73"/>
    <w:pPr>
      <w:widowControl w:val="0"/>
      <w:overflowPunct w:val="0"/>
      <w:autoSpaceDE w:val="0"/>
      <w:autoSpaceDN w:val="0"/>
      <w:adjustRightInd w:val="0"/>
      <w:spacing w:before="60" w:after="60"/>
      <w:textAlignment w:val="baseline"/>
    </w:pPr>
    <w:rPr>
      <w:rFonts w:ascii="Arial" w:hAnsi="Arial"/>
    </w:rPr>
  </w:style>
  <w:style w:type="paragraph" w:customStyle="1" w:styleId="xl24">
    <w:name w:val="xl24"/>
    <w:basedOn w:val="Normal"/>
    <w:uiPriority w:val="99"/>
    <w:qFormat/>
    <w:rsid w:val="00A70E73"/>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rFonts w:ascii="Book Antiqua" w:eastAsia="Arial Unicode MS" w:hAnsi="Book Antiqua" w:cs="Arial Unicode MS"/>
      <w:b/>
      <w:bCs/>
      <w:lang w:eastAsia="es-ES"/>
    </w:rPr>
  </w:style>
  <w:style w:type="paragraph" w:customStyle="1" w:styleId="WW-TableContents123456789101112130">
    <w:name w:val="WW-Table Contents12345678910111213"/>
    <w:basedOn w:val="Normal"/>
    <w:uiPriority w:val="99"/>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67891011121314">
    <w:name w:val="WW-Table Contents1234567891011121314"/>
    <w:basedOn w:val="Normal"/>
    <w:uiPriority w:val="99"/>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0">
    <w:name w:val="ww-tablecontents12345"/>
    <w:basedOn w:val="Normal"/>
    <w:uiPriority w:val="99"/>
    <w:rsid w:val="00A70E73"/>
    <w:pPr>
      <w:shd w:val="clear" w:color="auto" w:fill="FFFFFF"/>
      <w:suppressAutoHyphens w:val="0"/>
      <w:autoSpaceDE w:val="0"/>
    </w:pPr>
    <w:rPr>
      <w:rFonts w:ascii="Arial" w:hAnsi="Arial" w:cs="Arial"/>
      <w:u w:val="single"/>
      <w:lang w:eastAsia="es-ES"/>
    </w:rPr>
  </w:style>
  <w:style w:type="paragraph" w:customStyle="1" w:styleId="xl40">
    <w:name w:val="xl40"/>
    <w:basedOn w:val="Normal"/>
    <w:uiPriority w:val="99"/>
    <w:rsid w:val="00A70E73"/>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lang w:eastAsia="es-ES"/>
    </w:rPr>
  </w:style>
  <w:style w:type="paragraph" w:customStyle="1" w:styleId="SUBPROGRAMA">
    <w:name w:val="SUBPROGRAMA"/>
    <w:basedOn w:val="Ttulo1"/>
    <w:next w:val="Normal"/>
    <w:uiPriority w:val="99"/>
    <w:rsid w:val="00A70E73"/>
    <w:pPr>
      <w:numPr>
        <w:numId w:val="1"/>
      </w:numPr>
      <w:suppressAutoHyphens w:val="0"/>
      <w:jc w:val="both"/>
    </w:pPr>
    <w:rPr>
      <w:rFonts w:ascii="Bookman Old Style" w:hAnsi="Bookman Old Style" w:cs="Times New Roman"/>
      <w:bCs w:val="0"/>
      <w:smallCaps/>
      <w:kern w:val="28"/>
      <w:sz w:val="28"/>
      <w:szCs w:val="20"/>
      <w:lang w:eastAsia="es-ES"/>
    </w:rPr>
  </w:style>
  <w:style w:type="paragraph" w:customStyle="1" w:styleId="informal10">
    <w:name w:val="informal1"/>
    <w:basedOn w:val="Normal"/>
    <w:uiPriority w:val="99"/>
    <w:rsid w:val="00A70E73"/>
    <w:pPr>
      <w:suppressAutoHyphens w:val="0"/>
      <w:spacing w:before="100" w:beforeAutospacing="1" w:after="100" w:afterAutospacing="1"/>
    </w:pPr>
    <w:rPr>
      <w:lang w:eastAsia="es-ES"/>
    </w:rPr>
  </w:style>
  <w:style w:type="paragraph" w:customStyle="1" w:styleId="autocorrecci3f">
    <w:name w:val="autocorrecci3f"/>
    <w:basedOn w:val="Normal"/>
    <w:uiPriority w:val="99"/>
    <w:rsid w:val="00A70E73"/>
    <w:pPr>
      <w:numPr>
        <w:numId w:val="4"/>
      </w:numPr>
      <w:shd w:val="clear" w:color="auto" w:fill="FFFFFF"/>
      <w:tabs>
        <w:tab w:val="clear" w:pos="720"/>
      </w:tabs>
      <w:suppressAutoHyphens w:val="0"/>
      <w:autoSpaceDE w:val="0"/>
      <w:ind w:left="0" w:firstLine="0"/>
    </w:pPr>
    <w:rPr>
      <w:rFonts w:ascii="Arial" w:hAnsi="Arial" w:cs="Arial"/>
      <w:sz w:val="20"/>
      <w:szCs w:val="20"/>
      <w:u w:val="single"/>
      <w:lang w:eastAsia="es-ES"/>
    </w:rPr>
  </w:style>
  <w:style w:type="paragraph" w:customStyle="1" w:styleId="heading5">
    <w:name w:val="heading5"/>
    <w:basedOn w:val="Normal"/>
    <w:uiPriority w:val="99"/>
    <w:rsid w:val="00A70E73"/>
    <w:pPr>
      <w:keepNext/>
      <w:numPr>
        <w:numId w:val="3"/>
      </w:numPr>
      <w:shd w:val="clear" w:color="auto" w:fill="FFFFFF"/>
      <w:suppressAutoHyphens w:val="0"/>
      <w:ind w:left="0" w:firstLine="0"/>
      <w:jc w:val="center"/>
    </w:pPr>
    <w:rPr>
      <w:b/>
      <w:bCs/>
      <w:i/>
      <w:iCs/>
      <w:sz w:val="26"/>
      <w:szCs w:val="26"/>
      <w:u w:val="single"/>
      <w:lang w:eastAsia="es-ES"/>
    </w:rPr>
  </w:style>
  <w:style w:type="paragraph" w:customStyle="1" w:styleId="ww-tablecontents12345678910111213">
    <w:name w:val="ww-tablecontents12345678910111213"/>
    <w:basedOn w:val="Normal"/>
    <w:uiPriority w:val="99"/>
    <w:rsid w:val="00A70E73"/>
    <w:pPr>
      <w:numPr>
        <w:numId w:val="8"/>
      </w:numPr>
      <w:shd w:val="clear" w:color="auto" w:fill="FFFFFF"/>
      <w:tabs>
        <w:tab w:val="clear" w:pos="720"/>
      </w:tabs>
      <w:suppressAutoHyphens w:val="0"/>
      <w:autoSpaceDE w:val="0"/>
      <w:ind w:left="0" w:firstLine="0"/>
    </w:pPr>
    <w:rPr>
      <w:rFonts w:ascii="Arial" w:hAnsi="Arial" w:cs="Arial"/>
      <w:u w:val="single"/>
    </w:rPr>
  </w:style>
  <w:style w:type="paragraph" w:customStyle="1" w:styleId="Listaconvietas1">
    <w:name w:val="Lista con viñetas1"/>
    <w:basedOn w:val="Normal"/>
    <w:uiPriority w:val="99"/>
    <w:rsid w:val="00A70E73"/>
    <w:pPr>
      <w:widowControl w:val="0"/>
      <w:tabs>
        <w:tab w:val="num" w:pos="720"/>
      </w:tabs>
      <w:ind w:left="720" w:hanging="360"/>
    </w:pPr>
    <w:rPr>
      <w:rFonts w:eastAsia="Arial Unicode MS"/>
      <w:lang w:val="es-CR"/>
    </w:rPr>
  </w:style>
  <w:style w:type="paragraph" w:customStyle="1" w:styleId="TableContents1">
    <w:name w:val="Table Contents1"/>
    <w:basedOn w:val="Normal"/>
    <w:uiPriority w:val="99"/>
    <w:qFormat/>
    <w:rsid w:val="00A70E73"/>
    <w:pPr>
      <w:widowControl w:val="0"/>
      <w:suppressAutoHyphens w:val="0"/>
      <w:autoSpaceDE w:val="0"/>
      <w:autoSpaceDN w:val="0"/>
      <w:adjustRightInd w:val="0"/>
    </w:pPr>
    <w:rPr>
      <w:rFonts w:ascii="Arial" w:hAnsi="Arial"/>
      <w:u w:val="single"/>
      <w:shd w:val="clear" w:color="auto" w:fill="FFFFFF"/>
      <w:lang w:eastAsia="es-ES"/>
    </w:rPr>
  </w:style>
  <w:style w:type="paragraph" w:styleId="z-Principiodelformulario">
    <w:name w:val="HTML Top of Form"/>
    <w:basedOn w:val="Normal"/>
    <w:next w:val="Normal"/>
    <w:link w:val="z-PrincipiodelformularioCar"/>
    <w:hidden/>
    <w:uiPriority w:val="99"/>
    <w:unhideWhenUsed/>
    <w:rsid w:val="00A70E73"/>
    <w:pPr>
      <w:pBdr>
        <w:bottom w:val="single" w:sz="6" w:space="1" w:color="auto"/>
      </w:pBdr>
      <w:suppressAutoHyphens w:val="0"/>
      <w:jc w:val="center"/>
    </w:pPr>
    <w:rPr>
      <w:b/>
      <w:bCs/>
      <w:i/>
      <w:iCs/>
      <w:lang w:val="es-CR" w:eastAsia="es-ES"/>
    </w:rPr>
  </w:style>
  <w:style w:type="paragraph" w:customStyle="1" w:styleId="default0">
    <w:name w:val="default"/>
    <w:basedOn w:val="Normal"/>
    <w:uiPriority w:val="99"/>
    <w:rsid w:val="00A70E73"/>
    <w:pPr>
      <w:suppressAutoHyphens w:val="0"/>
      <w:spacing w:before="100" w:beforeAutospacing="1" w:after="100" w:afterAutospacing="1"/>
    </w:pPr>
    <w:rPr>
      <w:lang w:eastAsia="es-ES"/>
    </w:rPr>
  </w:style>
  <w:style w:type="paragraph" w:styleId="Asuntodelcomentario">
    <w:name w:val="annotation subject"/>
    <w:basedOn w:val="Normal"/>
    <w:link w:val="AsuntodelcomentarioCar"/>
    <w:qFormat/>
    <w:rsid w:val="00A70E73"/>
    <w:pPr>
      <w:suppressAutoHyphens w:val="0"/>
    </w:pPr>
    <w:rPr>
      <w:b/>
      <w:bCs/>
      <w:sz w:val="20"/>
      <w:szCs w:val="20"/>
      <w:lang w:eastAsia="es-ES"/>
    </w:rPr>
  </w:style>
  <w:style w:type="paragraph" w:customStyle="1" w:styleId="car11">
    <w:name w:val="car11"/>
    <w:basedOn w:val="Normal"/>
    <w:uiPriority w:val="99"/>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subprograma0">
    <w:name w:val="subprograma"/>
    <w:basedOn w:val="Normal"/>
    <w:uiPriority w:val="99"/>
    <w:rsid w:val="00A70E73"/>
    <w:pPr>
      <w:keepNext/>
      <w:tabs>
        <w:tab w:val="num" w:pos="643"/>
      </w:tabs>
      <w:suppressAutoHyphens w:val="0"/>
      <w:spacing w:before="240" w:after="60"/>
      <w:ind w:left="360" w:hanging="360"/>
      <w:jc w:val="both"/>
    </w:pPr>
    <w:rPr>
      <w:rFonts w:ascii="Bookman Old Style" w:hAnsi="Bookman Old Style"/>
      <w:b/>
      <w:bCs/>
      <w:smallCaps/>
      <w:sz w:val="28"/>
      <w:szCs w:val="28"/>
      <w:lang w:eastAsia="es-ES"/>
    </w:rPr>
  </w:style>
  <w:style w:type="paragraph" w:customStyle="1" w:styleId="car1">
    <w:name w:val="car"/>
    <w:basedOn w:val="Normal"/>
    <w:uiPriority w:val="99"/>
    <w:rsid w:val="00A70E73"/>
    <w:pPr>
      <w:suppressAutoHyphens w:val="0"/>
      <w:spacing w:after="160" w:line="240" w:lineRule="atLeast"/>
    </w:pPr>
    <w:rPr>
      <w:rFonts w:ascii="Verdana" w:hAnsi="Verdana"/>
      <w:sz w:val="20"/>
      <w:szCs w:val="20"/>
      <w:lang w:eastAsia="es-ES"/>
    </w:rPr>
  </w:style>
  <w:style w:type="paragraph" w:customStyle="1" w:styleId="style10">
    <w:name w:val="style1"/>
    <w:basedOn w:val="Normal"/>
    <w:uiPriority w:val="99"/>
    <w:rsid w:val="00A70E73"/>
    <w:pPr>
      <w:suppressAutoHyphens w:val="0"/>
      <w:autoSpaceDE w:val="0"/>
      <w:autoSpaceDN w:val="0"/>
    </w:pPr>
    <w:rPr>
      <w:sz w:val="20"/>
      <w:szCs w:val="20"/>
      <w:lang w:eastAsia="es-ES"/>
    </w:rPr>
  </w:style>
  <w:style w:type="paragraph" w:customStyle="1" w:styleId="car110">
    <w:name w:val="car110"/>
    <w:basedOn w:val="Normal"/>
    <w:uiPriority w:val="99"/>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default00">
    <w:name w:val="default0"/>
    <w:basedOn w:val="Normal"/>
    <w:uiPriority w:val="99"/>
    <w:rsid w:val="00A70E73"/>
    <w:pPr>
      <w:suppressAutoHyphens w:val="0"/>
      <w:autoSpaceDE w:val="0"/>
      <w:autoSpaceDN w:val="0"/>
    </w:pPr>
    <w:rPr>
      <w:rFonts w:ascii="Book Antiqua" w:hAnsi="Book Antiqua"/>
      <w:color w:val="000000"/>
      <w:lang w:eastAsia="es-ES"/>
    </w:rPr>
  </w:style>
  <w:style w:type="paragraph" w:customStyle="1" w:styleId="charchar1">
    <w:name w:val="charchar"/>
    <w:basedOn w:val="Normal"/>
    <w:uiPriority w:val="99"/>
    <w:rsid w:val="00A70E73"/>
    <w:pPr>
      <w:suppressAutoHyphens w:val="0"/>
      <w:spacing w:after="160" w:line="240" w:lineRule="atLeast"/>
    </w:pPr>
    <w:rPr>
      <w:rFonts w:ascii="Verdana" w:hAnsi="Verdana"/>
      <w:sz w:val="20"/>
      <w:szCs w:val="20"/>
      <w:lang w:eastAsia="es-ES"/>
    </w:rPr>
  </w:style>
  <w:style w:type="paragraph" w:customStyle="1" w:styleId="ww-tablecontents12">
    <w:name w:val="ww-tablecontents12"/>
    <w:basedOn w:val="Normal"/>
    <w:uiPriority w:val="99"/>
    <w:rsid w:val="00A70E73"/>
    <w:pPr>
      <w:suppressAutoHyphens w:val="0"/>
      <w:autoSpaceDE w:val="0"/>
      <w:autoSpaceDN w:val="0"/>
    </w:pPr>
    <w:rPr>
      <w:rFonts w:ascii="Book Antiqua" w:hAnsi="Book Antiqua"/>
      <w:lang w:eastAsia="es-ES"/>
    </w:rPr>
  </w:style>
  <w:style w:type="paragraph" w:customStyle="1" w:styleId="car00">
    <w:name w:val="car0"/>
    <w:basedOn w:val="Normal"/>
    <w:uiPriority w:val="99"/>
    <w:rsid w:val="00A70E73"/>
    <w:pPr>
      <w:suppressAutoHyphens w:val="0"/>
      <w:spacing w:after="160" w:line="240" w:lineRule="atLeast"/>
    </w:pPr>
    <w:rPr>
      <w:rFonts w:ascii="Verdana" w:hAnsi="Verdana"/>
      <w:sz w:val="20"/>
      <w:szCs w:val="20"/>
      <w:lang w:eastAsia="es-ES"/>
    </w:rPr>
  </w:style>
  <w:style w:type="paragraph" w:customStyle="1" w:styleId="ww-tablecontents123456">
    <w:name w:val="ww-tablecontents123456"/>
    <w:basedOn w:val="Normal"/>
    <w:uiPriority w:val="99"/>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23456789">
    <w:name w:val="ww-tablecontents123456789"/>
    <w:basedOn w:val="Normal"/>
    <w:uiPriority w:val="99"/>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
    <w:name w:val="ww-tablecontents1"/>
    <w:basedOn w:val="Normal"/>
    <w:uiPriority w:val="99"/>
    <w:rsid w:val="00A70E73"/>
    <w:pPr>
      <w:shd w:val="clear" w:color="auto" w:fill="FFFFFF"/>
      <w:suppressAutoHyphens w:val="0"/>
      <w:autoSpaceDE w:val="0"/>
      <w:autoSpaceDN w:val="0"/>
    </w:pPr>
    <w:rPr>
      <w:rFonts w:ascii="Arial" w:hAnsi="Arial" w:cs="Arial"/>
      <w:u w:val="single"/>
      <w:lang w:eastAsia="es-ES"/>
    </w:rPr>
  </w:style>
  <w:style w:type="character" w:customStyle="1" w:styleId="h2car0">
    <w:name w:val="h2car"/>
    <w:rsid w:val="00A70E73"/>
    <w:rPr>
      <w:b/>
      <w:bCs/>
    </w:rPr>
  </w:style>
  <w:style w:type="character" w:customStyle="1" w:styleId="encabezadocarcar">
    <w:name w:val="encabezadocarcar"/>
    <w:rsid w:val="00A70E73"/>
    <w:rPr>
      <w:rFonts w:ascii="Courier New" w:hAnsi="Courier New" w:cs="Courier New" w:hint="default"/>
    </w:rPr>
  </w:style>
  <w:style w:type="character" w:customStyle="1" w:styleId="carcar">
    <w:name w:val="carcar"/>
    <w:rsid w:val="00A70E73"/>
    <w:rPr>
      <w:rFonts w:ascii="Arial" w:hAnsi="Arial" w:cs="Arial" w:hint="default"/>
    </w:rPr>
  </w:style>
  <w:style w:type="character" w:customStyle="1" w:styleId="encabezadocar0">
    <w:name w:val="encabezadocar"/>
    <w:rsid w:val="00A70E73"/>
    <w:rPr>
      <w:rFonts w:ascii="MS Sans Serif" w:hAnsi="MS Sans Serif" w:hint="default"/>
    </w:rPr>
  </w:style>
  <w:style w:type="character" w:customStyle="1" w:styleId="encabezadocarcar0">
    <w:name w:val="encabezadocarcar0"/>
    <w:rsid w:val="00A70E73"/>
    <w:rPr>
      <w:rFonts w:ascii="Courier New" w:hAnsi="Courier New" w:cs="Courier New" w:hint="default"/>
    </w:rPr>
  </w:style>
  <w:style w:type="paragraph" w:customStyle="1" w:styleId="style2">
    <w:name w:val="style2"/>
    <w:basedOn w:val="Normal"/>
    <w:uiPriority w:val="99"/>
    <w:rsid w:val="00A70E73"/>
    <w:pPr>
      <w:suppressAutoHyphens w:val="0"/>
      <w:autoSpaceDE w:val="0"/>
      <w:autoSpaceDN w:val="0"/>
    </w:pPr>
    <w:rPr>
      <w:sz w:val="20"/>
      <w:szCs w:val="20"/>
      <w:lang w:eastAsia="es-ES"/>
    </w:rPr>
  </w:style>
  <w:style w:type="paragraph" w:customStyle="1" w:styleId="style4">
    <w:name w:val="style4"/>
    <w:basedOn w:val="Normal"/>
    <w:uiPriority w:val="99"/>
    <w:rsid w:val="00A70E73"/>
    <w:pPr>
      <w:suppressAutoHyphens w:val="0"/>
      <w:autoSpaceDE w:val="0"/>
      <w:autoSpaceDN w:val="0"/>
      <w:spacing w:before="288"/>
      <w:ind w:left="72" w:right="72" w:firstLine="576"/>
      <w:jc w:val="both"/>
    </w:pPr>
    <w:rPr>
      <w:rFonts w:ascii="Arial" w:hAnsi="Arial" w:cs="Arial"/>
      <w:sz w:val="26"/>
      <w:szCs w:val="26"/>
      <w:lang w:eastAsia="es-ES"/>
    </w:rPr>
  </w:style>
  <w:style w:type="paragraph" w:customStyle="1" w:styleId="heading2">
    <w:name w:val="heading2"/>
    <w:basedOn w:val="Normal"/>
    <w:uiPriority w:val="99"/>
    <w:rsid w:val="00A70E73"/>
    <w:pPr>
      <w:keepNext/>
      <w:numPr>
        <w:ilvl w:val="1"/>
        <w:numId w:val="2"/>
      </w:numPr>
      <w:shd w:val="clear" w:color="auto" w:fill="FFFFFF"/>
      <w:suppressAutoHyphens w:val="0"/>
      <w:autoSpaceDE w:val="0"/>
      <w:spacing w:line="480" w:lineRule="auto"/>
      <w:jc w:val="both"/>
    </w:pPr>
    <w:rPr>
      <w:rFonts w:ascii="Arial" w:hAnsi="Arial" w:cs="Arial"/>
      <w:b/>
      <w:bCs/>
      <w:u w:val="single"/>
      <w:lang w:eastAsia="es-ES"/>
    </w:rPr>
  </w:style>
  <w:style w:type="paragraph" w:customStyle="1" w:styleId="charchar00">
    <w:name w:val="charchar0"/>
    <w:basedOn w:val="Normal"/>
    <w:uiPriority w:val="99"/>
    <w:rsid w:val="00A70E73"/>
    <w:pPr>
      <w:suppressAutoHyphens w:val="0"/>
      <w:spacing w:after="160" w:line="240" w:lineRule="atLeast"/>
    </w:pPr>
    <w:rPr>
      <w:rFonts w:ascii="Verdana" w:hAnsi="Verdana"/>
      <w:sz w:val="20"/>
      <w:szCs w:val="20"/>
      <w:lang w:eastAsia="es-ES"/>
    </w:rPr>
  </w:style>
  <w:style w:type="character" w:customStyle="1" w:styleId="carcar1">
    <w:name w:val="carcar1"/>
    <w:rsid w:val="00A70E73"/>
    <w:rPr>
      <w:rFonts w:ascii="Cambria" w:hAnsi="Cambria" w:hint="default"/>
      <w:b/>
      <w:bCs/>
      <w:color w:val="4F81BD"/>
    </w:rPr>
  </w:style>
  <w:style w:type="character" w:customStyle="1" w:styleId="characterstyle3">
    <w:name w:val="characterstyle3"/>
    <w:rsid w:val="00A70E73"/>
    <w:rPr>
      <w:rFonts w:ascii="Arial" w:hAnsi="Arial" w:cs="Arial" w:hint="default"/>
    </w:rPr>
  </w:style>
  <w:style w:type="character" w:styleId="Refdecomentario">
    <w:name w:val="annotation reference"/>
    <w:basedOn w:val="Fuentedeprrafopredeter"/>
    <w:qFormat/>
    <w:rsid w:val="00A70E73"/>
  </w:style>
  <w:style w:type="character" w:customStyle="1" w:styleId="TextosinformatoCar">
    <w:name w:val="Texto sin formato Car"/>
    <w:uiPriority w:val="99"/>
    <w:rsid w:val="00A70E73"/>
    <w:rPr>
      <w:rFonts w:ascii="Palatino Linotype" w:hAnsi="Palatino Linotype"/>
      <w:color w:val="002060"/>
      <w:sz w:val="24"/>
      <w:szCs w:val="24"/>
      <w:lang w:val="es-ES" w:eastAsia="es-ES" w:bidi="ar-SA"/>
    </w:rPr>
  </w:style>
  <w:style w:type="paragraph" w:customStyle="1" w:styleId="style19">
    <w:name w:val="style19"/>
    <w:basedOn w:val="Normal"/>
    <w:uiPriority w:val="99"/>
    <w:rsid w:val="00A70E73"/>
    <w:pPr>
      <w:suppressAutoHyphens w:val="0"/>
      <w:autoSpaceDE w:val="0"/>
      <w:autoSpaceDN w:val="0"/>
      <w:spacing w:before="540" w:line="360" w:lineRule="auto"/>
      <w:ind w:right="144"/>
      <w:jc w:val="both"/>
    </w:pPr>
    <w:rPr>
      <w:lang w:eastAsia="es-ES"/>
    </w:rPr>
  </w:style>
  <w:style w:type="paragraph" w:customStyle="1" w:styleId="style20">
    <w:name w:val="style20"/>
    <w:basedOn w:val="Normal"/>
    <w:uiPriority w:val="99"/>
    <w:rsid w:val="00A70E73"/>
    <w:pPr>
      <w:suppressAutoHyphens w:val="0"/>
      <w:autoSpaceDE w:val="0"/>
      <w:autoSpaceDN w:val="0"/>
      <w:spacing w:before="360" w:after="864" w:line="360" w:lineRule="auto"/>
      <w:ind w:right="144"/>
      <w:jc w:val="both"/>
    </w:pPr>
    <w:rPr>
      <w:lang w:eastAsia="es-ES"/>
    </w:rPr>
  </w:style>
  <w:style w:type="paragraph" w:customStyle="1" w:styleId="style8">
    <w:name w:val="style8"/>
    <w:basedOn w:val="Normal"/>
    <w:uiPriority w:val="99"/>
    <w:rsid w:val="00A70E73"/>
    <w:pPr>
      <w:suppressAutoHyphens w:val="0"/>
      <w:autoSpaceDE w:val="0"/>
      <w:autoSpaceDN w:val="0"/>
      <w:spacing w:before="504" w:after="1260" w:line="360" w:lineRule="auto"/>
      <w:ind w:left="1512"/>
      <w:jc w:val="both"/>
    </w:pPr>
    <w:rPr>
      <w:sz w:val="23"/>
      <w:szCs w:val="23"/>
      <w:lang w:eastAsia="es-ES"/>
    </w:rPr>
  </w:style>
  <w:style w:type="paragraph" w:customStyle="1" w:styleId="style13">
    <w:name w:val="style13"/>
    <w:basedOn w:val="Normal"/>
    <w:uiPriority w:val="99"/>
    <w:rsid w:val="00A70E73"/>
    <w:pPr>
      <w:suppressAutoHyphens w:val="0"/>
      <w:autoSpaceDE w:val="0"/>
      <w:autoSpaceDN w:val="0"/>
      <w:spacing w:line="360" w:lineRule="auto"/>
      <w:ind w:left="1584" w:right="1512"/>
      <w:jc w:val="both"/>
    </w:pPr>
    <w:rPr>
      <w:i/>
      <w:iCs/>
      <w:sz w:val="19"/>
      <w:szCs w:val="19"/>
      <w:lang w:eastAsia="es-ES"/>
    </w:rPr>
  </w:style>
  <w:style w:type="paragraph" w:customStyle="1" w:styleId="style100">
    <w:name w:val="style10"/>
    <w:basedOn w:val="Normal"/>
    <w:uiPriority w:val="99"/>
    <w:rsid w:val="00A70E73"/>
    <w:pPr>
      <w:suppressAutoHyphens w:val="0"/>
      <w:autoSpaceDE w:val="0"/>
      <w:autoSpaceDN w:val="0"/>
    </w:pPr>
    <w:rPr>
      <w:lang w:eastAsia="es-ES"/>
    </w:rPr>
  </w:style>
  <w:style w:type="paragraph" w:customStyle="1" w:styleId="charchar10">
    <w:name w:val="charchar1"/>
    <w:basedOn w:val="Normal"/>
    <w:uiPriority w:val="99"/>
    <w:rsid w:val="00A70E73"/>
    <w:pPr>
      <w:suppressAutoHyphens w:val="0"/>
      <w:spacing w:after="160" w:line="240" w:lineRule="atLeast"/>
    </w:pPr>
    <w:rPr>
      <w:rFonts w:ascii="Verdana" w:hAnsi="Verdana"/>
      <w:sz w:val="20"/>
      <w:szCs w:val="20"/>
      <w:lang w:eastAsia="es-ES"/>
    </w:rPr>
  </w:style>
  <w:style w:type="paragraph" w:customStyle="1" w:styleId="textopreformateado">
    <w:name w:val="textopreformateado"/>
    <w:basedOn w:val="Normal"/>
    <w:uiPriority w:val="99"/>
    <w:rsid w:val="00A70E73"/>
    <w:pPr>
      <w:suppressAutoHyphens w:val="0"/>
    </w:pPr>
    <w:rPr>
      <w:rFonts w:ascii="Courier New" w:hAnsi="Courier New" w:cs="Courier New"/>
      <w:sz w:val="20"/>
      <w:szCs w:val="20"/>
      <w:lang w:eastAsia="es-ES"/>
    </w:rPr>
  </w:style>
  <w:style w:type="paragraph" w:customStyle="1" w:styleId="style9">
    <w:name w:val="style9"/>
    <w:basedOn w:val="Normal"/>
    <w:uiPriority w:val="99"/>
    <w:rsid w:val="00A70E73"/>
    <w:pPr>
      <w:suppressAutoHyphens w:val="0"/>
      <w:autoSpaceDE w:val="0"/>
      <w:autoSpaceDN w:val="0"/>
      <w:spacing w:before="144" w:line="360" w:lineRule="auto"/>
      <w:ind w:left="72" w:right="72" w:firstLine="720"/>
      <w:jc w:val="both"/>
    </w:pPr>
    <w:rPr>
      <w:rFonts w:ascii="Arial" w:hAnsi="Arial" w:cs="Arial"/>
      <w:lang w:eastAsia="es-ES"/>
    </w:rPr>
  </w:style>
  <w:style w:type="paragraph" w:customStyle="1" w:styleId="style14">
    <w:name w:val="style14"/>
    <w:basedOn w:val="Normal"/>
    <w:uiPriority w:val="99"/>
    <w:rsid w:val="00A70E73"/>
    <w:pPr>
      <w:suppressAutoHyphens w:val="0"/>
      <w:autoSpaceDE w:val="0"/>
      <w:autoSpaceDN w:val="0"/>
      <w:spacing w:before="432" w:line="360" w:lineRule="auto"/>
      <w:ind w:firstLine="720"/>
      <w:jc w:val="both"/>
    </w:pPr>
    <w:rPr>
      <w:rFonts w:ascii="Arial" w:hAnsi="Arial" w:cs="Arial"/>
      <w:lang w:eastAsia="es-ES"/>
    </w:rPr>
  </w:style>
  <w:style w:type="paragraph" w:customStyle="1" w:styleId="style16">
    <w:name w:val="style16"/>
    <w:basedOn w:val="Normal"/>
    <w:uiPriority w:val="99"/>
    <w:rsid w:val="00A70E73"/>
    <w:pPr>
      <w:suppressAutoHyphens w:val="0"/>
      <w:autoSpaceDE w:val="0"/>
      <w:autoSpaceDN w:val="0"/>
      <w:spacing w:before="432" w:line="360" w:lineRule="auto"/>
      <w:jc w:val="both"/>
    </w:pPr>
    <w:rPr>
      <w:rFonts w:ascii="Verdana" w:hAnsi="Verdana"/>
      <w:i/>
      <w:iCs/>
      <w:sz w:val="23"/>
      <w:szCs w:val="23"/>
      <w:lang w:eastAsia="es-ES"/>
    </w:rPr>
  </w:style>
  <w:style w:type="paragraph" w:customStyle="1" w:styleId="style17">
    <w:name w:val="style17"/>
    <w:basedOn w:val="Normal"/>
    <w:uiPriority w:val="99"/>
    <w:rsid w:val="00A70E73"/>
    <w:pPr>
      <w:suppressAutoHyphens w:val="0"/>
      <w:autoSpaceDE w:val="0"/>
      <w:autoSpaceDN w:val="0"/>
      <w:spacing w:before="360" w:line="372" w:lineRule="atLeast"/>
      <w:ind w:firstLine="720"/>
      <w:jc w:val="both"/>
    </w:pPr>
    <w:rPr>
      <w:rFonts w:ascii="Tahoma" w:hAnsi="Tahoma" w:cs="Tahoma"/>
      <w:sz w:val="23"/>
      <w:szCs w:val="23"/>
      <w:lang w:eastAsia="es-ES"/>
    </w:rPr>
  </w:style>
  <w:style w:type="paragraph" w:customStyle="1" w:styleId="style18">
    <w:name w:val="style18"/>
    <w:basedOn w:val="Normal"/>
    <w:uiPriority w:val="99"/>
    <w:rsid w:val="00A70E73"/>
    <w:pPr>
      <w:suppressAutoHyphens w:val="0"/>
      <w:autoSpaceDE w:val="0"/>
      <w:autoSpaceDN w:val="0"/>
    </w:pPr>
    <w:rPr>
      <w:sz w:val="20"/>
      <w:szCs w:val="20"/>
      <w:lang w:eastAsia="es-ES"/>
    </w:rPr>
  </w:style>
  <w:style w:type="paragraph" w:customStyle="1" w:styleId="heading50">
    <w:name w:val="heading50"/>
    <w:basedOn w:val="Normal"/>
    <w:uiPriority w:val="99"/>
    <w:rsid w:val="00A70E73"/>
    <w:pPr>
      <w:keepNext/>
      <w:shd w:val="clear" w:color="auto" w:fill="FFFFFF"/>
      <w:suppressAutoHyphens w:val="0"/>
      <w:jc w:val="center"/>
    </w:pPr>
    <w:rPr>
      <w:b/>
      <w:bCs/>
      <w:i/>
      <w:iCs/>
      <w:sz w:val="26"/>
      <w:szCs w:val="26"/>
      <w:u w:val="single"/>
      <w:lang w:eastAsia="es-ES"/>
    </w:rPr>
  </w:style>
  <w:style w:type="paragraph" w:customStyle="1" w:styleId="tulo10">
    <w:name w:val="tulo1"/>
    <w:basedOn w:val="Normal"/>
    <w:uiPriority w:val="99"/>
    <w:rsid w:val="00A70E7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style21">
    <w:name w:val="style21"/>
    <w:basedOn w:val="Normal"/>
    <w:uiPriority w:val="99"/>
    <w:rsid w:val="00A70E73"/>
    <w:pPr>
      <w:suppressAutoHyphens w:val="0"/>
      <w:autoSpaceDE w:val="0"/>
      <w:autoSpaceDN w:val="0"/>
      <w:spacing w:line="340" w:lineRule="auto"/>
      <w:ind w:right="72" w:firstLine="720"/>
      <w:jc w:val="both"/>
    </w:pPr>
    <w:rPr>
      <w:lang w:eastAsia="es-ES"/>
    </w:rPr>
  </w:style>
  <w:style w:type="paragraph" w:customStyle="1" w:styleId="ecxmsonormal">
    <w:name w:val="ecxmsonormal"/>
    <w:basedOn w:val="Normal"/>
    <w:uiPriority w:val="99"/>
    <w:rsid w:val="00A70E73"/>
    <w:pPr>
      <w:suppressAutoHyphens w:val="0"/>
      <w:spacing w:before="100" w:beforeAutospacing="1" w:after="100" w:afterAutospacing="1"/>
    </w:pPr>
    <w:rPr>
      <w:lang w:eastAsia="es-ES"/>
    </w:rPr>
  </w:style>
  <w:style w:type="paragraph" w:customStyle="1" w:styleId="p">
    <w:name w:val="p"/>
    <w:basedOn w:val="Normal"/>
    <w:uiPriority w:val="99"/>
    <w:rsid w:val="00A70E73"/>
    <w:pPr>
      <w:suppressAutoHyphens w:val="0"/>
      <w:spacing w:before="100" w:beforeAutospacing="1" w:after="100" w:afterAutospacing="1"/>
    </w:pPr>
    <w:rPr>
      <w:lang w:eastAsia="es-ES"/>
    </w:rPr>
  </w:style>
  <w:style w:type="paragraph" w:customStyle="1" w:styleId="charchar2">
    <w:name w:val="charchar2"/>
    <w:basedOn w:val="Normal"/>
    <w:uiPriority w:val="99"/>
    <w:rsid w:val="00A70E73"/>
    <w:pPr>
      <w:suppressAutoHyphens w:val="0"/>
      <w:spacing w:after="160" w:line="240" w:lineRule="atLeast"/>
    </w:pPr>
    <w:rPr>
      <w:rFonts w:ascii="Verdana" w:hAnsi="Verdana"/>
      <w:sz w:val="20"/>
      <w:szCs w:val="20"/>
      <w:lang w:eastAsia="es-ES"/>
    </w:rPr>
  </w:style>
  <w:style w:type="paragraph" w:customStyle="1" w:styleId="style6">
    <w:name w:val="style6"/>
    <w:basedOn w:val="Normal"/>
    <w:uiPriority w:val="99"/>
    <w:rsid w:val="00A70E73"/>
    <w:pPr>
      <w:suppressAutoHyphens w:val="0"/>
      <w:autoSpaceDE w:val="0"/>
      <w:autoSpaceDN w:val="0"/>
      <w:spacing w:before="180"/>
      <w:ind w:left="72"/>
    </w:pPr>
    <w:rPr>
      <w:sz w:val="27"/>
      <w:szCs w:val="27"/>
      <w:lang w:eastAsia="es-ES"/>
    </w:rPr>
  </w:style>
  <w:style w:type="paragraph" w:customStyle="1" w:styleId="style5">
    <w:name w:val="style5"/>
    <w:basedOn w:val="Normal"/>
    <w:uiPriority w:val="99"/>
    <w:rsid w:val="00A70E73"/>
    <w:pPr>
      <w:suppressAutoHyphens w:val="0"/>
      <w:autoSpaceDE w:val="0"/>
      <w:autoSpaceDN w:val="0"/>
      <w:spacing w:before="576" w:line="360" w:lineRule="auto"/>
      <w:ind w:firstLine="792"/>
      <w:jc w:val="both"/>
    </w:pPr>
    <w:rPr>
      <w:sz w:val="27"/>
      <w:szCs w:val="27"/>
      <w:lang w:eastAsia="es-ES"/>
    </w:rPr>
  </w:style>
  <w:style w:type="paragraph" w:customStyle="1" w:styleId="style30">
    <w:name w:val="style30"/>
    <w:basedOn w:val="Normal"/>
    <w:uiPriority w:val="99"/>
    <w:rsid w:val="00A70E73"/>
    <w:pPr>
      <w:suppressAutoHyphens w:val="0"/>
      <w:autoSpaceDE w:val="0"/>
      <w:autoSpaceDN w:val="0"/>
      <w:spacing w:before="144" w:line="432" w:lineRule="atLeast"/>
      <w:ind w:firstLine="792"/>
      <w:jc w:val="both"/>
    </w:pPr>
    <w:rPr>
      <w:sz w:val="27"/>
      <w:szCs w:val="27"/>
      <w:lang w:eastAsia="es-ES"/>
    </w:rPr>
  </w:style>
  <w:style w:type="paragraph" w:customStyle="1" w:styleId="prrafodelista00">
    <w:name w:val="prrafodelista0"/>
    <w:basedOn w:val="Normal"/>
    <w:uiPriority w:val="99"/>
    <w:rsid w:val="00A70E73"/>
    <w:pPr>
      <w:suppressAutoHyphens w:val="0"/>
      <w:ind w:left="708"/>
    </w:pPr>
    <w:rPr>
      <w:sz w:val="26"/>
      <w:szCs w:val="26"/>
      <w:lang w:eastAsia="es-ES"/>
    </w:rPr>
  </w:style>
  <w:style w:type="character" w:customStyle="1" w:styleId="characterstyle5">
    <w:name w:val="characterstyle5"/>
    <w:rsid w:val="00A70E73"/>
    <w:rPr>
      <w:i/>
      <w:iCs/>
    </w:rPr>
  </w:style>
  <w:style w:type="character" w:customStyle="1" w:styleId="encabezadocarcar10">
    <w:name w:val="encabezadocarcar1"/>
    <w:rsid w:val="00A70E73"/>
    <w:rPr>
      <w:rFonts w:ascii="Arial" w:hAnsi="Arial" w:cs="Arial" w:hint="default"/>
      <w:u w:val="single"/>
      <w:shd w:val="clear" w:color="auto" w:fill="FFFFFF"/>
    </w:rPr>
  </w:style>
  <w:style w:type="character" w:customStyle="1" w:styleId="characterstyle8">
    <w:name w:val="characterstyle8"/>
    <w:rsid w:val="00A70E73"/>
    <w:rPr>
      <w:rFonts w:ascii="Tahoma" w:hAnsi="Tahoma" w:cs="Tahoma" w:hint="default"/>
    </w:rPr>
  </w:style>
  <w:style w:type="character" w:customStyle="1" w:styleId="carcar3">
    <w:name w:val="carcar3"/>
    <w:rsid w:val="00A70E73"/>
    <w:rPr>
      <w:rFonts w:ascii="Arial" w:hAnsi="Arial" w:cs="Arial" w:hint="default"/>
    </w:rPr>
  </w:style>
  <w:style w:type="character" w:customStyle="1" w:styleId="a">
    <w:name w:val="a"/>
    <w:rsid w:val="00A70E73"/>
    <w:rPr>
      <w:rFonts w:ascii="Times New Roman" w:hAnsi="Times New Roman" w:cs="Times New Roman" w:hint="default"/>
    </w:rPr>
  </w:style>
  <w:style w:type="character" w:customStyle="1" w:styleId="d">
    <w:name w:val="d"/>
    <w:rsid w:val="00A70E73"/>
    <w:rPr>
      <w:rFonts w:ascii="Times New Roman" w:hAnsi="Times New Roman" w:cs="Times New Roman" w:hint="default"/>
    </w:rPr>
  </w:style>
  <w:style w:type="character" w:customStyle="1" w:styleId="b">
    <w:name w:val="b"/>
    <w:rsid w:val="00A70E73"/>
    <w:rPr>
      <w:rFonts w:ascii="Times New Roman" w:hAnsi="Times New Roman" w:cs="Times New Roman" w:hint="default"/>
    </w:rPr>
  </w:style>
  <w:style w:type="character" w:customStyle="1" w:styleId="g">
    <w:name w:val="g"/>
    <w:rsid w:val="00A70E73"/>
    <w:rPr>
      <w:rFonts w:ascii="Times New Roman" w:hAnsi="Times New Roman" w:cs="Times New Roman" w:hint="default"/>
    </w:rPr>
  </w:style>
  <w:style w:type="paragraph" w:customStyle="1" w:styleId="Style50">
    <w:name w:val="Style 5"/>
    <w:basedOn w:val="Normal"/>
    <w:uiPriority w:val="99"/>
    <w:rsid w:val="00A70E73"/>
    <w:pPr>
      <w:widowControl w:val="0"/>
      <w:suppressAutoHyphens w:val="0"/>
      <w:autoSpaceDE w:val="0"/>
      <w:autoSpaceDN w:val="0"/>
      <w:adjustRightInd w:val="0"/>
    </w:pPr>
    <w:rPr>
      <w:rFonts w:ascii="Verdana" w:hAnsi="Verdana" w:cs="Verdana"/>
      <w:i/>
      <w:iCs/>
      <w:sz w:val="22"/>
      <w:szCs w:val="22"/>
      <w:lang w:val="en-US" w:eastAsia="es-ES"/>
    </w:rPr>
  </w:style>
  <w:style w:type="character" w:customStyle="1" w:styleId="CharacterStyle30">
    <w:name w:val="Character Style 3"/>
    <w:rsid w:val="00A70E73"/>
    <w:rPr>
      <w:rFonts w:ascii="Verdana" w:hAnsi="Verdana"/>
      <w:i/>
      <w:sz w:val="22"/>
    </w:rPr>
  </w:style>
  <w:style w:type="character" w:customStyle="1" w:styleId="TextoindependienteCar">
    <w:name w:val="Texto independiente Car"/>
    <w:qFormat/>
    <w:locked/>
    <w:rsid w:val="00A70E73"/>
    <w:rPr>
      <w:rFonts w:ascii="Book Antiqua" w:hAnsi="Book Antiqua"/>
      <w:sz w:val="24"/>
      <w:lang w:val="es-ES_tradnl" w:eastAsia="es-ES" w:bidi="ar-SA"/>
    </w:rPr>
  </w:style>
  <w:style w:type="character" w:customStyle="1" w:styleId="textocorrido1">
    <w:name w:val="textocorrido1"/>
    <w:rsid w:val="00A70E73"/>
    <w:rPr>
      <w:rFonts w:ascii="Verdana" w:hAnsi="Verdana" w:cs="Times New Roman"/>
      <w:color w:val="000000"/>
      <w:sz w:val="17"/>
      <w:szCs w:val="17"/>
    </w:rPr>
  </w:style>
  <w:style w:type="paragraph" w:styleId="z-Finaldelformulario">
    <w:name w:val="HTML Bottom of Form"/>
    <w:basedOn w:val="Normal"/>
    <w:next w:val="Normal"/>
    <w:link w:val="z-FinaldelformularioCar"/>
    <w:hidden/>
    <w:uiPriority w:val="99"/>
    <w:unhideWhenUsed/>
    <w:rsid w:val="00A70E73"/>
    <w:pPr>
      <w:pBdr>
        <w:top w:val="single" w:sz="6" w:space="1" w:color="auto"/>
      </w:pBdr>
      <w:suppressAutoHyphens w:val="0"/>
      <w:jc w:val="center"/>
    </w:pPr>
    <w:rPr>
      <w:sz w:val="20"/>
      <w:szCs w:val="20"/>
      <w:lang w:eastAsia="es-ES"/>
    </w:rPr>
  </w:style>
  <w:style w:type="paragraph" w:customStyle="1" w:styleId="Normal3">
    <w:name w:val="Normal3"/>
    <w:uiPriority w:val="99"/>
    <w:rsid w:val="00A70E73"/>
    <w:pPr>
      <w:spacing w:line="276" w:lineRule="auto"/>
    </w:pPr>
    <w:rPr>
      <w:rFonts w:ascii="Arial" w:hAnsi="Arial" w:cs="Arial"/>
      <w:color w:val="000000"/>
      <w:sz w:val="22"/>
      <w:szCs w:val="22"/>
    </w:rPr>
  </w:style>
  <w:style w:type="table" w:styleId="Tablaconcuadrcula">
    <w:name w:val="Table Grid"/>
    <w:basedOn w:val="Tablanormal"/>
    <w:qFormat/>
    <w:rsid w:val="00643DD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hernandez">
    <w:name w:val="hhernandez"/>
    <w:rsid w:val="00643DD9"/>
    <w:rPr>
      <w:rFonts w:ascii="Arial" w:hAnsi="Arial" w:cs="Arial"/>
      <w:color w:val="000080"/>
      <w:sz w:val="20"/>
      <w:szCs w:val="20"/>
    </w:rPr>
  </w:style>
  <w:style w:type="paragraph" w:customStyle="1" w:styleId="Ttulo53">
    <w:name w:val="Título 53"/>
    <w:next w:val="Normal"/>
    <w:uiPriority w:val="99"/>
    <w:qFormat/>
    <w:rsid w:val="006B21D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NormalWebCar">
    <w:name w:val="Normal (Web) Car"/>
    <w:link w:val="NormalWeb"/>
    <w:qFormat/>
    <w:locked/>
    <w:rsid w:val="00063144"/>
    <w:rPr>
      <w:sz w:val="24"/>
      <w:szCs w:val="24"/>
      <w:lang w:val="es-ES" w:eastAsia="ar-SA"/>
    </w:rPr>
  </w:style>
  <w:style w:type="paragraph" w:customStyle="1" w:styleId="Ttulo52">
    <w:name w:val="Título 52"/>
    <w:next w:val="Normal"/>
    <w:uiPriority w:val="99"/>
    <w:qFormat/>
    <w:rsid w:val="00910D0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table" w:customStyle="1" w:styleId="Tablaconcuadrcula221">
    <w:name w:val="Tabla con cuadrícula221"/>
    <w:basedOn w:val="Tablanormal"/>
    <w:next w:val="Tablaconcuadrcula"/>
    <w:uiPriority w:val="39"/>
    <w:rsid w:val="009B426D"/>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1">
    <w:name w:val="Tabla con cuadrícula321"/>
    <w:basedOn w:val="Tablanormal"/>
    <w:next w:val="Tablaconcuadrcula"/>
    <w:uiPriority w:val="39"/>
    <w:rsid w:val="009B426D"/>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aliases w:val="h4 Car,2. Titulo I-II-III ect. Car,Título 4.2 Car,H41 Car"/>
    <w:basedOn w:val="Fuentedeprrafopredeter"/>
    <w:link w:val="Ttulo4"/>
    <w:qFormat/>
    <w:rsid w:val="00495FE3"/>
    <w:rPr>
      <w:b/>
      <w:bCs/>
      <w:sz w:val="28"/>
      <w:szCs w:val="28"/>
      <w:lang w:val="es-ES_tradnl" w:eastAsia="ar-SA"/>
    </w:rPr>
  </w:style>
  <w:style w:type="character" w:customStyle="1" w:styleId="Ttulo5Car">
    <w:name w:val="Título 5 Car"/>
    <w:aliases w:val="4.Cuadros Car"/>
    <w:basedOn w:val="Fuentedeprrafopredeter"/>
    <w:link w:val="Ttulo5"/>
    <w:uiPriority w:val="9"/>
    <w:rsid w:val="00495FE3"/>
    <w:rPr>
      <w:b/>
      <w:bCs/>
      <w:iCs/>
      <w:sz w:val="44"/>
      <w:szCs w:val="26"/>
      <w:u w:val="single"/>
      <w:lang w:val="es-ES_tradnl" w:eastAsia="ar-SA"/>
    </w:rPr>
  </w:style>
  <w:style w:type="character" w:customStyle="1" w:styleId="Ttulo6Car">
    <w:name w:val="Título 6 Car"/>
    <w:aliases w:val="5.Fuente Car"/>
    <w:basedOn w:val="Fuentedeprrafopredeter"/>
    <w:link w:val="Ttulo6"/>
    <w:uiPriority w:val="9"/>
    <w:rsid w:val="00495FE3"/>
    <w:rPr>
      <w:b/>
      <w:bCs/>
      <w:sz w:val="22"/>
      <w:szCs w:val="22"/>
      <w:lang w:eastAsia="ar-SA"/>
    </w:rPr>
  </w:style>
  <w:style w:type="character" w:customStyle="1" w:styleId="Ttulo9Car">
    <w:name w:val="Título 9 Car"/>
    <w:basedOn w:val="Fuentedeprrafopredeter"/>
    <w:link w:val="Ttulo9"/>
    <w:uiPriority w:val="9"/>
    <w:rsid w:val="00495FE3"/>
    <w:rPr>
      <w:rFonts w:ascii="Arial" w:hAnsi="Arial" w:cs="Arial"/>
      <w:sz w:val="22"/>
      <w:szCs w:val="22"/>
      <w:lang w:eastAsia="ar-SA"/>
    </w:rPr>
  </w:style>
  <w:style w:type="numbering" w:customStyle="1" w:styleId="Sinlista1">
    <w:name w:val="Sin lista1"/>
    <w:next w:val="Sinlista"/>
    <w:uiPriority w:val="99"/>
    <w:unhideWhenUsed/>
    <w:rsid w:val="00495FE3"/>
  </w:style>
  <w:style w:type="character" w:customStyle="1" w:styleId="NormalWebCar1">
    <w:name w:val="Normal (Web) Car1"/>
    <w:qFormat/>
    <w:locked/>
    <w:rsid w:val="00495FE3"/>
    <w:rPr>
      <w:rFonts w:ascii="Times New Roman" w:eastAsia="Times New Roman" w:hAnsi="Times New Roman" w:cs="Times New Roman"/>
      <w:sz w:val="24"/>
      <w:szCs w:val="24"/>
      <w:lang w:val="es-ES" w:eastAsia="ar-SA"/>
    </w:rPr>
  </w:style>
  <w:style w:type="character" w:customStyle="1" w:styleId="SubttuloCar">
    <w:name w:val="Subtítulo Car"/>
    <w:basedOn w:val="Fuentedeprrafopredeter"/>
    <w:link w:val="Subttulo"/>
    <w:uiPriority w:val="99"/>
    <w:qFormat/>
    <w:rsid w:val="00495FE3"/>
    <w:rPr>
      <w:rFonts w:ascii="Arial" w:hAnsi="Arial" w:cs="Arial"/>
      <w:b/>
      <w:bCs/>
      <w:sz w:val="28"/>
      <w:szCs w:val="28"/>
      <w:u w:val="single"/>
      <w:lang w:eastAsia="ar-SA"/>
    </w:rPr>
  </w:style>
  <w:style w:type="character" w:customStyle="1" w:styleId="Sangra2detindependienteCar">
    <w:name w:val="Sangría 2 de t. independiente Car"/>
    <w:basedOn w:val="Fuentedeprrafopredeter"/>
    <w:link w:val="Sangra2detindependiente"/>
    <w:rsid w:val="00495FE3"/>
    <w:rPr>
      <w:lang w:val="es-ES_tradnl" w:eastAsia="ar-SA"/>
    </w:rPr>
  </w:style>
  <w:style w:type="character" w:customStyle="1" w:styleId="TextodegloboCar">
    <w:name w:val="Texto de globo Car"/>
    <w:basedOn w:val="Fuentedeprrafopredeter"/>
    <w:link w:val="Textodeglobo"/>
    <w:qFormat/>
    <w:rsid w:val="00495FE3"/>
    <w:rPr>
      <w:rFonts w:ascii="Tahoma" w:hAnsi="Tahoma" w:cs="Tahoma"/>
      <w:sz w:val="16"/>
      <w:szCs w:val="16"/>
      <w:lang w:eastAsia="ar-SA"/>
    </w:rPr>
  </w:style>
  <w:style w:type="paragraph" w:customStyle="1" w:styleId="CarCarCarCar">
    <w:name w:val="Car Car Car Car"/>
    <w:basedOn w:val="Normal"/>
    <w:uiPriority w:val="99"/>
    <w:semiHidden/>
    <w:rsid w:val="00495FE3"/>
    <w:pPr>
      <w:suppressAutoHyphens w:val="0"/>
      <w:spacing w:after="160" w:line="240" w:lineRule="exact"/>
    </w:pPr>
    <w:rPr>
      <w:rFonts w:ascii="Verdana" w:hAnsi="Verdana" w:cs="Verdana"/>
      <w:sz w:val="20"/>
      <w:szCs w:val="20"/>
      <w:lang w:val="en-AU" w:eastAsia="en-US"/>
    </w:rPr>
  </w:style>
  <w:style w:type="paragraph" w:customStyle="1" w:styleId="CarCarCarCarCarCar">
    <w:name w:val="Car Car Car Car Car Car"/>
    <w:basedOn w:val="Normal"/>
    <w:semiHidden/>
    <w:qFormat/>
    <w:rsid w:val="00495FE3"/>
    <w:pPr>
      <w:suppressAutoHyphens w:val="0"/>
      <w:spacing w:after="160" w:line="240" w:lineRule="exact"/>
    </w:pPr>
    <w:rPr>
      <w:rFonts w:ascii="Verdana" w:hAnsi="Verdana" w:cs="Verdana"/>
      <w:sz w:val="20"/>
      <w:szCs w:val="20"/>
      <w:lang w:val="en-AU" w:eastAsia="en-US"/>
    </w:rPr>
  </w:style>
  <w:style w:type="paragraph" w:styleId="TDC2">
    <w:name w:val="toc 2"/>
    <w:basedOn w:val="Normal"/>
    <w:next w:val="Normal"/>
    <w:autoRedefine/>
    <w:uiPriority w:val="39"/>
    <w:qFormat/>
    <w:rsid w:val="00495FE3"/>
    <w:pPr>
      <w:tabs>
        <w:tab w:val="right" w:leader="dot" w:pos="9396"/>
      </w:tabs>
      <w:jc w:val="both"/>
    </w:pPr>
    <w:rPr>
      <w:b/>
      <w:noProof/>
      <w:color w:val="000099"/>
      <w:sz w:val="28"/>
      <w:szCs w:val="28"/>
      <w:u w:val="single"/>
      <w:lang w:val="es-ES_tradnl"/>
    </w:rPr>
  </w:style>
  <w:style w:type="paragraph" w:styleId="TDC3">
    <w:name w:val="toc 3"/>
    <w:basedOn w:val="Normal"/>
    <w:next w:val="Normal"/>
    <w:autoRedefine/>
    <w:uiPriority w:val="39"/>
    <w:qFormat/>
    <w:rsid w:val="00495FE3"/>
    <w:pPr>
      <w:widowControl w:val="0"/>
      <w:tabs>
        <w:tab w:val="right" w:leader="dot" w:pos="9964"/>
      </w:tabs>
      <w:suppressAutoHyphens w:val="0"/>
      <w:spacing w:before="120" w:after="240"/>
      <w:jc w:val="both"/>
    </w:pPr>
    <w:rPr>
      <w:sz w:val="28"/>
      <w:szCs w:val="20"/>
      <w:lang w:val="es-ES_tradnl"/>
    </w:rPr>
  </w:style>
  <w:style w:type="paragraph" w:styleId="TDC5">
    <w:name w:val="toc 5"/>
    <w:basedOn w:val="Normal"/>
    <w:next w:val="Normal"/>
    <w:autoRedefine/>
    <w:uiPriority w:val="39"/>
    <w:rsid w:val="00495FE3"/>
    <w:pPr>
      <w:tabs>
        <w:tab w:val="right" w:leader="dot" w:pos="8828"/>
      </w:tabs>
      <w:spacing w:before="360" w:after="240"/>
      <w:jc w:val="center"/>
    </w:pPr>
    <w:rPr>
      <w:rFonts w:eastAsia="StarSymbol"/>
      <w:b/>
      <w:noProof/>
      <w:color w:val="000080"/>
      <w:sz w:val="40"/>
      <w:szCs w:val="20"/>
      <w:u w:val="single"/>
      <w:lang w:val="es-ES_tradnl"/>
    </w:rPr>
  </w:style>
  <w:style w:type="character" w:customStyle="1" w:styleId="CarCar0">
    <w:name w:val="Car Car"/>
    <w:qFormat/>
    <w:locked/>
    <w:rsid w:val="00495FE3"/>
    <w:rPr>
      <w:lang w:val="es-ES" w:eastAsia="es-ES" w:bidi="ar-SA"/>
    </w:rPr>
  </w:style>
  <w:style w:type="character" w:customStyle="1" w:styleId="EstiloCorreo771">
    <w:name w:val="EstiloCorreo771"/>
    <w:rsid w:val="00495FE3"/>
    <w:rPr>
      <w:rFonts w:ascii="Arial" w:hAnsi="Arial" w:cs="Arial"/>
      <w:color w:val="000080"/>
      <w:sz w:val="20"/>
      <w:szCs w:val="20"/>
    </w:rPr>
  </w:style>
  <w:style w:type="paragraph" w:styleId="TDC4">
    <w:name w:val="toc 4"/>
    <w:basedOn w:val="Normal"/>
    <w:next w:val="Normal"/>
    <w:autoRedefine/>
    <w:uiPriority w:val="39"/>
    <w:rsid w:val="00495FE3"/>
    <w:pPr>
      <w:spacing w:before="360" w:after="240"/>
      <w:jc w:val="center"/>
    </w:pPr>
    <w:rPr>
      <w:b/>
      <w:color w:val="000080"/>
      <w:sz w:val="36"/>
      <w:szCs w:val="22"/>
      <w:u w:val="single"/>
      <w:lang w:val="es-ES_tradnl"/>
    </w:rPr>
  </w:style>
  <w:style w:type="paragraph" w:styleId="TDC6">
    <w:name w:val="toc 6"/>
    <w:basedOn w:val="Normal"/>
    <w:next w:val="Normal"/>
    <w:autoRedefine/>
    <w:uiPriority w:val="39"/>
    <w:rsid w:val="00495FE3"/>
    <w:rPr>
      <w:sz w:val="22"/>
      <w:szCs w:val="22"/>
      <w:lang w:val="es-ES_tradnl"/>
    </w:rPr>
  </w:style>
  <w:style w:type="paragraph" w:styleId="TDC7">
    <w:name w:val="toc 7"/>
    <w:basedOn w:val="Normal"/>
    <w:next w:val="Normal"/>
    <w:autoRedefine/>
    <w:uiPriority w:val="39"/>
    <w:rsid w:val="00495FE3"/>
    <w:rPr>
      <w:sz w:val="22"/>
      <w:szCs w:val="22"/>
      <w:lang w:val="es-ES_tradnl"/>
    </w:rPr>
  </w:style>
  <w:style w:type="paragraph" w:styleId="TDC8">
    <w:name w:val="toc 8"/>
    <w:basedOn w:val="Normal"/>
    <w:next w:val="Normal"/>
    <w:autoRedefine/>
    <w:uiPriority w:val="39"/>
    <w:rsid w:val="00495FE3"/>
    <w:rPr>
      <w:sz w:val="22"/>
      <w:szCs w:val="22"/>
      <w:lang w:val="es-ES_tradnl"/>
    </w:rPr>
  </w:style>
  <w:style w:type="paragraph" w:styleId="TDC9">
    <w:name w:val="toc 9"/>
    <w:basedOn w:val="Normal"/>
    <w:next w:val="Normal"/>
    <w:autoRedefine/>
    <w:uiPriority w:val="39"/>
    <w:rsid w:val="00495FE3"/>
    <w:rPr>
      <w:sz w:val="22"/>
      <w:szCs w:val="22"/>
      <w:lang w:val="es-ES_tradnl"/>
    </w:rPr>
  </w:style>
  <w:style w:type="character" w:customStyle="1" w:styleId="PiedepginaCar">
    <w:name w:val="Pie de página Car"/>
    <w:basedOn w:val="Fuentedeprrafopredeter"/>
    <w:link w:val="Piedepgina"/>
    <w:qFormat/>
    <w:rsid w:val="00495FE3"/>
    <w:rPr>
      <w:rFonts w:ascii="Arial" w:hAnsi="Arial" w:cs="Arial"/>
      <w:sz w:val="24"/>
      <w:szCs w:val="24"/>
      <w:u w:val="single"/>
      <w:lang w:eastAsia="ar-SA"/>
    </w:rPr>
  </w:style>
  <w:style w:type="character" w:customStyle="1" w:styleId="HTMLconformatoprevioCar">
    <w:name w:val="HTML con formato previo Car"/>
    <w:basedOn w:val="Fuentedeprrafopredeter"/>
    <w:link w:val="HTMLconformatoprevio"/>
    <w:uiPriority w:val="99"/>
    <w:qFormat/>
    <w:rsid w:val="00495FE3"/>
    <w:rPr>
      <w:rFonts w:ascii="Courier New" w:hAnsi="Courier New" w:cs="Courier New"/>
      <w:color w:val="000000"/>
    </w:rPr>
  </w:style>
  <w:style w:type="character" w:customStyle="1" w:styleId="Textoindependiente2Car">
    <w:name w:val="Texto independiente 2 Car"/>
    <w:basedOn w:val="Fuentedeprrafopredeter"/>
    <w:link w:val="Textoindependiente2"/>
    <w:qFormat/>
    <w:rsid w:val="00495FE3"/>
    <w:rPr>
      <w:lang w:eastAsia="ar-SA"/>
    </w:rPr>
  </w:style>
  <w:style w:type="character" w:customStyle="1" w:styleId="wjimenez">
    <w:name w:val="wjimenez"/>
    <w:rsid w:val="00495FE3"/>
    <w:rPr>
      <w:rFonts w:ascii="Arial" w:hAnsi="Arial" w:cs="Arial"/>
      <w:color w:val="auto"/>
      <w:sz w:val="20"/>
      <w:szCs w:val="20"/>
    </w:rPr>
  </w:style>
  <w:style w:type="character" w:customStyle="1" w:styleId="mherreras">
    <w:name w:val="mherreras"/>
    <w:rsid w:val="00495FE3"/>
    <w:rPr>
      <w:rFonts w:ascii="Arial" w:hAnsi="Arial" w:cs="Arial"/>
      <w:color w:val="000080"/>
      <w:sz w:val="20"/>
      <w:szCs w:val="20"/>
    </w:rPr>
  </w:style>
  <w:style w:type="paragraph" w:customStyle="1" w:styleId="3">
    <w:name w:val="3"/>
    <w:aliases w:val="List Paragraph"/>
    <w:basedOn w:val="Normal"/>
    <w:uiPriority w:val="34"/>
    <w:qFormat/>
    <w:rsid w:val="00495FE3"/>
    <w:pPr>
      <w:suppressAutoHyphens w:val="0"/>
      <w:spacing w:after="160" w:line="240" w:lineRule="exact"/>
    </w:pPr>
    <w:rPr>
      <w:rFonts w:ascii="Verdana" w:hAnsi="Verdana"/>
      <w:sz w:val="20"/>
      <w:szCs w:val="21"/>
      <w:lang w:val="en-AU" w:eastAsia="en-US"/>
    </w:rPr>
  </w:style>
  <w:style w:type="paragraph" w:customStyle="1" w:styleId="1">
    <w:name w:val="1"/>
    <w:basedOn w:val="Normal"/>
    <w:uiPriority w:val="99"/>
    <w:qFormat/>
    <w:rsid w:val="00495FE3"/>
    <w:pPr>
      <w:suppressAutoHyphens w:val="0"/>
      <w:spacing w:after="160" w:line="240" w:lineRule="exact"/>
    </w:pPr>
    <w:rPr>
      <w:rFonts w:ascii="Verdana" w:hAnsi="Verdana"/>
      <w:sz w:val="20"/>
      <w:szCs w:val="21"/>
      <w:lang w:val="en-AU" w:eastAsia="en-US"/>
    </w:rPr>
  </w:style>
  <w:style w:type="character" w:customStyle="1" w:styleId="Sangra3detindependienteCar">
    <w:name w:val="Sangría 3 de t. independiente Car"/>
    <w:basedOn w:val="Fuentedeprrafopredeter"/>
    <w:link w:val="Sangra3detindependiente"/>
    <w:rsid w:val="00495FE3"/>
    <w:rPr>
      <w:sz w:val="16"/>
      <w:szCs w:val="16"/>
      <w:lang w:val="es-CR"/>
    </w:rPr>
  </w:style>
  <w:style w:type="character" w:customStyle="1" w:styleId="TtuloCar">
    <w:name w:val="Título Car"/>
    <w:aliases w:val="artículo Car"/>
    <w:basedOn w:val="Fuentedeprrafopredeter"/>
    <w:qFormat/>
    <w:rsid w:val="00495FE3"/>
    <w:rPr>
      <w:rFonts w:asciiTheme="majorHAnsi" w:eastAsiaTheme="majorEastAsia" w:hAnsiTheme="majorHAnsi" w:cstheme="majorBidi"/>
      <w:spacing w:val="-10"/>
      <w:kern w:val="28"/>
      <w:sz w:val="56"/>
      <w:szCs w:val="56"/>
    </w:rPr>
  </w:style>
  <w:style w:type="character" w:customStyle="1" w:styleId="TtuloCar1">
    <w:name w:val="Título Car1"/>
    <w:aliases w:val="artículo Car1"/>
    <w:basedOn w:val="Fuentedeprrafopredeter"/>
    <w:link w:val="Ttulo"/>
    <w:qFormat/>
    <w:locked/>
    <w:rsid w:val="00495FE3"/>
    <w:rPr>
      <w:rFonts w:ascii="Arial" w:hAnsi="Arial" w:cs="Arial"/>
      <w:b/>
      <w:bCs/>
      <w:sz w:val="28"/>
      <w:szCs w:val="28"/>
    </w:rPr>
  </w:style>
  <w:style w:type="character" w:customStyle="1" w:styleId="CarCar4">
    <w:name w:val="Car Car4"/>
    <w:qFormat/>
    <w:rsid w:val="00495FE3"/>
    <w:rPr>
      <w:rFonts w:ascii="Calibri" w:eastAsia="Times New Roman" w:hAnsi="Calibri" w:cs="Times New Roman"/>
      <w:b/>
      <w:bCs/>
      <w:sz w:val="28"/>
      <w:szCs w:val="28"/>
      <w:lang w:val="es-ES_tradnl" w:eastAsia="ar-SA"/>
    </w:rPr>
  </w:style>
  <w:style w:type="character" w:customStyle="1" w:styleId="EstiloCorreo17">
    <w:name w:val="EstiloCorreo17"/>
    <w:rsid w:val="00495FE3"/>
    <w:rPr>
      <w:rFonts w:ascii="Arial" w:hAnsi="Arial" w:cs="Arial"/>
      <w:color w:val="auto"/>
      <w:sz w:val="20"/>
      <w:szCs w:val="20"/>
    </w:rPr>
  </w:style>
  <w:style w:type="character" w:customStyle="1" w:styleId="EstiloCorreo171">
    <w:name w:val="EstiloCorreo171"/>
    <w:rsid w:val="00495FE3"/>
    <w:rPr>
      <w:rFonts w:ascii="Arial" w:hAnsi="Arial" w:cs="Arial"/>
      <w:color w:val="auto"/>
      <w:sz w:val="20"/>
      <w:szCs w:val="20"/>
    </w:rPr>
  </w:style>
  <w:style w:type="table" w:styleId="Tablaprofesional">
    <w:name w:val="Table Professional"/>
    <w:basedOn w:val="Tablanormal"/>
    <w:rsid w:val="00495FE3"/>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2">
    <w:name w:val="2"/>
    <w:basedOn w:val="Normal"/>
    <w:uiPriority w:val="99"/>
    <w:semiHidden/>
    <w:rsid w:val="00495FE3"/>
    <w:pPr>
      <w:suppressAutoHyphens w:val="0"/>
      <w:spacing w:after="160" w:line="240" w:lineRule="exact"/>
    </w:pPr>
    <w:rPr>
      <w:rFonts w:ascii="Verdana" w:hAnsi="Verdana"/>
      <w:sz w:val="20"/>
      <w:szCs w:val="21"/>
      <w:lang w:val="en-AU" w:eastAsia="en-US"/>
    </w:rPr>
  </w:style>
  <w:style w:type="paragraph" w:styleId="Descripcin">
    <w:name w:val="caption"/>
    <w:basedOn w:val="Normal"/>
    <w:next w:val="Normal"/>
    <w:uiPriority w:val="35"/>
    <w:qFormat/>
    <w:rsid w:val="00495FE3"/>
    <w:pPr>
      <w:widowControl w:val="0"/>
      <w:suppressAutoHyphens w:val="0"/>
      <w:autoSpaceDE w:val="0"/>
      <w:autoSpaceDN w:val="0"/>
      <w:adjustRightInd w:val="0"/>
    </w:pPr>
    <w:rPr>
      <w:rFonts w:ascii="Arial" w:hAnsi="Arial" w:cs="Arial"/>
      <w:b/>
      <w:bCs/>
      <w:color w:val="000000"/>
      <w:sz w:val="16"/>
      <w:szCs w:val="16"/>
      <w:lang w:eastAsia="es-ES"/>
    </w:rPr>
  </w:style>
  <w:style w:type="paragraph" w:styleId="ndice1">
    <w:name w:val="index 1"/>
    <w:aliases w:val="0"/>
    <w:basedOn w:val="Normal"/>
    <w:next w:val="Normal"/>
    <w:autoRedefine/>
    <w:uiPriority w:val="99"/>
    <w:rsid w:val="00495FE3"/>
    <w:pPr>
      <w:ind w:left="200" w:hanging="200"/>
    </w:pPr>
    <w:rPr>
      <w:b/>
      <w:color w:val="000080"/>
      <w:sz w:val="28"/>
      <w:szCs w:val="20"/>
      <w:u w:val="single"/>
      <w:lang w:val="es-ES_tradnl"/>
    </w:rPr>
  </w:style>
  <w:style w:type="character" w:customStyle="1" w:styleId="TextoindependienteprimerasangraCar">
    <w:name w:val="Texto independiente primera sangría Car"/>
    <w:basedOn w:val="TextoindependienteCar"/>
    <w:link w:val="Textoindependienteprimerasangra"/>
    <w:uiPriority w:val="99"/>
    <w:rsid w:val="00495FE3"/>
    <w:rPr>
      <w:rFonts w:ascii="Book Antiqua" w:hAnsi="Book Antiqua"/>
      <w:sz w:val="24"/>
      <w:lang w:val="es-ES_tradnl" w:eastAsia="ar-SA" w:bidi="ar-SA"/>
    </w:rPr>
  </w:style>
  <w:style w:type="character" w:customStyle="1" w:styleId="Textoindependienteprimerasangra2Car">
    <w:name w:val="Texto independiente primera sangría 2 Car"/>
    <w:basedOn w:val="SangradetextonormalCar"/>
    <w:link w:val="Textoindependienteprimerasangra2"/>
    <w:uiPriority w:val="99"/>
    <w:rsid w:val="00495FE3"/>
    <w:rPr>
      <w:lang w:val="es-ES_tradnl" w:eastAsia="ar-SA" w:bidi="ar-SA"/>
    </w:rPr>
  </w:style>
  <w:style w:type="paragraph" w:styleId="Textonotaalfinal">
    <w:name w:val="endnote text"/>
    <w:basedOn w:val="Normal"/>
    <w:link w:val="TextonotaalfinalCar"/>
    <w:uiPriority w:val="99"/>
    <w:unhideWhenUsed/>
    <w:qFormat/>
    <w:rsid w:val="00495FE3"/>
    <w:pPr>
      <w:suppressAutoHyphens w:val="0"/>
      <w:spacing w:after="200" w:line="276" w:lineRule="auto"/>
    </w:pPr>
    <w:rPr>
      <w:rFonts w:ascii="Calibri" w:eastAsia="Calibri" w:hAnsi="Calibri"/>
      <w:sz w:val="20"/>
      <w:szCs w:val="20"/>
      <w:lang w:val="en-US" w:eastAsia="en-US"/>
    </w:rPr>
  </w:style>
  <w:style w:type="character" w:customStyle="1" w:styleId="TextonotaalfinalCar">
    <w:name w:val="Texto nota al final Car"/>
    <w:basedOn w:val="Fuentedeprrafopredeter"/>
    <w:link w:val="Textonotaalfinal"/>
    <w:uiPriority w:val="99"/>
    <w:qFormat/>
    <w:rsid w:val="00495FE3"/>
    <w:rPr>
      <w:rFonts w:ascii="Calibri" w:eastAsia="Calibri" w:hAnsi="Calibri"/>
      <w:lang w:val="en-US" w:eastAsia="en-US"/>
    </w:rPr>
  </w:style>
  <w:style w:type="character" w:styleId="Refdenotaalfinal">
    <w:name w:val="endnote reference"/>
    <w:uiPriority w:val="99"/>
    <w:unhideWhenUsed/>
    <w:rsid w:val="00495FE3"/>
    <w:rPr>
      <w:vertAlign w:val="superscript"/>
    </w:rPr>
  </w:style>
  <w:style w:type="character" w:customStyle="1" w:styleId="FechaCar">
    <w:name w:val="Fecha Car"/>
    <w:basedOn w:val="Fuentedeprrafopredeter"/>
    <w:link w:val="Fecha"/>
    <w:uiPriority w:val="99"/>
    <w:rsid w:val="00495FE3"/>
    <w:rPr>
      <w:rFonts w:ascii="Courier New" w:hAnsi="Courier New"/>
      <w:sz w:val="24"/>
      <w:lang w:val="es-ES_tradnl"/>
    </w:rPr>
  </w:style>
  <w:style w:type="table" w:styleId="Tablaweb1">
    <w:name w:val="Table Web 1"/>
    <w:basedOn w:val="Tablanormal"/>
    <w:rsid w:val="00495FE3"/>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estilocorreo170">
    <w:name w:val="estilocorreo17"/>
    <w:rsid w:val="00495FE3"/>
    <w:rPr>
      <w:rFonts w:ascii="Palatino Linotype" w:hAnsi="Palatino Linotype" w:cs="Arial" w:hint="default"/>
      <w:b/>
      <w:bCs w:val="0"/>
      <w:color w:val="auto"/>
      <w:sz w:val="26"/>
      <w:szCs w:val="26"/>
    </w:rPr>
  </w:style>
  <w:style w:type="character" w:customStyle="1" w:styleId="a0">
    <w:name w:val="."/>
    <w:rsid w:val="00495FE3"/>
    <w:rPr>
      <w:color w:val="000000"/>
    </w:rPr>
  </w:style>
  <w:style w:type="character" w:customStyle="1" w:styleId="estilocorreo21">
    <w:name w:val="estilocorreo21"/>
    <w:rsid w:val="00495FE3"/>
    <w:rPr>
      <w:rFonts w:ascii="Arial" w:hAnsi="Arial" w:cs="Arial" w:hint="default"/>
      <w:color w:val="000080"/>
    </w:rPr>
  </w:style>
  <w:style w:type="character" w:customStyle="1" w:styleId="yvalverdech">
    <w:name w:val="yvalverdech"/>
    <w:rsid w:val="00495FE3"/>
    <w:rPr>
      <w:rFonts w:ascii="Arial" w:hAnsi="Arial" w:cs="Arial"/>
      <w:color w:val="auto"/>
      <w:sz w:val="20"/>
      <w:szCs w:val="20"/>
    </w:rPr>
  </w:style>
  <w:style w:type="character" w:customStyle="1" w:styleId="estilocorreo22">
    <w:name w:val="estilocorreo22"/>
    <w:rsid w:val="00495FE3"/>
    <w:rPr>
      <w:rFonts w:ascii="Arial" w:hAnsi="Arial" w:cs="Arial" w:hint="default"/>
      <w:color w:val="000080"/>
    </w:rPr>
  </w:style>
  <w:style w:type="paragraph" w:customStyle="1" w:styleId="Style11">
    <w:name w:val="Style1"/>
    <w:basedOn w:val="Prrafodelista10"/>
    <w:uiPriority w:val="99"/>
    <w:rsid w:val="00495FE3"/>
    <w:pPr>
      <w:widowControl/>
      <w:suppressAutoHyphens/>
      <w:autoSpaceDE/>
      <w:autoSpaceDN/>
      <w:adjustRightInd/>
      <w:spacing w:line="276" w:lineRule="auto"/>
      <w:ind w:left="561"/>
      <w:jc w:val="both"/>
    </w:pPr>
    <w:rPr>
      <w:rFonts w:ascii="Calibri" w:hAnsi="Calibri" w:cs="Times New Roman"/>
      <w:kern w:val="1"/>
      <w:sz w:val="24"/>
      <w:szCs w:val="24"/>
      <w:shd w:val="clear" w:color="auto" w:fill="auto"/>
      <w:lang w:val="es-CR" w:eastAsia="ar-SA"/>
    </w:rPr>
  </w:style>
  <w:style w:type="character" w:customStyle="1" w:styleId="CarCar13">
    <w:name w:val="Car Car13"/>
    <w:locked/>
    <w:rsid w:val="00495FE3"/>
    <w:rPr>
      <w:sz w:val="28"/>
      <w:szCs w:val="28"/>
      <w:lang w:val="es-ES" w:eastAsia="ar-SA" w:bidi="ar-SA"/>
    </w:rPr>
  </w:style>
  <w:style w:type="paragraph" w:customStyle="1" w:styleId="CarCarCarCarCarCarCarCar">
    <w:name w:val="Car Car Car Car Car Car Car Car"/>
    <w:basedOn w:val="Normal"/>
    <w:uiPriority w:val="99"/>
    <w:semiHidden/>
    <w:rsid w:val="00495FE3"/>
    <w:pPr>
      <w:suppressAutoHyphens w:val="0"/>
      <w:spacing w:after="160" w:line="240" w:lineRule="exact"/>
    </w:pPr>
    <w:rPr>
      <w:rFonts w:ascii="Verdana" w:hAnsi="Verdana" w:cs="Verdana"/>
      <w:sz w:val="20"/>
      <w:szCs w:val="20"/>
      <w:lang w:val="en-AU" w:eastAsia="en-US"/>
    </w:rPr>
  </w:style>
  <w:style w:type="character" w:customStyle="1" w:styleId="TtuloPrincipalCarCar">
    <w:name w:val="Título Principal Car Car"/>
    <w:rsid w:val="00495FE3"/>
    <w:rPr>
      <w:rFonts w:ascii="Arial" w:hAnsi="Arial" w:cs="Arial"/>
      <w:b/>
      <w:bCs/>
      <w:kern w:val="1"/>
      <w:sz w:val="28"/>
      <w:szCs w:val="28"/>
      <w:lang w:val="es-ES" w:eastAsia="ar-SA" w:bidi="ar-SA"/>
    </w:rPr>
  </w:style>
  <w:style w:type="character" w:customStyle="1" w:styleId="CarCar20">
    <w:name w:val="Car Car20"/>
    <w:rsid w:val="00495FE3"/>
    <w:rPr>
      <w:b/>
      <w:bCs/>
      <w:sz w:val="28"/>
      <w:szCs w:val="28"/>
      <w:u w:val="single"/>
      <w:lang w:val="es-ES" w:eastAsia="ar-SA" w:bidi="ar-SA"/>
    </w:rPr>
  </w:style>
  <w:style w:type="character" w:customStyle="1" w:styleId="SubttulosdeHallazgoCarCar">
    <w:name w:val="Subtítulos de Hallazgo Car Car"/>
    <w:rsid w:val="00495FE3"/>
    <w:rPr>
      <w:rFonts w:ascii="Arial" w:hAnsi="Arial" w:cs="Arial"/>
      <w:b/>
      <w:bCs/>
      <w:sz w:val="26"/>
      <w:szCs w:val="26"/>
      <w:lang w:val="es-ES" w:eastAsia="ar-SA" w:bidi="ar-SA"/>
    </w:rPr>
  </w:style>
  <w:style w:type="character" w:customStyle="1" w:styleId="CarCar15">
    <w:name w:val="Car Car15"/>
    <w:rsid w:val="00495FE3"/>
    <w:rPr>
      <w:i/>
      <w:iCs/>
      <w:sz w:val="24"/>
      <w:szCs w:val="24"/>
      <w:lang w:val="es-ES" w:eastAsia="ar-SA" w:bidi="ar-SA"/>
    </w:rPr>
  </w:style>
  <w:style w:type="character" w:customStyle="1" w:styleId="CarCar9">
    <w:name w:val="Car Car9"/>
    <w:qFormat/>
    <w:locked/>
    <w:rsid w:val="00495FE3"/>
    <w:rPr>
      <w:lang w:val="es-ES" w:eastAsia="es-ES" w:bidi="ar-SA"/>
    </w:rPr>
  </w:style>
  <w:style w:type="paragraph" w:customStyle="1" w:styleId="BodyTextIndent21">
    <w:name w:val="Body Text Indent 21"/>
    <w:uiPriority w:val="99"/>
    <w:rsid w:val="00495FE3"/>
    <w:pPr>
      <w:widowControl w:val="0"/>
      <w:suppressAutoHyphens/>
      <w:autoSpaceDE w:val="0"/>
      <w:spacing w:line="480" w:lineRule="auto"/>
      <w:ind w:firstLine="708"/>
      <w:jc w:val="both"/>
    </w:pPr>
    <w:rPr>
      <w:rFonts w:ascii="Arial" w:eastAsia="Arial" w:hAnsi="Arial" w:cs="Arial"/>
      <w:sz w:val="24"/>
      <w:szCs w:val="24"/>
      <w:u w:val="single"/>
      <w:lang w:bidi="es-ES"/>
    </w:rPr>
  </w:style>
  <w:style w:type="character" w:customStyle="1" w:styleId="grame">
    <w:name w:val="grame"/>
    <w:basedOn w:val="Fuentedeprrafopredeter"/>
    <w:rsid w:val="00495FE3"/>
  </w:style>
  <w:style w:type="character" w:customStyle="1" w:styleId="h4CarCar">
    <w:name w:val="h4 Car Car"/>
    <w:rsid w:val="00495FE3"/>
    <w:rPr>
      <w:rFonts w:ascii="Book Antiqua" w:hAnsi="Book Antiqua" w:cs="Book Antiqua"/>
      <w:b/>
      <w:bCs/>
      <w:sz w:val="24"/>
      <w:szCs w:val="24"/>
      <w:u w:color="000000"/>
      <w:lang w:val="es-ES" w:eastAsia="es-ES" w:bidi="ar-SA"/>
    </w:rPr>
  </w:style>
  <w:style w:type="character" w:customStyle="1" w:styleId="CarCar18">
    <w:name w:val="Car Car18"/>
    <w:rsid w:val="00495FE3"/>
    <w:rPr>
      <w:rFonts w:ascii="Arial" w:hAnsi="Arial" w:cs="Arial"/>
      <w:sz w:val="24"/>
      <w:szCs w:val="24"/>
      <w:lang w:val="es-ES" w:eastAsia="es-ES" w:bidi="ar-SA"/>
    </w:rPr>
  </w:style>
  <w:style w:type="character" w:customStyle="1" w:styleId="CarCar10">
    <w:name w:val="Car Car10"/>
    <w:qFormat/>
    <w:rsid w:val="00495FE3"/>
    <w:rPr>
      <w:rFonts w:ascii="Arial" w:hAnsi="Arial" w:cs="Arial"/>
      <w:lang w:val="es-ES" w:eastAsia="es-ES" w:bidi="ar-SA"/>
    </w:rPr>
  </w:style>
  <w:style w:type="paragraph" w:styleId="Mapadeldocumento">
    <w:name w:val="Document Map"/>
    <w:basedOn w:val="Normal"/>
    <w:link w:val="MapadeldocumentoCar"/>
    <w:uiPriority w:val="99"/>
    <w:qFormat/>
    <w:rsid w:val="00495FE3"/>
    <w:pPr>
      <w:widowControl w:val="0"/>
      <w:shd w:val="clear" w:color="auto" w:fill="000080"/>
      <w:suppressAutoHyphens w:val="0"/>
      <w:autoSpaceDE w:val="0"/>
      <w:autoSpaceDN w:val="0"/>
      <w:adjustRightInd w:val="0"/>
    </w:pPr>
    <w:rPr>
      <w:rFonts w:ascii="Tahoma" w:hAnsi="Tahoma" w:cs="Tahoma"/>
      <w:color w:val="000000"/>
      <w:sz w:val="20"/>
      <w:szCs w:val="20"/>
      <w:u w:color="000000"/>
      <w:lang w:eastAsia="es-ES"/>
    </w:rPr>
  </w:style>
  <w:style w:type="character" w:customStyle="1" w:styleId="MapadeldocumentoCar">
    <w:name w:val="Mapa del documento Car"/>
    <w:basedOn w:val="Fuentedeprrafopredeter"/>
    <w:link w:val="Mapadeldocumento"/>
    <w:uiPriority w:val="99"/>
    <w:rsid w:val="00495FE3"/>
    <w:rPr>
      <w:rFonts w:ascii="Tahoma" w:hAnsi="Tahoma" w:cs="Tahoma"/>
      <w:color w:val="000000"/>
      <w:u w:color="000000"/>
      <w:shd w:val="clear" w:color="auto" w:fill="000080"/>
    </w:rPr>
  </w:style>
  <w:style w:type="character" w:customStyle="1" w:styleId="estilo51">
    <w:name w:val="estilo51"/>
    <w:qFormat/>
    <w:rsid w:val="00495FE3"/>
    <w:rPr>
      <w:b/>
      <w:bCs/>
    </w:rPr>
  </w:style>
  <w:style w:type="character" w:customStyle="1" w:styleId="estilo41">
    <w:name w:val="estilo41"/>
    <w:basedOn w:val="Fuentedeprrafopredeter"/>
    <w:qFormat/>
    <w:rsid w:val="00495FE3"/>
  </w:style>
  <w:style w:type="paragraph" w:styleId="Saludo">
    <w:name w:val="Salutation"/>
    <w:basedOn w:val="Normal"/>
    <w:next w:val="Normal"/>
    <w:link w:val="SaludoCar"/>
    <w:uiPriority w:val="99"/>
    <w:qFormat/>
    <w:rsid w:val="00495FE3"/>
    <w:pPr>
      <w:suppressAutoHyphens w:val="0"/>
    </w:pPr>
    <w:rPr>
      <w:rFonts w:ascii="Calibri" w:hAnsi="Calibri"/>
      <w:sz w:val="20"/>
      <w:szCs w:val="20"/>
      <w:lang w:val="es-CR" w:eastAsia="en-US"/>
    </w:rPr>
  </w:style>
  <w:style w:type="character" w:customStyle="1" w:styleId="SaludoCar">
    <w:name w:val="Saludo Car"/>
    <w:basedOn w:val="Fuentedeprrafopredeter"/>
    <w:link w:val="Saludo"/>
    <w:uiPriority w:val="99"/>
    <w:rsid w:val="00495FE3"/>
    <w:rPr>
      <w:rFonts w:ascii="Calibri" w:hAnsi="Calibri"/>
      <w:lang w:val="es-CR" w:eastAsia="en-US"/>
    </w:rPr>
  </w:style>
  <w:style w:type="character" w:customStyle="1" w:styleId="z-FinaldelformularioCar">
    <w:name w:val="z-Final del formulario Car"/>
    <w:basedOn w:val="Fuentedeprrafopredeter"/>
    <w:link w:val="z-Finaldelformulario"/>
    <w:uiPriority w:val="99"/>
    <w:rsid w:val="00495FE3"/>
  </w:style>
  <w:style w:type="character" w:customStyle="1" w:styleId="z-PrincipiodelformularioCar">
    <w:name w:val="z-Principio del formulario Car"/>
    <w:basedOn w:val="Fuentedeprrafopredeter"/>
    <w:link w:val="z-Principiodelformulario"/>
    <w:uiPriority w:val="99"/>
    <w:rsid w:val="00495FE3"/>
    <w:rPr>
      <w:b/>
      <w:bCs/>
      <w:i/>
      <w:iCs/>
      <w:sz w:val="24"/>
      <w:szCs w:val="24"/>
      <w:lang w:val="es-CR"/>
    </w:rPr>
  </w:style>
  <w:style w:type="paragraph" w:customStyle="1" w:styleId="ListaconvietasTabla">
    <w:name w:val="Lista con viñetas Tabla"/>
    <w:basedOn w:val="Listaconvietas"/>
    <w:uiPriority w:val="99"/>
    <w:rsid w:val="00495FE3"/>
    <w:pPr>
      <w:keepLines/>
      <w:numPr>
        <w:numId w:val="9"/>
      </w:numPr>
      <w:tabs>
        <w:tab w:val="num" w:pos="720"/>
      </w:tabs>
      <w:spacing w:before="60" w:after="60"/>
      <w:jc w:val="both"/>
    </w:pPr>
    <w:rPr>
      <w:rFonts w:ascii="Tahoma" w:eastAsia="MS Mincho" w:hAnsi="Tahoma" w:cs="Tahoma"/>
      <w:sz w:val="20"/>
      <w:szCs w:val="20"/>
      <w:lang w:val="es-CL"/>
    </w:rPr>
  </w:style>
  <w:style w:type="character" w:customStyle="1" w:styleId="SaludoCar1">
    <w:name w:val="Saludo Car1"/>
    <w:rsid w:val="00495FE3"/>
    <w:rPr>
      <w:sz w:val="24"/>
      <w:szCs w:val="24"/>
      <w:lang w:val="es-ES" w:eastAsia="es-ES"/>
    </w:rPr>
  </w:style>
  <w:style w:type="paragraph" w:customStyle="1" w:styleId="BodyText21">
    <w:name w:val="Body Text 21"/>
    <w:basedOn w:val="Normal"/>
    <w:uiPriority w:val="99"/>
    <w:rsid w:val="00495FE3"/>
    <w:pPr>
      <w:suppressAutoHyphens w:val="0"/>
      <w:ind w:right="334" w:hanging="283"/>
      <w:jc w:val="both"/>
    </w:pPr>
    <w:rPr>
      <w:rFonts w:ascii="Arial" w:hAnsi="Arial"/>
      <w:szCs w:val="20"/>
      <w:lang w:val="es-CR" w:eastAsia="es-ES"/>
    </w:rPr>
  </w:style>
  <w:style w:type="paragraph" w:customStyle="1" w:styleId="BlockText1">
    <w:name w:val="Block Text1"/>
    <w:basedOn w:val="Normal"/>
    <w:uiPriority w:val="99"/>
    <w:rsid w:val="00495FE3"/>
    <w:pPr>
      <w:suppressAutoHyphens w:val="0"/>
      <w:ind w:left="283" w:right="334" w:hanging="283"/>
      <w:jc w:val="both"/>
    </w:pPr>
    <w:rPr>
      <w:rFonts w:ascii="Arial" w:hAnsi="Arial"/>
      <w:szCs w:val="20"/>
      <w:lang w:val="es-CR" w:eastAsia="es-ES"/>
    </w:rPr>
  </w:style>
  <w:style w:type="paragraph" w:customStyle="1" w:styleId="BodyText31">
    <w:name w:val="Body Text 31"/>
    <w:basedOn w:val="Normal"/>
    <w:uiPriority w:val="99"/>
    <w:rsid w:val="00495FE3"/>
    <w:pPr>
      <w:suppressAutoHyphens w:val="0"/>
      <w:ind w:right="334"/>
      <w:jc w:val="both"/>
    </w:pPr>
    <w:rPr>
      <w:rFonts w:ascii="Arial" w:hAnsi="Arial"/>
      <w:b/>
      <w:szCs w:val="20"/>
      <w:lang w:val="es-CR" w:eastAsia="es-ES"/>
    </w:rPr>
  </w:style>
  <w:style w:type="paragraph" w:styleId="Cierre">
    <w:name w:val="Closing"/>
    <w:basedOn w:val="Normal"/>
    <w:link w:val="CierreCar"/>
    <w:uiPriority w:val="99"/>
    <w:rsid w:val="00495FE3"/>
    <w:pPr>
      <w:suppressAutoHyphens w:val="0"/>
      <w:ind w:left="4252"/>
    </w:pPr>
    <w:rPr>
      <w:rFonts w:ascii="Century Schoolbook" w:hAnsi="Century Schoolbook"/>
      <w:i/>
      <w:szCs w:val="20"/>
      <w:lang w:val="es-CR" w:eastAsia="es-ES"/>
    </w:rPr>
  </w:style>
  <w:style w:type="character" w:customStyle="1" w:styleId="CierreCar">
    <w:name w:val="Cierre Car"/>
    <w:basedOn w:val="Fuentedeprrafopredeter"/>
    <w:link w:val="Cierre"/>
    <w:uiPriority w:val="99"/>
    <w:rsid w:val="00495FE3"/>
    <w:rPr>
      <w:rFonts w:ascii="Century Schoolbook" w:hAnsi="Century Schoolbook"/>
      <w:i/>
      <w:sz w:val="24"/>
      <w:lang w:val="es-CR"/>
    </w:rPr>
  </w:style>
  <w:style w:type="paragraph" w:styleId="Firma">
    <w:name w:val="Signature"/>
    <w:basedOn w:val="Normal"/>
    <w:link w:val="FirmaCar"/>
    <w:uiPriority w:val="99"/>
    <w:rsid w:val="00495FE3"/>
    <w:pPr>
      <w:suppressAutoHyphens w:val="0"/>
      <w:ind w:left="4252"/>
    </w:pPr>
    <w:rPr>
      <w:rFonts w:ascii="Century Schoolbook" w:hAnsi="Century Schoolbook"/>
      <w:i/>
      <w:szCs w:val="20"/>
      <w:lang w:val="es-CR" w:eastAsia="es-ES"/>
    </w:rPr>
  </w:style>
  <w:style w:type="character" w:customStyle="1" w:styleId="FirmaCar">
    <w:name w:val="Firma Car"/>
    <w:basedOn w:val="Fuentedeprrafopredeter"/>
    <w:link w:val="Firma"/>
    <w:uiPriority w:val="99"/>
    <w:rsid w:val="00495FE3"/>
    <w:rPr>
      <w:rFonts w:ascii="Century Schoolbook" w:hAnsi="Century Schoolbook"/>
      <w:i/>
      <w:sz w:val="24"/>
      <w:lang w:val="es-CR"/>
    </w:rPr>
  </w:style>
  <w:style w:type="paragraph" w:customStyle="1" w:styleId="toa">
    <w:name w:val="toa"/>
    <w:basedOn w:val="Normal"/>
    <w:uiPriority w:val="99"/>
    <w:rsid w:val="00495FE3"/>
    <w:pPr>
      <w:tabs>
        <w:tab w:val="left" w:pos="9000"/>
        <w:tab w:val="right" w:pos="9360"/>
      </w:tabs>
    </w:pPr>
    <w:rPr>
      <w:rFonts w:ascii="Courier New" w:hAnsi="Courier New"/>
      <w:szCs w:val="20"/>
      <w:lang w:val="en-US" w:eastAsia="es-ES"/>
    </w:rPr>
  </w:style>
  <w:style w:type="paragraph" w:styleId="Continuarlista2">
    <w:name w:val="List Continue 2"/>
    <w:basedOn w:val="Normal"/>
    <w:uiPriority w:val="99"/>
    <w:rsid w:val="00495FE3"/>
    <w:pPr>
      <w:suppressAutoHyphens w:val="0"/>
      <w:spacing w:after="120"/>
      <w:ind w:left="566"/>
    </w:pPr>
    <w:rPr>
      <w:lang w:val="es-CR" w:eastAsia="es-ES"/>
    </w:rPr>
  </w:style>
  <w:style w:type="paragraph" w:customStyle="1" w:styleId="Lneadeasunto">
    <w:name w:val="Línea de asunto"/>
    <w:basedOn w:val="Normal"/>
    <w:uiPriority w:val="99"/>
    <w:rsid w:val="00495FE3"/>
    <w:pPr>
      <w:widowControl w:val="0"/>
      <w:suppressAutoHyphens w:val="0"/>
      <w:overflowPunct w:val="0"/>
      <w:autoSpaceDE w:val="0"/>
      <w:autoSpaceDN w:val="0"/>
      <w:adjustRightInd w:val="0"/>
      <w:textAlignment w:val="baseline"/>
    </w:pPr>
    <w:rPr>
      <w:rFonts w:ascii="Courier" w:hAnsi="Courier"/>
      <w:sz w:val="20"/>
      <w:szCs w:val="20"/>
      <w:lang w:eastAsia="es-ES"/>
    </w:rPr>
  </w:style>
  <w:style w:type="character" w:customStyle="1" w:styleId="estilocorreo25">
    <w:name w:val="estilocorreo25"/>
    <w:rsid w:val="00495FE3"/>
    <w:rPr>
      <w:rFonts w:ascii="Tahoma" w:hAnsi="Tahoma" w:cs="Tahoma" w:hint="default"/>
      <w:b w:val="0"/>
      <w:bCs w:val="0"/>
      <w:i w:val="0"/>
      <w:iCs w:val="0"/>
      <w:color w:val="auto"/>
    </w:rPr>
  </w:style>
  <w:style w:type="character" w:customStyle="1" w:styleId="estilocorreo23">
    <w:name w:val="estilocorreo23"/>
    <w:rsid w:val="00495FE3"/>
    <w:rPr>
      <w:rFonts w:ascii="Tahoma" w:hAnsi="Tahoma" w:cs="Tahoma" w:hint="default"/>
      <w:b w:val="0"/>
      <w:bCs w:val="0"/>
      <w:i w:val="0"/>
      <w:iCs w:val="0"/>
      <w:color w:val="auto"/>
    </w:rPr>
  </w:style>
  <w:style w:type="paragraph" w:customStyle="1" w:styleId="antecedente">
    <w:name w:val="antecedente"/>
    <w:basedOn w:val="Normal"/>
    <w:link w:val="antecedenteCar"/>
    <w:qFormat/>
    <w:rsid w:val="00495FE3"/>
    <w:pPr>
      <w:spacing w:before="100" w:beforeAutospacing="1" w:after="100" w:afterAutospacing="1" w:line="480" w:lineRule="auto"/>
      <w:ind w:firstLine="708"/>
      <w:jc w:val="both"/>
    </w:pPr>
    <w:rPr>
      <w:bCs/>
      <w:sz w:val="28"/>
      <w:szCs w:val="28"/>
      <w:lang w:eastAsia="es-CR"/>
    </w:rPr>
  </w:style>
  <w:style w:type="character" w:customStyle="1" w:styleId="antecedenteCar">
    <w:name w:val="antecedente Car"/>
    <w:basedOn w:val="Fuentedeprrafopredeter"/>
    <w:link w:val="antecedente"/>
    <w:rsid w:val="00495FE3"/>
    <w:rPr>
      <w:bCs/>
      <w:sz w:val="28"/>
      <w:szCs w:val="28"/>
      <w:lang w:eastAsia="es-CR"/>
    </w:rPr>
  </w:style>
  <w:style w:type="paragraph" w:customStyle="1" w:styleId="Antecedente0">
    <w:name w:val="Antecedente"/>
    <w:basedOn w:val="antecedente"/>
    <w:link w:val="AntecedenteCar0"/>
    <w:qFormat/>
    <w:rsid w:val="00495FE3"/>
  </w:style>
  <w:style w:type="character" w:customStyle="1" w:styleId="AntecedenteCar0">
    <w:name w:val="Antecedente Car"/>
    <w:basedOn w:val="antecedenteCar"/>
    <w:link w:val="Antecedente0"/>
    <w:rsid w:val="00495FE3"/>
    <w:rPr>
      <w:bCs/>
      <w:sz w:val="28"/>
      <w:szCs w:val="28"/>
      <w:lang w:eastAsia="es-CR"/>
    </w:rPr>
  </w:style>
  <w:style w:type="paragraph" w:customStyle="1" w:styleId="dispositiva">
    <w:name w:val="dispositiva"/>
    <w:basedOn w:val="Normal"/>
    <w:link w:val="dispositivaCar"/>
    <w:qFormat/>
    <w:rsid w:val="00495FE3"/>
    <w:pPr>
      <w:spacing w:line="480" w:lineRule="auto"/>
      <w:ind w:firstLine="709"/>
      <w:jc w:val="both"/>
    </w:pPr>
    <w:rPr>
      <w:sz w:val="28"/>
      <w:szCs w:val="28"/>
      <w:lang w:val="es-ES_tradnl"/>
    </w:rPr>
  </w:style>
  <w:style w:type="character" w:customStyle="1" w:styleId="dispositivaCar">
    <w:name w:val="dispositiva Car"/>
    <w:basedOn w:val="Fuentedeprrafopredeter"/>
    <w:link w:val="dispositiva"/>
    <w:rsid w:val="00495FE3"/>
    <w:rPr>
      <w:sz w:val="28"/>
      <w:szCs w:val="28"/>
      <w:lang w:val="es-ES_tradnl" w:eastAsia="ar-SA"/>
    </w:rPr>
  </w:style>
  <w:style w:type="paragraph" w:customStyle="1" w:styleId="encabezadodela">
    <w:name w:val="encabezado de la"/>
    <w:basedOn w:val="Normal"/>
    <w:link w:val="encabezadodelaCar"/>
    <w:qFormat/>
    <w:rsid w:val="00495FE3"/>
    <w:pPr>
      <w:spacing w:line="480" w:lineRule="auto"/>
      <w:ind w:firstLine="708"/>
      <w:jc w:val="both"/>
    </w:pPr>
    <w:rPr>
      <w:color w:val="000099"/>
      <w:sz w:val="28"/>
      <w:szCs w:val="28"/>
      <w:lang w:val="es-ES_tradnl"/>
    </w:rPr>
  </w:style>
  <w:style w:type="character" w:customStyle="1" w:styleId="encabezadodelaCar">
    <w:name w:val="encabezado de la Car"/>
    <w:basedOn w:val="Fuentedeprrafopredeter"/>
    <w:link w:val="encabezadodela"/>
    <w:rsid w:val="00495FE3"/>
    <w:rPr>
      <w:color w:val="000099"/>
      <w:sz w:val="28"/>
      <w:szCs w:val="28"/>
      <w:lang w:val="es-ES_tradnl" w:eastAsia="ar-SA"/>
    </w:rPr>
  </w:style>
  <w:style w:type="paragraph" w:customStyle="1" w:styleId="gestion">
    <w:name w:val="gestion"/>
    <w:basedOn w:val="Normal"/>
    <w:link w:val="gestionCar"/>
    <w:qFormat/>
    <w:rsid w:val="00495FE3"/>
    <w:pPr>
      <w:spacing w:before="120" w:after="120"/>
      <w:ind w:left="851" w:right="851" w:firstLine="709"/>
      <w:jc w:val="both"/>
    </w:pPr>
    <w:rPr>
      <w:color w:val="000099"/>
      <w:sz w:val="26"/>
      <w:szCs w:val="26"/>
      <w:lang w:val="es-ES_tradnl"/>
    </w:rPr>
  </w:style>
  <w:style w:type="character" w:customStyle="1" w:styleId="gestionCar">
    <w:name w:val="gestion Car"/>
    <w:basedOn w:val="Fuentedeprrafopredeter"/>
    <w:link w:val="gestion"/>
    <w:rsid w:val="00495FE3"/>
    <w:rPr>
      <w:color w:val="000099"/>
      <w:sz w:val="26"/>
      <w:szCs w:val="26"/>
      <w:lang w:val="es-ES_tradnl" w:eastAsia="ar-SA"/>
    </w:rPr>
  </w:style>
  <w:style w:type="paragraph" w:customStyle="1" w:styleId="resumen">
    <w:name w:val="resumen"/>
    <w:basedOn w:val="Ttulo3"/>
    <w:link w:val="resumenCar"/>
    <w:qFormat/>
    <w:rsid w:val="00495FE3"/>
  </w:style>
  <w:style w:type="character" w:customStyle="1" w:styleId="resumenCar">
    <w:name w:val="resumen Car"/>
    <w:basedOn w:val="Ttulo3Car"/>
    <w:link w:val="resumen"/>
    <w:rsid w:val="00495FE3"/>
    <w:rPr>
      <w:rFonts w:cs="Arial"/>
      <w:b/>
      <w:bCs/>
      <w:sz w:val="28"/>
      <w:szCs w:val="26"/>
      <w:lang w:val="es-ES_tradnl" w:eastAsia="ar-SA" w:bidi="ar-SA"/>
    </w:rPr>
  </w:style>
  <w:style w:type="paragraph" w:customStyle="1" w:styleId="articulo">
    <w:name w:val="articulo"/>
    <w:basedOn w:val="Ttulo2"/>
    <w:link w:val="articuloCar"/>
    <w:qFormat/>
    <w:rsid w:val="00495FE3"/>
    <w:pPr>
      <w:tabs>
        <w:tab w:val="num" w:pos="0"/>
      </w:tabs>
      <w:spacing w:before="120" w:after="120" w:line="480" w:lineRule="auto"/>
      <w:jc w:val="center"/>
    </w:pPr>
    <w:rPr>
      <w:i w:val="0"/>
      <w:iCs w:val="0"/>
      <w:u w:val="single"/>
    </w:rPr>
  </w:style>
  <w:style w:type="character" w:customStyle="1" w:styleId="articuloCar">
    <w:name w:val="articulo Car"/>
    <w:basedOn w:val="Ttulo2Car"/>
    <w:link w:val="articulo"/>
    <w:rsid w:val="00495FE3"/>
    <w:rPr>
      <w:rFonts w:ascii="Arial" w:hAnsi="Arial" w:cs="Arial"/>
      <w:b/>
      <w:bCs/>
      <w:i w:val="0"/>
      <w:iCs w:val="0"/>
      <w:sz w:val="28"/>
      <w:szCs w:val="28"/>
      <w:u w:val="single"/>
      <w:lang w:val="es-ES" w:eastAsia="ar-SA" w:bidi="ar-SA"/>
    </w:rPr>
  </w:style>
  <w:style w:type="character" w:customStyle="1" w:styleId="EstiloCorreo29">
    <w:name w:val="EstiloCorreo29"/>
    <w:rsid w:val="00495FE3"/>
    <w:rPr>
      <w:rFonts w:ascii="Arial" w:hAnsi="Arial" w:cs="Arial" w:hint="default"/>
      <w:color w:val="000080"/>
      <w:sz w:val="20"/>
      <w:szCs w:val="20"/>
    </w:rPr>
  </w:style>
  <w:style w:type="character" w:customStyle="1" w:styleId="EstiloCorreo30">
    <w:name w:val="EstiloCorreo30"/>
    <w:rsid w:val="00495FE3"/>
    <w:rPr>
      <w:rFonts w:ascii="Arial" w:hAnsi="Arial" w:cs="Arial" w:hint="default"/>
      <w:color w:val="000080"/>
      <w:sz w:val="20"/>
      <w:szCs w:val="20"/>
    </w:rPr>
  </w:style>
  <w:style w:type="table" w:customStyle="1" w:styleId="Cuadrculaclara-nfasis11">
    <w:name w:val="Cuadrícula clara - Énfasis 11"/>
    <w:basedOn w:val="Tablanormal"/>
    <w:uiPriority w:val="62"/>
    <w:rsid w:val="00495FE3"/>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TEMASPRIVADOS">
    <w:name w:val="TEMAS PRIVADOS"/>
    <w:basedOn w:val="Textoindependiente"/>
    <w:link w:val="TEMASPRIVADOSCar"/>
    <w:qFormat/>
    <w:rsid w:val="00495FE3"/>
    <w:pPr>
      <w:spacing w:after="0"/>
      <w:jc w:val="center"/>
    </w:pPr>
    <w:rPr>
      <w:rFonts w:ascii="Book Antiqua" w:hAnsi="Book Antiqua"/>
      <w:b/>
      <w:color w:val="FF0000"/>
      <w:sz w:val="28"/>
      <w:szCs w:val="28"/>
      <w:u w:val="single"/>
      <w:lang w:val="es-ES_tradnl"/>
    </w:rPr>
  </w:style>
  <w:style w:type="character" w:customStyle="1" w:styleId="TEMASPRIVADOSCar">
    <w:name w:val="TEMAS PRIVADOS Car"/>
    <w:basedOn w:val="TextoindependienteCar"/>
    <w:link w:val="TEMASPRIVADOS"/>
    <w:rsid w:val="00495FE3"/>
    <w:rPr>
      <w:rFonts w:ascii="Book Antiqua" w:hAnsi="Book Antiqua"/>
      <w:b/>
      <w:color w:val="FF0000"/>
      <w:sz w:val="28"/>
      <w:szCs w:val="28"/>
      <w:u w:val="single"/>
      <w:lang w:val="es-ES_tradnl" w:eastAsia="ar-SA" w:bidi="ar-SA"/>
    </w:rPr>
  </w:style>
  <w:style w:type="paragraph" w:customStyle="1" w:styleId="paragraph">
    <w:name w:val="paragraph"/>
    <w:basedOn w:val="Normal"/>
    <w:qFormat/>
    <w:rsid w:val="00495FE3"/>
    <w:pPr>
      <w:suppressAutoHyphens w:val="0"/>
      <w:spacing w:before="100" w:beforeAutospacing="1" w:after="100" w:afterAutospacing="1"/>
    </w:pPr>
    <w:rPr>
      <w:lang w:val="es-CR" w:eastAsia="es-CR"/>
    </w:rPr>
  </w:style>
  <w:style w:type="character" w:customStyle="1" w:styleId="normaltextrun">
    <w:name w:val="normaltextrun"/>
    <w:basedOn w:val="Fuentedeprrafopredeter"/>
    <w:qFormat/>
    <w:rsid w:val="00495FE3"/>
  </w:style>
  <w:style w:type="character" w:customStyle="1" w:styleId="eop">
    <w:name w:val="eop"/>
    <w:basedOn w:val="Fuentedeprrafopredeter"/>
    <w:qFormat/>
    <w:rsid w:val="00495FE3"/>
  </w:style>
  <w:style w:type="character" w:customStyle="1" w:styleId="AsuntodelcomentarioCar">
    <w:name w:val="Asunto del comentario Car"/>
    <w:basedOn w:val="TextocomentarioCar"/>
    <w:link w:val="Asuntodelcomentario"/>
    <w:qFormat/>
    <w:rsid w:val="00495FE3"/>
    <w:rPr>
      <w:b/>
      <w:bCs/>
      <w:lang w:val="es-ES" w:eastAsia="ar-SA" w:bidi="ar-SA"/>
    </w:rPr>
  </w:style>
  <w:style w:type="paragraph" w:customStyle="1" w:styleId="Asuntodelcomentario1">
    <w:name w:val="Asunto del comentario1"/>
    <w:basedOn w:val="Textocomentario"/>
    <w:next w:val="Textocomentario"/>
    <w:uiPriority w:val="99"/>
    <w:semiHidden/>
    <w:unhideWhenUsed/>
    <w:qFormat/>
    <w:rsid w:val="00495FE3"/>
    <w:pPr>
      <w:widowControl w:val="0"/>
      <w:suppressAutoHyphens w:val="0"/>
      <w:autoSpaceDE w:val="0"/>
      <w:autoSpaceDN w:val="0"/>
      <w:adjustRightInd w:val="0"/>
    </w:pPr>
    <w:rPr>
      <w:b/>
      <w:bCs/>
    </w:rPr>
  </w:style>
  <w:style w:type="character" w:customStyle="1" w:styleId="AsuntodelcomentarioCar1">
    <w:name w:val="Asunto del comentario Car1"/>
    <w:basedOn w:val="TextocomentarioCar"/>
    <w:rsid w:val="00495FE3"/>
    <w:rPr>
      <w:rFonts w:ascii="Times New Roman" w:eastAsia="Times New Roman" w:hAnsi="Times New Roman" w:cs="Times New Roman"/>
      <w:b/>
      <w:bCs/>
      <w:sz w:val="20"/>
      <w:szCs w:val="20"/>
      <w:lang w:val="es-ES" w:eastAsia="ar-SA" w:bidi="ar-SA"/>
    </w:rPr>
  </w:style>
  <w:style w:type="paragraph" w:customStyle="1" w:styleId="Ttulodelatabla">
    <w:name w:val="Título de la tabla"/>
    <w:uiPriority w:val="99"/>
    <w:qFormat/>
    <w:rsid w:val="00495FE3"/>
    <w:pPr>
      <w:widowControl w:val="0"/>
      <w:autoSpaceDE w:val="0"/>
      <w:autoSpaceDN w:val="0"/>
      <w:adjustRightInd w:val="0"/>
      <w:jc w:val="center"/>
    </w:pPr>
    <w:rPr>
      <w:b/>
      <w:bCs/>
      <w:sz w:val="24"/>
      <w:szCs w:val="24"/>
      <w:lang w:val="es-CR" w:eastAsia="es-CR"/>
    </w:rPr>
  </w:style>
  <w:style w:type="paragraph" w:customStyle="1" w:styleId="Cabecera">
    <w:name w:val="Cabecera"/>
    <w:uiPriority w:val="99"/>
    <w:rsid w:val="00495FE3"/>
    <w:pPr>
      <w:widowControl w:val="0"/>
      <w:autoSpaceDE w:val="0"/>
      <w:autoSpaceDN w:val="0"/>
      <w:adjustRightInd w:val="0"/>
    </w:pPr>
    <w:rPr>
      <w:rFonts w:ascii="Calibri" w:hAnsi="Calibri" w:cs="Calibri"/>
      <w:sz w:val="22"/>
      <w:szCs w:val="22"/>
      <w:lang w:val="es-CR" w:eastAsia="es-CR"/>
    </w:rPr>
  </w:style>
  <w:style w:type="paragraph" w:customStyle="1" w:styleId="Leyenda">
    <w:name w:val="Leyenda"/>
    <w:uiPriority w:val="99"/>
    <w:qFormat/>
    <w:rsid w:val="00495FE3"/>
    <w:pPr>
      <w:widowControl w:val="0"/>
      <w:autoSpaceDE w:val="0"/>
      <w:autoSpaceDN w:val="0"/>
      <w:adjustRightInd w:val="0"/>
      <w:spacing w:before="120" w:after="120"/>
    </w:pPr>
    <w:rPr>
      <w:i/>
      <w:iCs/>
      <w:sz w:val="24"/>
      <w:szCs w:val="24"/>
      <w:lang w:val="es-CR" w:eastAsia="es-CR"/>
    </w:rPr>
  </w:style>
  <w:style w:type="paragraph" w:customStyle="1" w:styleId="Titular">
    <w:name w:val="Titular"/>
    <w:next w:val="Normal"/>
    <w:uiPriority w:val="99"/>
    <w:rsid w:val="00495FE3"/>
    <w:pPr>
      <w:keepNext/>
      <w:keepLines/>
      <w:widowControl w:val="0"/>
      <w:autoSpaceDE w:val="0"/>
      <w:autoSpaceDN w:val="0"/>
      <w:adjustRightInd w:val="0"/>
      <w:spacing w:before="480" w:after="120"/>
    </w:pPr>
    <w:rPr>
      <w:rFonts w:ascii="Arial" w:hAnsi="Arial" w:cs="Arial"/>
      <w:b/>
      <w:bCs/>
      <w:sz w:val="72"/>
      <w:szCs w:val="72"/>
      <w:lang w:val="es-CR" w:eastAsia="es-CR"/>
    </w:rPr>
  </w:style>
  <w:style w:type="paragraph" w:customStyle="1" w:styleId="Cabeceraypie">
    <w:name w:val="Cabecera y pie"/>
    <w:qFormat/>
    <w:rsid w:val="00495FE3"/>
    <w:pPr>
      <w:widowControl w:val="0"/>
      <w:autoSpaceDE w:val="0"/>
      <w:autoSpaceDN w:val="0"/>
      <w:adjustRightInd w:val="0"/>
    </w:pPr>
    <w:rPr>
      <w:sz w:val="24"/>
      <w:szCs w:val="24"/>
      <w:lang w:val="es-CR" w:eastAsia="es-CR"/>
    </w:rPr>
  </w:style>
  <w:style w:type="paragraph" w:customStyle="1" w:styleId="TableParagraph">
    <w:name w:val="Table Paragraph"/>
    <w:uiPriority w:val="1"/>
    <w:qFormat/>
    <w:rsid w:val="00495FE3"/>
    <w:pPr>
      <w:widowControl w:val="0"/>
      <w:autoSpaceDE w:val="0"/>
      <w:autoSpaceDN w:val="0"/>
      <w:adjustRightInd w:val="0"/>
    </w:pPr>
    <w:rPr>
      <w:rFonts w:ascii="Calibri" w:hAnsi="Calibri" w:cs="Calibri"/>
      <w:sz w:val="24"/>
      <w:szCs w:val="24"/>
      <w:lang w:val="es-CR" w:eastAsia="es-CR"/>
    </w:rPr>
  </w:style>
  <w:style w:type="paragraph" w:customStyle="1" w:styleId="Ttulo10">
    <w:name w:val="Título1"/>
    <w:next w:val="Normal"/>
    <w:uiPriority w:val="99"/>
    <w:qFormat/>
    <w:rsid w:val="00495FE3"/>
    <w:pPr>
      <w:widowControl w:val="0"/>
      <w:autoSpaceDE w:val="0"/>
      <w:autoSpaceDN w:val="0"/>
      <w:adjustRightInd w:val="0"/>
      <w:contextualSpacing/>
    </w:pPr>
    <w:rPr>
      <w:rFonts w:ascii="Calibri Light" w:hAnsi="Calibri Light" w:cs="Calibri Light"/>
      <w:spacing w:val="-10"/>
      <w:sz w:val="56"/>
      <w:szCs w:val="56"/>
      <w:lang w:val="es-CR" w:eastAsia="es-CR"/>
    </w:rPr>
  </w:style>
  <w:style w:type="paragraph" w:customStyle="1" w:styleId="Descripcin1">
    <w:name w:val="Descripción1"/>
    <w:aliases w:val="Epígrafe2"/>
    <w:uiPriority w:val="99"/>
    <w:qFormat/>
    <w:rsid w:val="00495FE3"/>
    <w:pPr>
      <w:widowControl w:val="0"/>
      <w:autoSpaceDE w:val="0"/>
      <w:autoSpaceDN w:val="0"/>
      <w:adjustRightInd w:val="0"/>
      <w:spacing w:before="120" w:after="120"/>
    </w:pPr>
    <w:rPr>
      <w:i/>
      <w:iCs/>
      <w:sz w:val="24"/>
      <w:szCs w:val="24"/>
      <w:lang w:val="es-CR" w:eastAsia="es-CR"/>
    </w:rPr>
  </w:style>
  <w:style w:type="paragraph" w:customStyle="1" w:styleId="Descripcin2">
    <w:name w:val="Descripción2"/>
    <w:uiPriority w:val="99"/>
    <w:rsid w:val="00495FE3"/>
    <w:pPr>
      <w:widowControl w:val="0"/>
      <w:autoSpaceDE w:val="0"/>
      <w:autoSpaceDN w:val="0"/>
      <w:adjustRightInd w:val="0"/>
      <w:spacing w:before="120" w:after="120"/>
    </w:pPr>
    <w:rPr>
      <w:i/>
      <w:iCs/>
      <w:sz w:val="24"/>
      <w:szCs w:val="24"/>
      <w:lang w:val="es-CR" w:eastAsia="es-CR"/>
    </w:rPr>
  </w:style>
  <w:style w:type="paragraph" w:customStyle="1" w:styleId="Ttulo20">
    <w:name w:val="Título2"/>
    <w:next w:val="Cuerpodetexto"/>
    <w:uiPriority w:val="99"/>
    <w:rsid w:val="00495FE3"/>
    <w:pPr>
      <w:keepNext/>
      <w:widowControl w:val="0"/>
      <w:autoSpaceDE w:val="0"/>
      <w:autoSpaceDN w:val="0"/>
      <w:adjustRightInd w:val="0"/>
      <w:spacing w:before="240" w:after="120"/>
    </w:pPr>
    <w:rPr>
      <w:rFonts w:ascii="Liberation Sans" w:hAnsi="Liberation Sans" w:cs="Liberation Sans"/>
      <w:sz w:val="28"/>
      <w:szCs w:val="28"/>
      <w:lang w:val="es-CR" w:eastAsia="es-CR"/>
    </w:rPr>
  </w:style>
  <w:style w:type="paragraph" w:customStyle="1" w:styleId="Descripcin3">
    <w:name w:val="Descripción3"/>
    <w:rsid w:val="00495FE3"/>
    <w:pPr>
      <w:widowControl w:val="0"/>
      <w:autoSpaceDE w:val="0"/>
      <w:autoSpaceDN w:val="0"/>
      <w:adjustRightInd w:val="0"/>
      <w:spacing w:before="120" w:after="120"/>
    </w:pPr>
    <w:rPr>
      <w:i/>
      <w:iCs/>
      <w:sz w:val="24"/>
      <w:szCs w:val="24"/>
      <w:lang w:val="es-CR" w:eastAsia="es-CR"/>
    </w:rPr>
  </w:style>
  <w:style w:type="paragraph" w:customStyle="1" w:styleId="Ttulo32">
    <w:name w:val="Título3"/>
    <w:next w:val="Cuerpodetexto"/>
    <w:uiPriority w:val="99"/>
    <w:rsid w:val="00495FE3"/>
    <w:pPr>
      <w:keepNext/>
      <w:widowControl w:val="0"/>
      <w:autoSpaceDE w:val="0"/>
      <w:autoSpaceDN w:val="0"/>
      <w:adjustRightInd w:val="0"/>
      <w:spacing w:before="240" w:after="120"/>
    </w:pPr>
    <w:rPr>
      <w:rFonts w:ascii="Liberation Sans" w:hAnsi="Liberation Sans" w:cs="Liberation Sans"/>
      <w:sz w:val="28"/>
      <w:szCs w:val="28"/>
      <w:lang w:val="es-CR" w:eastAsia="es-CR"/>
    </w:rPr>
  </w:style>
  <w:style w:type="character" w:styleId="nfasisintenso">
    <w:name w:val="Intense Emphasis"/>
    <w:basedOn w:val="Fuentedeprrafopredeter"/>
    <w:uiPriority w:val="21"/>
    <w:qFormat/>
    <w:rsid w:val="00495FE3"/>
    <w:rPr>
      <w:i/>
      <w:iCs/>
      <w:color w:val="5B9BD5"/>
    </w:rPr>
  </w:style>
  <w:style w:type="character" w:customStyle="1" w:styleId="Mencinsinresolver1">
    <w:name w:val="Mención sin resolver1"/>
    <w:uiPriority w:val="99"/>
    <w:qFormat/>
    <w:rsid w:val="00495FE3"/>
    <w:rPr>
      <w:color w:val="605E5C"/>
    </w:rPr>
  </w:style>
  <w:style w:type="character" w:customStyle="1" w:styleId="EnlacedeInternet">
    <w:name w:val="Enlace de Internet"/>
    <w:uiPriority w:val="99"/>
    <w:rsid w:val="00495FE3"/>
    <w:rPr>
      <w:color w:val="0563C1"/>
      <w:u w:val="single"/>
    </w:rPr>
  </w:style>
  <w:style w:type="character" w:customStyle="1" w:styleId="WW8Num11z3">
    <w:name w:val="WW8Num11z3"/>
    <w:qFormat/>
    <w:rsid w:val="00495FE3"/>
    <w:rPr>
      <w:rFonts w:ascii="Symbol" w:hAnsi="Symbol" w:cs="Symbol" w:hint="default"/>
    </w:rPr>
  </w:style>
  <w:style w:type="character" w:customStyle="1" w:styleId="WW8Num11z2">
    <w:name w:val="WW8Num11z2"/>
    <w:qFormat/>
    <w:rsid w:val="00495FE3"/>
    <w:rPr>
      <w:rFonts w:ascii="Wingdings" w:hAnsi="Wingdings" w:cs="Wingdings" w:hint="default"/>
    </w:rPr>
  </w:style>
  <w:style w:type="character" w:customStyle="1" w:styleId="WW8Num11z1">
    <w:name w:val="WW8Num11z1"/>
    <w:qFormat/>
    <w:rsid w:val="00495FE3"/>
    <w:rPr>
      <w:rFonts w:ascii="Courier New" w:hAnsi="Courier New" w:cs="Courier New" w:hint="default"/>
    </w:rPr>
  </w:style>
  <w:style w:type="character" w:customStyle="1" w:styleId="WW8Num11z0">
    <w:name w:val="WW8Num11z0"/>
    <w:qFormat/>
    <w:rsid w:val="00495FE3"/>
    <w:rPr>
      <w:rFonts w:ascii="Calibri" w:hAnsi="Calibri" w:cs="Calibri" w:hint="default"/>
    </w:rPr>
  </w:style>
  <w:style w:type="character" w:customStyle="1" w:styleId="WW8Num10z3">
    <w:name w:val="WW8Num10z3"/>
    <w:qFormat/>
    <w:rsid w:val="00495FE3"/>
    <w:rPr>
      <w:rFonts w:ascii="Symbol" w:hAnsi="Symbol" w:cs="Symbol" w:hint="default"/>
    </w:rPr>
  </w:style>
  <w:style w:type="character" w:customStyle="1" w:styleId="WW8Num10z1">
    <w:name w:val="WW8Num10z1"/>
    <w:qFormat/>
    <w:rsid w:val="00495FE3"/>
    <w:rPr>
      <w:rFonts w:ascii="Courier New" w:hAnsi="Courier New" w:cs="Courier New" w:hint="default"/>
    </w:rPr>
  </w:style>
  <w:style w:type="character" w:customStyle="1" w:styleId="WW8Num10z0">
    <w:name w:val="WW8Num10z0"/>
    <w:qFormat/>
    <w:rsid w:val="00495FE3"/>
    <w:rPr>
      <w:rFonts w:ascii="Wingdings" w:hAnsi="Wingdings" w:cs="Wingdings" w:hint="default"/>
    </w:rPr>
  </w:style>
  <w:style w:type="character" w:customStyle="1" w:styleId="WW8Num9z8">
    <w:name w:val="WW8Num9z8"/>
    <w:qFormat/>
    <w:rsid w:val="00495FE3"/>
  </w:style>
  <w:style w:type="character" w:customStyle="1" w:styleId="WW8Num9z7">
    <w:name w:val="WW8Num9z7"/>
    <w:qFormat/>
    <w:rsid w:val="00495FE3"/>
  </w:style>
  <w:style w:type="character" w:customStyle="1" w:styleId="WW8Num9z6">
    <w:name w:val="WW8Num9z6"/>
    <w:qFormat/>
    <w:rsid w:val="00495FE3"/>
  </w:style>
  <w:style w:type="character" w:customStyle="1" w:styleId="WW8Num9z5">
    <w:name w:val="WW8Num9z5"/>
    <w:qFormat/>
    <w:rsid w:val="00495FE3"/>
  </w:style>
  <w:style w:type="character" w:customStyle="1" w:styleId="WW8Num9z4">
    <w:name w:val="WW8Num9z4"/>
    <w:qFormat/>
    <w:rsid w:val="00495FE3"/>
  </w:style>
  <w:style w:type="character" w:customStyle="1" w:styleId="WW8Num9z3">
    <w:name w:val="WW8Num9z3"/>
    <w:qFormat/>
    <w:rsid w:val="00495FE3"/>
  </w:style>
  <w:style w:type="character" w:customStyle="1" w:styleId="WW8Num9z2">
    <w:name w:val="WW8Num9z2"/>
    <w:qFormat/>
    <w:rsid w:val="00495FE3"/>
  </w:style>
  <w:style w:type="character" w:customStyle="1" w:styleId="WW8Num9z1">
    <w:name w:val="WW8Num9z1"/>
    <w:qFormat/>
    <w:rsid w:val="00495FE3"/>
  </w:style>
  <w:style w:type="character" w:customStyle="1" w:styleId="WW8Num9z0">
    <w:name w:val="WW8Num9z0"/>
    <w:qFormat/>
    <w:rsid w:val="00495FE3"/>
  </w:style>
  <w:style w:type="character" w:customStyle="1" w:styleId="WW8Num8z3">
    <w:name w:val="WW8Num8z3"/>
    <w:qFormat/>
    <w:rsid w:val="00495FE3"/>
    <w:rPr>
      <w:rFonts w:ascii="Symbol" w:hAnsi="Symbol" w:cs="Symbol" w:hint="default"/>
    </w:rPr>
  </w:style>
  <w:style w:type="character" w:customStyle="1" w:styleId="WW8Num8z2">
    <w:name w:val="WW8Num8z2"/>
    <w:qFormat/>
    <w:rsid w:val="00495FE3"/>
    <w:rPr>
      <w:rFonts w:ascii="Wingdings" w:hAnsi="Wingdings" w:cs="Wingdings" w:hint="default"/>
    </w:rPr>
  </w:style>
  <w:style w:type="character" w:customStyle="1" w:styleId="WW8Num8z1">
    <w:name w:val="WW8Num8z1"/>
    <w:qFormat/>
    <w:rsid w:val="00495FE3"/>
    <w:rPr>
      <w:rFonts w:ascii="Courier New" w:hAnsi="Courier New" w:cs="Courier New" w:hint="default"/>
    </w:rPr>
  </w:style>
  <w:style w:type="character" w:customStyle="1" w:styleId="WW8Num8z0">
    <w:name w:val="WW8Num8z0"/>
    <w:qFormat/>
    <w:rsid w:val="00495FE3"/>
    <w:rPr>
      <w:rFonts w:ascii="Wingdings" w:hAnsi="Wingdings" w:cs="Wingdings" w:hint="default"/>
      <w:sz w:val="18"/>
      <w:szCs w:val="18"/>
    </w:rPr>
  </w:style>
  <w:style w:type="character" w:customStyle="1" w:styleId="WW8Num7z8">
    <w:name w:val="WW8Num7z8"/>
    <w:qFormat/>
    <w:rsid w:val="00495FE3"/>
  </w:style>
  <w:style w:type="character" w:customStyle="1" w:styleId="WW8Num7z7">
    <w:name w:val="WW8Num7z7"/>
    <w:qFormat/>
    <w:rsid w:val="00495FE3"/>
  </w:style>
  <w:style w:type="character" w:customStyle="1" w:styleId="WW8Num7z6">
    <w:name w:val="WW8Num7z6"/>
    <w:qFormat/>
    <w:rsid w:val="00495FE3"/>
  </w:style>
  <w:style w:type="character" w:customStyle="1" w:styleId="WW8Num7z5">
    <w:name w:val="WW8Num7z5"/>
    <w:qFormat/>
    <w:rsid w:val="00495FE3"/>
  </w:style>
  <w:style w:type="character" w:customStyle="1" w:styleId="WW8Num7z4">
    <w:name w:val="WW8Num7z4"/>
    <w:qFormat/>
    <w:rsid w:val="00495FE3"/>
  </w:style>
  <w:style w:type="character" w:customStyle="1" w:styleId="WW8Num7z3">
    <w:name w:val="WW8Num7z3"/>
    <w:qFormat/>
    <w:rsid w:val="00495FE3"/>
  </w:style>
  <w:style w:type="character" w:customStyle="1" w:styleId="WW8Num7z2">
    <w:name w:val="WW8Num7z2"/>
    <w:qFormat/>
    <w:rsid w:val="00495FE3"/>
  </w:style>
  <w:style w:type="character" w:customStyle="1" w:styleId="WW8Num7z1">
    <w:name w:val="WW8Num7z1"/>
    <w:qFormat/>
    <w:rsid w:val="00495FE3"/>
  </w:style>
  <w:style w:type="character" w:customStyle="1" w:styleId="WW8Num7z0">
    <w:name w:val="WW8Num7z0"/>
    <w:qFormat/>
    <w:rsid w:val="00495FE3"/>
  </w:style>
  <w:style w:type="character" w:customStyle="1" w:styleId="WW8Num6z8">
    <w:name w:val="WW8Num6z8"/>
    <w:rsid w:val="00495FE3"/>
  </w:style>
  <w:style w:type="character" w:customStyle="1" w:styleId="WW8Num6z7">
    <w:name w:val="WW8Num6z7"/>
    <w:rsid w:val="00495FE3"/>
  </w:style>
  <w:style w:type="character" w:customStyle="1" w:styleId="WW8Num6z6">
    <w:name w:val="WW8Num6z6"/>
    <w:rsid w:val="00495FE3"/>
  </w:style>
  <w:style w:type="character" w:customStyle="1" w:styleId="WW8Num6z5">
    <w:name w:val="WW8Num6z5"/>
    <w:rsid w:val="00495FE3"/>
  </w:style>
  <w:style w:type="character" w:customStyle="1" w:styleId="WW8Num6z4">
    <w:name w:val="WW8Num6z4"/>
    <w:rsid w:val="00495FE3"/>
  </w:style>
  <w:style w:type="character" w:customStyle="1" w:styleId="WW8Num6z3">
    <w:name w:val="WW8Num6z3"/>
    <w:qFormat/>
    <w:rsid w:val="00495FE3"/>
  </w:style>
  <w:style w:type="character" w:customStyle="1" w:styleId="WW8Num6z2">
    <w:name w:val="WW8Num6z2"/>
    <w:qFormat/>
    <w:rsid w:val="00495FE3"/>
  </w:style>
  <w:style w:type="character" w:customStyle="1" w:styleId="WW8Num6z1">
    <w:name w:val="WW8Num6z1"/>
    <w:qFormat/>
    <w:rsid w:val="00495FE3"/>
  </w:style>
  <w:style w:type="character" w:customStyle="1" w:styleId="WW8Num6z0">
    <w:name w:val="WW8Num6z0"/>
    <w:qFormat/>
    <w:rsid w:val="00495FE3"/>
  </w:style>
  <w:style w:type="character" w:customStyle="1" w:styleId="WW8Num5z8">
    <w:name w:val="WW8Num5z8"/>
    <w:qFormat/>
    <w:rsid w:val="00495FE3"/>
  </w:style>
  <w:style w:type="character" w:customStyle="1" w:styleId="WW8Num5z7">
    <w:name w:val="WW8Num5z7"/>
    <w:qFormat/>
    <w:rsid w:val="00495FE3"/>
  </w:style>
  <w:style w:type="character" w:customStyle="1" w:styleId="WW8Num5z6">
    <w:name w:val="WW8Num5z6"/>
    <w:qFormat/>
    <w:rsid w:val="00495FE3"/>
  </w:style>
  <w:style w:type="character" w:customStyle="1" w:styleId="WW8Num5z5">
    <w:name w:val="WW8Num5z5"/>
    <w:qFormat/>
    <w:rsid w:val="00495FE3"/>
  </w:style>
  <w:style w:type="character" w:customStyle="1" w:styleId="WW8Num5z4">
    <w:name w:val="WW8Num5z4"/>
    <w:qFormat/>
    <w:rsid w:val="00495FE3"/>
  </w:style>
  <w:style w:type="character" w:customStyle="1" w:styleId="WW8Num5z3">
    <w:name w:val="WW8Num5z3"/>
    <w:qFormat/>
    <w:rsid w:val="00495FE3"/>
  </w:style>
  <w:style w:type="character" w:customStyle="1" w:styleId="WW8Num5z2">
    <w:name w:val="WW8Num5z2"/>
    <w:qFormat/>
    <w:rsid w:val="00495FE3"/>
  </w:style>
  <w:style w:type="character" w:customStyle="1" w:styleId="WW8Num5z1">
    <w:name w:val="WW8Num5z1"/>
    <w:qFormat/>
    <w:rsid w:val="00495FE3"/>
  </w:style>
  <w:style w:type="character" w:customStyle="1" w:styleId="WW8Num5z0">
    <w:name w:val="WW8Num5z0"/>
    <w:qFormat/>
    <w:rsid w:val="00495FE3"/>
  </w:style>
  <w:style w:type="character" w:customStyle="1" w:styleId="WW8Num4z8">
    <w:name w:val="WW8Num4z8"/>
    <w:qFormat/>
    <w:rsid w:val="00495FE3"/>
  </w:style>
  <w:style w:type="character" w:customStyle="1" w:styleId="WW8Num4z7">
    <w:name w:val="WW8Num4z7"/>
    <w:qFormat/>
    <w:rsid w:val="00495FE3"/>
  </w:style>
  <w:style w:type="character" w:customStyle="1" w:styleId="WW8Num4z6">
    <w:name w:val="WW8Num4z6"/>
    <w:qFormat/>
    <w:rsid w:val="00495FE3"/>
  </w:style>
  <w:style w:type="character" w:customStyle="1" w:styleId="WW8Num4z5">
    <w:name w:val="WW8Num4z5"/>
    <w:qFormat/>
    <w:rsid w:val="00495FE3"/>
  </w:style>
  <w:style w:type="character" w:customStyle="1" w:styleId="WW8Num4z4">
    <w:name w:val="WW8Num4z4"/>
    <w:qFormat/>
    <w:rsid w:val="00495FE3"/>
  </w:style>
  <w:style w:type="character" w:customStyle="1" w:styleId="WW8Num4z3">
    <w:name w:val="WW8Num4z3"/>
    <w:qFormat/>
    <w:rsid w:val="00495FE3"/>
  </w:style>
  <w:style w:type="character" w:customStyle="1" w:styleId="WW8Num4z2">
    <w:name w:val="WW8Num4z2"/>
    <w:qFormat/>
    <w:rsid w:val="00495FE3"/>
  </w:style>
  <w:style w:type="character" w:customStyle="1" w:styleId="WW8Num4z1">
    <w:name w:val="WW8Num4z1"/>
    <w:qFormat/>
    <w:rsid w:val="00495FE3"/>
  </w:style>
  <w:style w:type="character" w:customStyle="1" w:styleId="WW8Num4z0">
    <w:name w:val="WW8Num4z0"/>
    <w:qFormat/>
    <w:rsid w:val="00495FE3"/>
  </w:style>
  <w:style w:type="character" w:customStyle="1" w:styleId="WW8Num3z8">
    <w:name w:val="WW8Num3z8"/>
    <w:qFormat/>
    <w:rsid w:val="00495FE3"/>
  </w:style>
  <w:style w:type="character" w:customStyle="1" w:styleId="WW8Num3z7">
    <w:name w:val="WW8Num3z7"/>
    <w:qFormat/>
    <w:rsid w:val="00495FE3"/>
  </w:style>
  <w:style w:type="character" w:customStyle="1" w:styleId="WW8Num3z6">
    <w:name w:val="WW8Num3z6"/>
    <w:qFormat/>
    <w:rsid w:val="00495FE3"/>
  </w:style>
  <w:style w:type="character" w:customStyle="1" w:styleId="WW8Num3z5">
    <w:name w:val="WW8Num3z5"/>
    <w:qFormat/>
    <w:rsid w:val="00495FE3"/>
  </w:style>
  <w:style w:type="character" w:customStyle="1" w:styleId="WW8Num3z4">
    <w:name w:val="WW8Num3z4"/>
    <w:qFormat/>
    <w:rsid w:val="00495FE3"/>
  </w:style>
  <w:style w:type="character" w:customStyle="1" w:styleId="WW8Num3z3">
    <w:name w:val="WW8Num3z3"/>
    <w:qFormat/>
    <w:rsid w:val="00495FE3"/>
  </w:style>
  <w:style w:type="character" w:customStyle="1" w:styleId="WW8Num3z2">
    <w:name w:val="WW8Num3z2"/>
    <w:qFormat/>
    <w:rsid w:val="00495FE3"/>
  </w:style>
  <w:style w:type="character" w:customStyle="1" w:styleId="WW8Num3z1">
    <w:name w:val="WW8Num3z1"/>
    <w:qFormat/>
    <w:rsid w:val="00495FE3"/>
  </w:style>
  <w:style w:type="character" w:customStyle="1" w:styleId="WW8Num3z0">
    <w:name w:val="WW8Num3z0"/>
    <w:qFormat/>
    <w:rsid w:val="00495FE3"/>
  </w:style>
  <w:style w:type="character" w:customStyle="1" w:styleId="WW8Num2z2">
    <w:name w:val="WW8Num2z2"/>
    <w:qFormat/>
    <w:rsid w:val="00495FE3"/>
    <w:rPr>
      <w:rFonts w:ascii="Wingdings" w:hAnsi="Wingdings" w:cs="Wingdings" w:hint="default"/>
    </w:rPr>
  </w:style>
  <w:style w:type="character" w:customStyle="1" w:styleId="WW8Num2z1">
    <w:name w:val="WW8Num2z1"/>
    <w:qFormat/>
    <w:rsid w:val="00495FE3"/>
    <w:rPr>
      <w:rFonts w:ascii="Courier New" w:hAnsi="Courier New" w:cs="Courier New" w:hint="default"/>
    </w:rPr>
  </w:style>
  <w:style w:type="character" w:customStyle="1" w:styleId="WW8Num2z0">
    <w:name w:val="WW8Num2z0"/>
    <w:qFormat/>
    <w:rsid w:val="00495FE3"/>
    <w:rPr>
      <w:rFonts w:ascii="Symbol" w:hAnsi="Symbol" w:cs="Symbol" w:hint="default"/>
    </w:rPr>
  </w:style>
  <w:style w:type="character" w:customStyle="1" w:styleId="ListLabel9">
    <w:name w:val="ListLabel 9"/>
    <w:qFormat/>
    <w:rsid w:val="00495FE3"/>
  </w:style>
  <w:style w:type="character" w:customStyle="1" w:styleId="ListLabel8">
    <w:name w:val="ListLabel 8"/>
    <w:qFormat/>
    <w:rsid w:val="00495FE3"/>
  </w:style>
  <w:style w:type="character" w:customStyle="1" w:styleId="ListLabel7">
    <w:name w:val="ListLabel 7"/>
    <w:qFormat/>
    <w:rsid w:val="00495FE3"/>
  </w:style>
  <w:style w:type="character" w:customStyle="1" w:styleId="ListLabel6">
    <w:name w:val="ListLabel 6"/>
    <w:qFormat/>
    <w:rsid w:val="00495FE3"/>
  </w:style>
  <w:style w:type="character" w:customStyle="1" w:styleId="ListLabel5">
    <w:name w:val="ListLabel 5"/>
    <w:qFormat/>
    <w:rsid w:val="00495FE3"/>
  </w:style>
  <w:style w:type="character" w:customStyle="1" w:styleId="ListLabel4">
    <w:name w:val="ListLabel 4"/>
    <w:qFormat/>
    <w:rsid w:val="00495FE3"/>
  </w:style>
  <w:style w:type="character" w:customStyle="1" w:styleId="ListLabel3">
    <w:name w:val="ListLabel 3"/>
    <w:qFormat/>
    <w:rsid w:val="00495FE3"/>
  </w:style>
  <w:style w:type="character" w:customStyle="1" w:styleId="ListLabel2">
    <w:name w:val="ListLabel 2"/>
    <w:qFormat/>
    <w:rsid w:val="00495FE3"/>
  </w:style>
  <w:style w:type="character" w:customStyle="1" w:styleId="ListLabel1">
    <w:name w:val="ListLabel 1"/>
    <w:qFormat/>
    <w:rsid w:val="00495FE3"/>
    <w:rPr>
      <w:rFonts w:ascii="Calibri" w:hAnsi="Calibri" w:cs="Calibri" w:hint="default"/>
    </w:rPr>
  </w:style>
  <w:style w:type="character" w:customStyle="1" w:styleId="WW8Num1z8">
    <w:name w:val="WW8Num1z8"/>
    <w:qFormat/>
    <w:rsid w:val="00495FE3"/>
  </w:style>
  <w:style w:type="character" w:customStyle="1" w:styleId="WW8Num1z7">
    <w:name w:val="WW8Num1z7"/>
    <w:qFormat/>
    <w:rsid w:val="00495FE3"/>
  </w:style>
  <w:style w:type="character" w:customStyle="1" w:styleId="WW8Num1z6">
    <w:name w:val="WW8Num1z6"/>
    <w:qFormat/>
    <w:rsid w:val="00495FE3"/>
  </w:style>
  <w:style w:type="character" w:customStyle="1" w:styleId="WW8Num1z5">
    <w:name w:val="WW8Num1z5"/>
    <w:qFormat/>
    <w:rsid w:val="00495FE3"/>
  </w:style>
  <w:style w:type="character" w:customStyle="1" w:styleId="WW8Num1z4">
    <w:name w:val="WW8Num1z4"/>
    <w:qFormat/>
    <w:rsid w:val="00495FE3"/>
  </w:style>
  <w:style w:type="character" w:customStyle="1" w:styleId="WW8Num8z8">
    <w:name w:val="WW8Num8z8"/>
    <w:rsid w:val="00495FE3"/>
  </w:style>
  <w:style w:type="character" w:customStyle="1" w:styleId="WW8Num8z7">
    <w:name w:val="WW8Num8z7"/>
    <w:rsid w:val="00495FE3"/>
  </w:style>
  <w:style w:type="character" w:customStyle="1" w:styleId="WW8Num8z6">
    <w:name w:val="WW8Num8z6"/>
    <w:rsid w:val="00495FE3"/>
  </w:style>
  <w:style w:type="character" w:customStyle="1" w:styleId="WW8Num8z5">
    <w:name w:val="WW8Num8z5"/>
    <w:rsid w:val="00495FE3"/>
  </w:style>
  <w:style w:type="character" w:customStyle="1" w:styleId="WW8Num8z4">
    <w:name w:val="WW8Num8z4"/>
    <w:rsid w:val="00495FE3"/>
  </w:style>
  <w:style w:type="character" w:customStyle="1" w:styleId="WW8Num10z2">
    <w:name w:val="WW8Num10z2"/>
    <w:qFormat/>
    <w:rsid w:val="00495FE3"/>
    <w:rPr>
      <w:rFonts w:ascii="Wingdings" w:hAnsi="Wingdings" w:cs="Wingdings" w:hint="default"/>
    </w:rPr>
  </w:style>
  <w:style w:type="paragraph" w:customStyle="1" w:styleId="noparagraphstyle">
    <w:name w:val="noparagraphstyle"/>
    <w:basedOn w:val="Normal"/>
    <w:uiPriority w:val="99"/>
    <w:rsid w:val="00495FE3"/>
    <w:pPr>
      <w:suppressAutoHyphens w:val="0"/>
      <w:spacing w:before="100" w:beforeAutospacing="1" w:after="100" w:afterAutospacing="1"/>
    </w:pPr>
    <w:rPr>
      <w:lang w:val="es-CR" w:eastAsia="es-ES"/>
    </w:rPr>
  </w:style>
  <w:style w:type="paragraph" w:customStyle="1" w:styleId="Standard0">
    <w:name w:val="Standard"/>
    <w:qFormat/>
    <w:rsid w:val="00495FE3"/>
    <w:pPr>
      <w:widowControl w:val="0"/>
      <w:suppressAutoHyphens/>
      <w:textAlignment w:val="baseline"/>
    </w:pPr>
    <w:rPr>
      <w:rFonts w:eastAsia="SimSun" w:cs="Mangal"/>
      <w:kern w:val="1"/>
      <w:sz w:val="24"/>
      <w:szCs w:val="24"/>
      <w:lang w:eastAsia="hi-IN" w:bidi="hi-IN"/>
    </w:rPr>
  </w:style>
  <w:style w:type="paragraph" w:customStyle="1" w:styleId="ListParagraph0">
    <w:name w:val="List Paragraph0"/>
    <w:basedOn w:val="Normal"/>
    <w:uiPriority w:val="34"/>
    <w:qFormat/>
    <w:rsid w:val="00495FE3"/>
    <w:pPr>
      <w:suppressAutoHyphens w:val="0"/>
      <w:spacing w:after="200" w:line="276" w:lineRule="auto"/>
      <w:ind w:left="720"/>
      <w:contextualSpacing/>
    </w:pPr>
    <w:rPr>
      <w:rFonts w:ascii="Calibri" w:hAnsi="Calibri"/>
      <w:sz w:val="22"/>
      <w:szCs w:val="22"/>
      <w:lang w:eastAsia="en-US"/>
    </w:rPr>
  </w:style>
  <w:style w:type="paragraph" w:customStyle="1" w:styleId="ListParagraph1">
    <w:name w:val="List Paragraph1"/>
    <w:basedOn w:val="Normal"/>
    <w:qFormat/>
    <w:rsid w:val="00495FE3"/>
    <w:pPr>
      <w:suppressAutoHyphens w:val="0"/>
      <w:ind w:left="720"/>
    </w:pPr>
    <w:rPr>
      <w:lang w:eastAsia="es-ES"/>
    </w:rPr>
  </w:style>
  <w:style w:type="paragraph" w:customStyle="1" w:styleId="Ttulo60">
    <w:name w:val="TÍtulo 6"/>
    <w:basedOn w:val="Normal"/>
    <w:next w:val="Normal"/>
    <w:uiPriority w:val="99"/>
    <w:qFormat/>
    <w:rsid w:val="00495FE3"/>
    <w:pPr>
      <w:keepNext/>
      <w:widowControl w:val="0"/>
      <w:tabs>
        <w:tab w:val="left" w:pos="-720"/>
      </w:tabs>
      <w:overflowPunct w:val="0"/>
      <w:autoSpaceDE w:val="0"/>
      <w:autoSpaceDN w:val="0"/>
      <w:adjustRightInd w:val="0"/>
      <w:jc w:val="both"/>
      <w:textAlignment w:val="baseline"/>
    </w:pPr>
    <w:rPr>
      <w:rFonts w:ascii="Bookman Old Style" w:hAnsi="Bookman Old Style" w:cs="Bookman Old Style"/>
      <w:spacing w:val="-3"/>
      <w:lang w:eastAsia="es-ES"/>
    </w:rPr>
  </w:style>
  <w:style w:type="paragraph" w:customStyle="1" w:styleId="Ttulo90">
    <w:name w:val="TÕtulo 9"/>
    <w:basedOn w:val="Normal"/>
    <w:next w:val="Normal"/>
    <w:uiPriority w:val="99"/>
    <w:qFormat/>
    <w:rsid w:val="00495FE3"/>
    <w:pPr>
      <w:keepNext/>
      <w:tabs>
        <w:tab w:val="left" w:pos="142"/>
      </w:tabs>
      <w:suppressAutoHyphens w:val="0"/>
      <w:overflowPunct w:val="0"/>
      <w:autoSpaceDE w:val="0"/>
      <w:autoSpaceDN w:val="0"/>
      <w:adjustRightInd w:val="0"/>
      <w:jc w:val="both"/>
      <w:textAlignment w:val="baseline"/>
    </w:pPr>
    <w:rPr>
      <w:rFonts w:ascii="Book Antiqua" w:hAnsi="Book Antiqua" w:cs="Book Antiqua"/>
      <w:b/>
      <w:bCs/>
      <w:sz w:val="22"/>
      <w:szCs w:val="22"/>
      <w:lang w:eastAsia="es-ES"/>
    </w:rPr>
  </w:style>
  <w:style w:type="paragraph" w:customStyle="1" w:styleId="Cpi">
    <w:name w:val="Cpi"/>
    <w:basedOn w:val="Normal"/>
    <w:uiPriority w:val="99"/>
    <w:qFormat/>
    <w:rsid w:val="00495FE3"/>
    <w:pPr>
      <w:widowControl w:val="0"/>
      <w:suppressAutoHyphens w:val="0"/>
      <w:autoSpaceDE w:val="0"/>
      <w:autoSpaceDN w:val="0"/>
      <w:adjustRightInd w:val="0"/>
      <w:spacing w:line="360" w:lineRule="auto"/>
    </w:pPr>
    <w:rPr>
      <w:sz w:val="28"/>
      <w:szCs w:val="28"/>
      <w:shd w:val="clear" w:color="auto" w:fill="FFFFFF"/>
      <w:lang w:val="es-MX" w:eastAsia="es-ES"/>
    </w:rPr>
  </w:style>
  <w:style w:type="paragraph" w:customStyle="1" w:styleId="Epgrafe0">
    <w:name w:val="Epígrafe"/>
    <w:basedOn w:val="Normal"/>
    <w:next w:val="Normal"/>
    <w:qFormat/>
    <w:rsid w:val="00495FE3"/>
    <w:pPr>
      <w:widowControl w:val="0"/>
      <w:suppressAutoHyphens w:val="0"/>
      <w:autoSpaceDE w:val="0"/>
      <w:autoSpaceDN w:val="0"/>
      <w:adjustRightInd w:val="0"/>
    </w:pPr>
    <w:rPr>
      <w:rFonts w:ascii="Arial" w:hAnsi="Arial" w:cs="Arial"/>
      <w:b/>
      <w:bCs/>
      <w:sz w:val="20"/>
      <w:szCs w:val="20"/>
      <w:lang w:eastAsia="es-ES"/>
    </w:rPr>
  </w:style>
  <w:style w:type="paragraph" w:customStyle="1" w:styleId="xmsonormal">
    <w:name w:val="x_msonormal"/>
    <w:basedOn w:val="Normal"/>
    <w:qFormat/>
    <w:rsid w:val="00495FE3"/>
    <w:pPr>
      <w:suppressAutoHyphens w:val="0"/>
    </w:pPr>
    <w:rPr>
      <w:rFonts w:ascii="Calibri" w:eastAsiaTheme="minorHAnsi" w:hAnsi="Calibri" w:cs="Calibri"/>
      <w:sz w:val="22"/>
      <w:szCs w:val="22"/>
      <w:lang w:val="es-CR" w:eastAsia="es-CR"/>
    </w:rPr>
  </w:style>
  <w:style w:type="paragraph" w:customStyle="1" w:styleId="msonormal0">
    <w:name w:val="msonormal"/>
    <w:basedOn w:val="Normal"/>
    <w:uiPriority w:val="99"/>
    <w:qFormat/>
    <w:rsid w:val="00495FE3"/>
    <w:pPr>
      <w:suppressAutoHyphens w:val="0"/>
      <w:spacing w:before="100" w:beforeAutospacing="1" w:after="100" w:afterAutospacing="1"/>
      <w:ind w:left="397"/>
      <w:jc w:val="both"/>
    </w:pPr>
    <w:rPr>
      <w:lang w:val="es-CR" w:eastAsia="es-CR"/>
    </w:rPr>
  </w:style>
  <w:style w:type="paragraph" w:customStyle="1" w:styleId="Textodecampo">
    <w:name w:val="Texto de campo"/>
    <w:basedOn w:val="Normal"/>
    <w:uiPriority w:val="99"/>
    <w:qFormat/>
    <w:rsid w:val="00495FE3"/>
    <w:pPr>
      <w:suppressAutoHyphens w:val="0"/>
      <w:spacing w:before="60" w:after="60"/>
      <w:ind w:left="397"/>
      <w:jc w:val="both"/>
    </w:pPr>
    <w:rPr>
      <w:rFonts w:ascii="Arial" w:hAnsi="Arial" w:cs="Arial"/>
      <w:sz w:val="19"/>
      <w:szCs w:val="19"/>
      <w:lang w:val="en-US" w:eastAsia="en-US" w:bidi="en-US"/>
    </w:rPr>
  </w:style>
  <w:style w:type="paragraph" w:customStyle="1" w:styleId="Etiquetadecampo">
    <w:name w:val="Etiqueta de campo"/>
    <w:basedOn w:val="Normal"/>
    <w:uiPriority w:val="99"/>
    <w:qFormat/>
    <w:rsid w:val="00495FE3"/>
    <w:pPr>
      <w:suppressAutoHyphens w:val="0"/>
      <w:spacing w:before="60" w:after="60"/>
      <w:ind w:left="397"/>
      <w:jc w:val="both"/>
    </w:pPr>
    <w:rPr>
      <w:rFonts w:ascii="Arial" w:hAnsi="Arial" w:cs="Arial"/>
      <w:b/>
      <w:sz w:val="19"/>
      <w:szCs w:val="19"/>
      <w:lang w:val="en-US" w:eastAsia="en-US" w:bidi="en-US"/>
    </w:rPr>
  </w:style>
  <w:style w:type="paragraph" w:customStyle="1" w:styleId="Prrafodelista11">
    <w:name w:val="Párrafo de lista11"/>
    <w:basedOn w:val="Normal"/>
    <w:uiPriority w:val="99"/>
    <w:qFormat/>
    <w:rsid w:val="00495FE3"/>
    <w:pPr>
      <w:suppressAutoHyphens w:val="0"/>
      <w:spacing w:after="200" w:line="360" w:lineRule="auto"/>
      <w:ind w:left="720"/>
      <w:contextualSpacing/>
      <w:jc w:val="both"/>
    </w:pPr>
    <w:rPr>
      <w:rFonts w:ascii="Arial" w:eastAsia="Calibri" w:hAnsi="Arial"/>
      <w:szCs w:val="22"/>
      <w:lang w:val="es-CR" w:eastAsia="en-US"/>
    </w:rPr>
  </w:style>
  <w:style w:type="paragraph" w:customStyle="1" w:styleId="Trabajo2">
    <w:name w:val="Trabajo2"/>
    <w:qFormat/>
    <w:rsid w:val="00495FE3"/>
    <w:pPr>
      <w:suppressAutoHyphens/>
      <w:spacing w:line="360" w:lineRule="auto"/>
      <w:jc w:val="both"/>
    </w:pPr>
    <w:rPr>
      <w:rFonts w:ascii="Arial" w:hAnsi="Arial" w:cs="Arial"/>
      <w:lang w:eastAsia="zh-CN"/>
    </w:rPr>
  </w:style>
  <w:style w:type="paragraph" w:customStyle="1" w:styleId="Prrafodelista100">
    <w:name w:val="Párrafo de lista10"/>
    <w:basedOn w:val="Normal"/>
    <w:qFormat/>
    <w:rsid w:val="00495FE3"/>
    <w:pPr>
      <w:suppressAutoHyphens w:val="0"/>
      <w:spacing w:after="200" w:line="360" w:lineRule="auto"/>
      <w:ind w:left="720"/>
      <w:contextualSpacing/>
      <w:jc w:val="both"/>
    </w:pPr>
    <w:rPr>
      <w:rFonts w:ascii="Arial" w:eastAsia="Calibri" w:hAnsi="Arial"/>
      <w:szCs w:val="22"/>
      <w:lang w:val="es-CR" w:eastAsia="en-US"/>
    </w:rPr>
  </w:style>
  <w:style w:type="paragraph" w:customStyle="1" w:styleId="Prrafodelista1000">
    <w:name w:val="Párrafo de lista100"/>
    <w:basedOn w:val="Normal"/>
    <w:uiPriority w:val="34"/>
    <w:qFormat/>
    <w:rsid w:val="00495FE3"/>
    <w:pPr>
      <w:suppressAutoHyphens w:val="0"/>
      <w:spacing w:after="200" w:line="360" w:lineRule="auto"/>
      <w:ind w:left="720"/>
      <w:contextualSpacing/>
      <w:jc w:val="both"/>
    </w:pPr>
    <w:rPr>
      <w:rFonts w:ascii="Arial" w:eastAsia="Calibri" w:hAnsi="Arial"/>
      <w:szCs w:val="22"/>
      <w:lang w:val="es-CR" w:eastAsia="en-US"/>
    </w:rPr>
  </w:style>
  <w:style w:type="paragraph" w:customStyle="1" w:styleId="Prrafodelista10000">
    <w:name w:val="Párrafo de lista1000"/>
    <w:basedOn w:val="Normal"/>
    <w:uiPriority w:val="34"/>
    <w:qFormat/>
    <w:rsid w:val="00495FE3"/>
    <w:pPr>
      <w:suppressAutoHyphens w:val="0"/>
      <w:spacing w:after="200" w:line="360" w:lineRule="auto"/>
      <w:ind w:left="720"/>
      <w:contextualSpacing/>
      <w:jc w:val="both"/>
    </w:pPr>
    <w:rPr>
      <w:rFonts w:ascii="Arial" w:eastAsia="Calibri" w:hAnsi="Arial"/>
      <w:szCs w:val="22"/>
      <w:lang w:val="es-CR" w:eastAsia="en-US"/>
    </w:rPr>
  </w:style>
  <w:style w:type="paragraph" w:customStyle="1" w:styleId="Prrafodelista100000">
    <w:name w:val="Párrafo de lista10000"/>
    <w:basedOn w:val="Normal"/>
    <w:uiPriority w:val="34"/>
    <w:qFormat/>
    <w:rsid w:val="00495FE3"/>
    <w:pPr>
      <w:suppressAutoHyphens w:val="0"/>
      <w:spacing w:after="200" w:line="360" w:lineRule="auto"/>
      <w:ind w:left="720"/>
      <w:contextualSpacing/>
      <w:jc w:val="both"/>
    </w:pPr>
    <w:rPr>
      <w:rFonts w:ascii="Arial" w:eastAsia="Calibri" w:hAnsi="Arial"/>
      <w:szCs w:val="22"/>
      <w:lang w:val="es-CR" w:eastAsia="en-US"/>
    </w:rPr>
  </w:style>
  <w:style w:type="character" w:customStyle="1" w:styleId="st1">
    <w:name w:val="st1"/>
    <w:rsid w:val="00495FE3"/>
  </w:style>
  <w:style w:type="table" w:customStyle="1" w:styleId="Tablaconcuadrcula22">
    <w:name w:val="Tabla con cuadrícula22"/>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
    <w:name w:val="Tabla con cuadrícula32"/>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495FE3"/>
    <w:rPr>
      <w:rFonts w:ascii="Calibri" w:hAnsi="Calibri"/>
      <w:sz w:val="22"/>
      <w:szCs w:val="22"/>
      <w:lang w:val="es-CR" w:eastAsia="es-CR"/>
    </w:rPr>
    <w:tblPr>
      <w:tblCellMar>
        <w:top w:w="0" w:type="dxa"/>
        <w:left w:w="0" w:type="dxa"/>
        <w:bottom w:w="0" w:type="dxa"/>
        <w:right w:w="0" w:type="dxa"/>
      </w:tblCellMar>
    </w:tblPr>
  </w:style>
  <w:style w:type="table" w:customStyle="1" w:styleId="Tablaconcuadrcula42">
    <w:name w:val="Tabla con cuadrícula42"/>
    <w:basedOn w:val="Tablanormal"/>
    <w:next w:val="Tablaconcuadrcula"/>
    <w:uiPriority w:val="39"/>
    <w:rsid w:val="00495FE3"/>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12">
    <w:name w:val="Tabla normal 112"/>
    <w:basedOn w:val="Tablanormal"/>
    <w:next w:val="Tablanormal1"/>
    <w:uiPriority w:val="41"/>
    <w:rsid w:val="00495FE3"/>
    <w:rPr>
      <w:rFonts w:ascii="Calibri" w:eastAsia="Calibri" w:hAnsi="Calibri"/>
      <w:sz w:val="24"/>
      <w:szCs w:val="24"/>
      <w:lang w:val="es-ES_tradnl"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22">
    <w:name w:val="Tabla con cuadrícula122"/>
    <w:basedOn w:val="Tablanormal"/>
    <w:next w:val="Tablaconcuadrcula"/>
    <w:uiPriority w:val="59"/>
    <w:rsid w:val="00495FE3"/>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1">
    <w:name w:val="Tabla normal 11"/>
    <w:basedOn w:val="Tablanormal"/>
    <w:next w:val="Tablanormal1"/>
    <w:uiPriority w:val="41"/>
    <w:rsid w:val="00495FE3"/>
    <w:rPr>
      <w:lang w:val="es-CR"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62">
    <w:name w:val="Tabla con cuadrícula62"/>
    <w:basedOn w:val="Tablanormal"/>
    <w:next w:val="Tablaconcuadrcula"/>
    <w:uiPriority w:val="39"/>
    <w:rsid w:val="00495FE3"/>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unhideWhenUsed/>
    <w:rsid w:val="00495FE3"/>
  </w:style>
  <w:style w:type="numbering" w:customStyle="1" w:styleId="Sinlista111">
    <w:name w:val="Sin lista111"/>
    <w:next w:val="Sinlista"/>
    <w:uiPriority w:val="99"/>
    <w:semiHidden/>
    <w:unhideWhenUsed/>
    <w:rsid w:val="00495FE3"/>
  </w:style>
  <w:style w:type="table" w:customStyle="1" w:styleId="TableNormal">
    <w:name w:val="Table Normal"/>
    <w:unhideWhenUsed/>
    <w:qFormat/>
    <w:rsid w:val="00495FE3"/>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extonotapie1">
    <w:name w:val="Texto nota pie1"/>
    <w:basedOn w:val="Normal"/>
    <w:next w:val="Textonotapie"/>
    <w:unhideWhenUsed/>
    <w:rsid w:val="00495FE3"/>
    <w:pPr>
      <w:suppressAutoHyphens w:val="0"/>
    </w:pPr>
    <w:rPr>
      <w:rFonts w:ascii="Calibri" w:eastAsia="Calibri" w:hAnsi="Calibri"/>
      <w:sz w:val="20"/>
      <w:szCs w:val="20"/>
      <w:lang w:val="es-CR" w:eastAsia="en-US"/>
    </w:rPr>
  </w:style>
  <w:style w:type="table" w:customStyle="1" w:styleId="Tabladelista3-nfasis41">
    <w:name w:val="Tabla de lista 3 - Énfasis 41"/>
    <w:basedOn w:val="Tablanormal"/>
    <w:next w:val="Tabladelista3-nfasis4"/>
    <w:uiPriority w:val="48"/>
    <w:rsid w:val="00495FE3"/>
    <w:rPr>
      <w:rFonts w:ascii="Calibri" w:eastAsia="Calibri" w:hAnsi="Calibri"/>
      <w:sz w:val="22"/>
      <w:szCs w:val="22"/>
      <w:lang w:val="es-CR" w:eastAsia="en-US"/>
    </w:rPr>
    <w:tblPr>
      <w:tblStyleRowBandSize w:val="1"/>
      <w:tblStyleColBandSize w:val="1"/>
      <w:tblBorders>
        <w:top w:val="single" w:sz="4" w:space="0" w:color="8064A2"/>
        <w:left w:val="single" w:sz="4" w:space="0" w:color="8064A2"/>
        <w:bottom w:val="single" w:sz="4" w:space="0" w:color="8064A2"/>
        <w:right w:val="single" w:sz="4" w:space="0" w:color="8064A2"/>
      </w:tblBorders>
    </w:tblPr>
    <w:tblStylePr w:type="firstRow">
      <w:rPr>
        <w:b/>
        <w:bCs/>
        <w:color w:val="FFFFFF"/>
      </w:rPr>
      <w:tblPr/>
      <w:tcPr>
        <w:shd w:val="clear" w:color="auto" w:fill="8064A2"/>
      </w:tcPr>
    </w:tblStylePr>
    <w:tblStylePr w:type="lastRow">
      <w:rPr>
        <w:b/>
        <w:bCs/>
      </w:rPr>
      <w:tblPr/>
      <w:tcPr>
        <w:tcBorders>
          <w:top w:val="double" w:sz="4" w:space="0" w:color="8064A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table" w:customStyle="1" w:styleId="Tabladelista3-nfasis11">
    <w:name w:val="Tabla de lista 3 - Énfasis 11"/>
    <w:basedOn w:val="Tablanormal"/>
    <w:next w:val="Tabladelista3-nfasis1"/>
    <w:uiPriority w:val="48"/>
    <w:rsid w:val="00495FE3"/>
    <w:pPr>
      <w:widowControl w:val="0"/>
      <w:autoSpaceDE w:val="0"/>
      <w:autoSpaceDN w:val="0"/>
    </w:pPr>
    <w:rPr>
      <w:rFonts w:ascii="Calibri" w:eastAsia="Calibri" w:hAnsi="Calibri"/>
      <w:sz w:val="22"/>
      <w:szCs w:val="22"/>
      <w:lang w:val="en-US"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customStyle="1" w:styleId="Sangradetextonormal1">
    <w:name w:val="Sangría de texto normal1"/>
    <w:basedOn w:val="Normal"/>
    <w:next w:val="Sangradetextonormal"/>
    <w:uiPriority w:val="99"/>
    <w:semiHidden/>
    <w:unhideWhenUsed/>
    <w:rsid w:val="00495FE3"/>
    <w:pPr>
      <w:suppressAutoHyphens w:val="0"/>
      <w:spacing w:after="120" w:line="259" w:lineRule="auto"/>
      <w:ind w:left="283"/>
    </w:pPr>
    <w:rPr>
      <w:rFonts w:ascii="Calibri" w:eastAsia="Calibri" w:hAnsi="Calibri"/>
      <w:sz w:val="22"/>
      <w:szCs w:val="22"/>
      <w:lang w:val="es-CR" w:eastAsia="en-US"/>
    </w:rPr>
  </w:style>
  <w:style w:type="table" w:customStyle="1" w:styleId="Tabladelista3-nfasis31">
    <w:name w:val="Tabla de lista 3 - Énfasis 31"/>
    <w:basedOn w:val="Tablanormal"/>
    <w:next w:val="Tabladelista3-nfasis3"/>
    <w:uiPriority w:val="48"/>
    <w:rsid w:val="00495FE3"/>
    <w:pPr>
      <w:widowControl w:val="0"/>
      <w:autoSpaceDE w:val="0"/>
      <w:autoSpaceDN w:val="0"/>
    </w:pPr>
    <w:rPr>
      <w:rFonts w:ascii="Calibri" w:eastAsia="Calibri" w:hAnsi="Calibri"/>
      <w:sz w:val="22"/>
      <w:szCs w:val="22"/>
      <w:lang w:val="en-US" w:eastAsia="en-US"/>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customStyle="1" w:styleId="Tablaconcuadrcula1">
    <w:name w:val="Tabla con cuadrícula1"/>
    <w:basedOn w:val="Tablanormal"/>
    <w:next w:val="Tablaconcuadrcula"/>
    <w:rsid w:val="00495FE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sid w:val="00495FE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notapieCar1">
    <w:name w:val="Texto nota pie Car1"/>
    <w:aliases w:val="Footnote reference Car1,FA Fu Car1,Footnote Text Char Char Char Char Char Car1,Footnote Text Char Char Char Char Car1,Footnote Text Char Char Char Car1,Footnote Text Cha Car1,FA Fußnotentext Car1,FA Fuﬂnotentext Car1,Texto Car1"/>
    <w:basedOn w:val="Fuentedeprrafopredeter"/>
    <w:rsid w:val="00495FE3"/>
    <w:rPr>
      <w:rFonts w:ascii="Calibri" w:eastAsia="Calibri" w:hAnsi="Calibri" w:cs="Times New Roman"/>
      <w:sz w:val="20"/>
      <w:szCs w:val="20"/>
    </w:rPr>
  </w:style>
  <w:style w:type="table" w:customStyle="1" w:styleId="Tabladelista3-nfasis42">
    <w:name w:val="Tabla de lista 3 - Énfasis 42"/>
    <w:basedOn w:val="Tablanormal"/>
    <w:next w:val="Tabladelista3-nfasis4"/>
    <w:uiPriority w:val="48"/>
    <w:rsid w:val="00495FE3"/>
    <w:rPr>
      <w:rFonts w:ascii="Calibri" w:eastAsia="Calibri" w:hAnsi="Calibri"/>
      <w:sz w:val="22"/>
      <w:szCs w:val="22"/>
      <w:lang w:val="es-CR"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ladelista3-nfasis12">
    <w:name w:val="Tabla de lista 3 - Énfasis 12"/>
    <w:basedOn w:val="Tablanormal"/>
    <w:next w:val="Tabladelista3-nfasis1"/>
    <w:uiPriority w:val="48"/>
    <w:rsid w:val="00495FE3"/>
    <w:rPr>
      <w:rFonts w:ascii="Calibri" w:eastAsia="Calibri" w:hAnsi="Calibri"/>
      <w:sz w:val="22"/>
      <w:szCs w:val="22"/>
      <w:lang w:val="es-CR"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character" w:customStyle="1" w:styleId="SangradetextonormalCar1">
    <w:name w:val="Sangría de texto normal Car1"/>
    <w:basedOn w:val="Fuentedeprrafopredeter"/>
    <w:rsid w:val="00495FE3"/>
    <w:rPr>
      <w:rFonts w:ascii="Calibri" w:eastAsia="Calibri" w:hAnsi="Calibri" w:cs="Times New Roman"/>
    </w:rPr>
  </w:style>
  <w:style w:type="table" w:customStyle="1" w:styleId="Tabladelista3-nfasis32">
    <w:name w:val="Tabla de lista 3 - Énfasis 32"/>
    <w:basedOn w:val="Tablanormal"/>
    <w:next w:val="Tabladelista3-nfasis3"/>
    <w:uiPriority w:val="48"/>
    <w:rsid w:val="00495FE3"/>
    <w:rPr>
      <w:rFonts w:ascii="Calibri" w:eastAsia="Calibri" w:hAnsi="Calibri"/>
      <w:sz w:val="22"/>
      <w:szCs w:val="22"/>
      <w:lang w:val="es-CR"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leGrid">
    <w:name w:val="TableGrid"/>
    <w:rsid w:val="00495FE3"/>
    <w:rPr>
      <w:rFonts w:ascii="Calibri" w:hAnsi="Calibri"/>
      <w:sz w:val="22"/>
      <w:szCs w:val="22"/>
      <w:lang w:val="es-CR" w:eastAsia="es-CR"/>
    </w:rPr>
    <w:tblPr>
      <w:tblCellMar>
        <w:top w:w="0" w:type="dxa"/>
        <w:left w:w="0" w:type="dxa"/>
        <w:bottom w:w="0" w:type="dxa"/>
        <w:right w:w="0" w:type="dxa"/>
      </w:tblCellMar>
    </w:tblPr>
  </w:style>
  <w:style w:type="table" w:customStyle="1" w:styleId="Tablaconcuadrcula2">
    <w:name w:val="Tabla con cuadrícula2"/>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495FE3"/>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11">
    <w:name w:val="Tabla normal 111"/>
    <w:basedOn w:val="Tablanormal"/>
    <w:next w:val="Tablanormal1"/>
    <w:uiPriority w:val="41"/>
    <w:rsid w:val="00495FE3"/>
    <w:rPr>
      <w:rFonts w:ascii="Calibri" w:eastAsia="Calibri" w:hAnsi="Calibri"/>
      <w:sz w:val="24"/>
      <w:szCs w:val="24"/>
      <w:lang w:val="es-ES_tradnl"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2">
    <w:name w:val="Tabla normal 12"/>
    <w:basedOn w:val="Tablanormal"/>
    <w:next w:val="Tablanormal1"/>
    <w:uiPriority w:val="41"/>
    <w:rsid w:val="00495FE3"/>
    <w:rPr>
      <w:rFonts w:ascii="Calibri" w:eastAsia="Calibri" w:hAnsi="Calibri"/>
      <w:sz w:val="22"/>
      <w:szCs w:val="22"/>
      <w:lang w:val="es-CR"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2">
    <w:name w:val="Tabla con cuadrícula12"/>
    <w:basedOn w:val="Tablanormal"/>
    <w:next w:val="Tablaconcuadrcula"/>
    <w:uiPriority w:val="39"/>
    <w:rsid w:val="00495FE3"/>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495FE3"/>
  </w:style>
  <w:style w:type="table" w:customStyle="1" w:styleId="Tablaconcuadrcula5">
    <w:name w:val="Tabla con cuadrícula5"/>
    <w:basedOn w:val="Tablanormal"/>
    <w:next w:val="Tablaconcuadrcula"/>
    <w:uiPriority w:val="39"/>
    <w:rsid w:val="00495FE3"/>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ial0">
    <w:name w:val="Arial"/>
    <w:basedOn w:val="Normal"/>
    <w:uiPriority w:val="99"/>
    <w:rsid w:val="00495FE3"/>
    <w:pPr>
      <w:tabs>
        <w:tab w:val="left" w:pos="3380"/>
      </w:tabs>
      <w:suppressAutoHyphens w:val="0"/>
      <w:spacing w:after="200" w:line="360" w:lineRule="auto"/>
      <w:jc w:val="both"/>
    </w:pPr>
    <w:rPr>
      <w:rFonts w:ascii="Calibri" w:hAnsi="Calibri" w:cs="Calibri"/>
      <w:b/>
      <w:bCs/>
      <w:color w:val="000080"/>
      <w:lang w:val="es-CR" w:eastAsia="en-US"/>
    </w:rPr>
  </w:style>
  <w:style w:type="paragraph" w:customStyle="1" w:styleId="xmsolistparagraph">
    <w:name w:val="x_msolistparagraph"/>
    <w:basedOn w:val="Normal"/>
    <w:uiPriority w:val="99"/>
    <w:rsid w:val="00495FE3"/>
    <w:pPr>
      <w:suppressAutoHyphens w:val="0"/>
      <w:ind w:left="720"/>
    </w:pPr>
    <w:rPr>
      <w:rFonts w:ascii="Calibri" w:eastAsia="Calibri" w:hAnsi="Calibri" w:cs="Calibri"/>
      <w:sz w:val="22"/>
      <w:szCs w:val="22"/>
      <w:lang w:val="es-419" w:eastAsia="es-419"/>
    </w:rPr>
  </w:style>
  <w:style w:type="paragraph" w:customStyle="1" w:styleId="Textbody">
    <w:name w:val="Text body"/>
    <w:basedOn w:val="Normal"/>
    <w:qFormat/>
    <w:rsid w:val="00495FE3"/>
    <w:pPr>
      <w:autoSpaceDN w:val="0"/>
      <w:spacing w:after="140" w:line="276" w:lineRule="auto"/>
      <w:textAlignment w:val="baseline"/>
    </w:pPr>
    <w:rPr>
      <w:rFonts w:ascii="Liberation Serif" w:eastAsia="NSimSun" w:hAnsi="Liberation Serif" w:cs="Lucida Sans"/>
      <w:kern w:val="3"/>
      <w:lang w:val="es-CR" w:eastAsia="zh-CN" w:bidi="hi-IN"/>
    </w:rPr>
  </w:style>
  <w:style w:type="table" w:customStyle="1" w:styleId="Tablaconcuadrcula6">
    <w:name w:val="Tabla con cuadrícula6"/>
    <w:basedOn w:val="Tablanormal"/>
    <w:next w:val="Tablaconcuadrcula"/>
    <w:uiPriority w:val="39"/>
    <w:rsid w:val="00495FE3"/>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3-nfasis43">
    <w:name w:val="Tabla de lista 3 - Énfasis 43"/>
    <w:basedOn w:val="Tablanormal"/>
    <w:next w:val="Tabladelista3-nfasis4"/>
    <w:uiPriority w:val="48"/>
    <w:rsid w:val="00495FE3"/>
    <w:rPr>
      <w:lang w:val="es-CR" w:eastAsia="es-CR"/>
    </w:rPr>
    <w:tblPr>
      <w:tblStyleRowBandSize w:val="1"/>
      <w:tblStyleColBandSize w:val="1"/>
      <w:tblBorders>
        <w:top w:val="single" w:sz="4" w:space="0" w:color="8064A2"/>
        <w:left w:val="single" w:sz="4" w:space="0" w:color="8064A2"/>
        <w:bottom w:val="single" w:sz="4" w:space="0" w:color="8064A2"/>
        <w:right w:val="single" w:sz="4" w:space="0" w:color="8064A2"/>
      </w:tblBorders>
    </w:tblPr>
    <w:tblStylePr w:type="firstRow">
      <w:rPr>
        <w:b/>
        <w:bCs/>
        <w:color w:val="FFFFFF"/>
      </w:rPr>
      <w:tblPr/>
      <w:tcPr>
        <w:shd w:val="clear" w:color="auto" w:fill="8064A2"/>
      </w:tcPr>
    </w:tblStylePr>
    <w:tblStylePr w:type="lastRow">
      <w:rPr>
        <w:b/>
        <w:bCs/>
      </w:rPr>
      <w:tblPr/>
      <w:tcPr>
        <w:tcBorders>
          <w:top w:val="double" w:sz="4" w:space="0" w:color="8064A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table" w:customStyle="1" w:styleId="Tabladelista3-nfasis13">
    <w:name w:val="Tabla de lista 3 - Énfasis 13"/>
    <w:basedOn w:val="Tablanormal"/>
    <w:next w:val="Tabladelista3-nfasis1"/>
    <w:uiPriority w:val="48"/>
    <w:rsid w:val="00495FE3"/>
    <w:rPr>
      <w:lang w:val="es-CR" w:eastAsia="es-CR"/>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Tabladelista3-nfasis33">
    <w:name w:val="Tabla de lista 3 - Énfasis 33"/>
    <w:basedOn w:val="Tablanormal"/>
    <w:next w:val="Tabladelista3-nfasis3"/>
    <w:uiPriority w:val="48"/>
    <w:rsid w:val="00495FE3"/>
    <w:rPr>
      <w:lang w:val="es-CR" w:eastAsia="es-CR"/>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numbering" w:customStyle="1" w:styleId="Sinlista3">
    <w:name w:val="Sin lista3"/>
    <w:next w:val="Sinlista"/>
    <w:uiPriority w:val="99"/>
    <w:semiHidden/>
    <w:unhideWhenUsed/>
    <w:rsid w:val="00495FE3"/>
  </w:style>
  <w:style w:type="numbering" w:customStyle="1" w:styleId="Sinlista12">
    <w:name w:val="Sin lista12"/>
    <w:next w:val="Sinlista"/>
    <w:uiPriority w:val="99"/>
    <w:semiHidden/>
    <w:unhideWhenUsed/>
    <w:rsid w:val="00495FE3"/>
  </w:style>
  <w:style w:type="table" w:customStyle="1" w:styleId="TableNormal1">
    <w:name w:val="Table Normal1"/>
    <w:unhideWhenUsed/>
    <w:qFormat/>
    <w:rsid w:val="00495FE3"/>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adelista3-nfasis411">
    <w:name w:val="Tabla de lista 3 - Énfasis 411"/>
    <w:basedOn w:val="Tablanormal"/>
    <w:next w:val="Tabladelista3-nfasis4"/>
    <w:uiPriority w:val="48"/>
    <w:rsid w:val="00495FE3"/>
    <w:rPr>
      <w:rFonts w:ascii="Calibri" w:eastAsia="Calibri" w:hAnsi="Calibri"/>
      <w:sz w:val="22"/>
      <w:szCs w:val="22"/>
      <w:lang w:val="es-CR" w:eastAsia="en-US"/>
    </w:rPr>
    <w:tblPr>
      <w:tblStyleRowBandSize w:val="1"/>
      <w:tblStyleColBandSize w:val="1"/>
      <w:tblBorders>
        <w:top w:val="single" w:sz="4" w:space="0" w:color="8064A2"/>
        <w:left w:val="single" w:sz="4" w:space="0" w:color="8064A2"/>
        <w:bottom w:val="single" w:sz="4" w:space="0" w:color="8064A2"/>
        <w:right w:val="single" w:sz="4" w:space="0" w:color="8064A2"/>
      </w:tblBorders>
    </w:tblPr>
    <w:tblStylePr w:type="firstRow">
      <w:rPr>
        <w:b/>
        <w:bCs/>
        <w:color w:val="FFFFFF"/>
      </w:rPr>
      <w:tblPr/>
      <w:tcPr>
        <w:shd w:val="clear" w:color="auto" w:fill="8064A2"/>
      </w:tcPr>
    </w:tblStylePr>
    <w:tblStylePr w:type="lastRow">
      <w:rPr>
        <w:b/>
        <w:bCs/>
      </w:rPr>
      <w:tblPr/>
      <w:tcPr>
        <w:tcBorders>
          <w:top w:val="double" w:sz="4" w:space="0" w:color="8064A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table" w:customStyle="1" w:styleId="Tabladelista3-nfasis111">
    <w:name w:val="Tabla de lista 3 - Énfasis 111"/>
    <w:basedOn w:val="Tablanormal"/>
    <w:next w:val="Tabladelista3-nfasis1"/>
    <w:uiPriority w:val="48"/>
    <w:rsid w:val="00495FE3"/>
    <w:pPr>
      <w:widowControl w:val="0"/>
      <w:autoSpaceDE w:val="0"/>
      <w:autoSpaceDN w:val="0"/>
    </w:pPr>
    <w:rPr>
      <w:rFonts w:ascii="Calibri" w:eastAsia="Calibri" w:hAnsi="Calibri"/>
      <w:sz w:val="22"/>
      <w:szCs w:val="22"/>
      <w:lang w:val="en-US"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Tabladelista3-nfasis311">
    <w:name w:val="Tabla de lista 3 - Énfasis 311"/>
    <w:basedOn w:val="Tablanormal"/>
    <w:next w:val="Tabladelista3-nfasis3"/>
    <w:uiPriority w:val="48"/>
    <w:rsid w:val="00495FE3"/>
    <w:pPr>
      <w:widowControl w:val="0"/>
      <w:autoSpaceDE w:val="0"/>
      <w:autoSpaceDN w:val="0"/>
    </w:pPr>
    <w:rPr>
      <w:rFonts w:ascii="Calibri" w:eastAsia="Calibri" w:hAnsi="Calibri"/>
      <w:sz w:val="22"/>
      <w:szCs w:val="22"/>
      <w:lang w:val="en-US" w:eastAsia="en-US"/>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customStyle="1" w:styleId="Tablaconcuadrcula7">
    <w:name w:val="Tabla con cuadrícula7"/>
    <w:basedOn w:val="Tablanormal"/>
    <w:next w:val="Tablaconcuadrcula"/>
    <w:uiPriority w:val="59"/>
    <w:rsid w:val="00495FE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sid w:val="00495FE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uiPriority w:val="39"/>
    <w:rsid w:val="00495FE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3-nfasis431">
    <w:name w:val="Tabla de lista 3 - Énfasis 431"/>
    <w:basedOn w:val="Tablanormal"/>
    <w:next w:val="Tabladelista3-nfasis4"/>
    <w:uiPriority w:val="48"/>
    <w:rsid w:val="00495FE3"/>
    <w:rPr>
      <w:rFonts w:ascii="Calibri" w:eastAsia="Calibri" w:hAnsi="Calibri"/>
      <w:sz w:val="22"/>
      <w:szCs w:val="22"/>
      <w:lang w:val="es-CR"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ladelista3-nfasis131">
    <w:name w:val="Tabla de lista 3 - Énfasis 131"/>
    <w:basedOn w:val="Tablanormal"/>
    <w:next w:val="Tabladelista3-nfasis1"/>
    <w:uiPriority w:val="48"/>
    <w:rsid w:val="00495FE3"/>
    <w:rPr>
      <w:rFonts w:ascii="Calibri" w:eastAsia="Calibri" w:hAnsi="Calibri"/>
      <w:sz w:val="22"/>
      <w:szCs w:val="22"/>
      <w:lang w:val="es-CR"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Tabladelista3-nfasis331">
    <w:name w:val="Tabla de lista 3 - Énfasis 331"/>
    <w:basedOn w:val="Tablanormal"/>
    <w:next w:val="Tabladelista3-nfasis3"/>
    <w:uiPriority w:val="48"/>
    <w:rsid w:val="00495FE3"/>
    <w:rPr>
      <w:rFonts w:ascii="Calibri" w:eastAsia="Calibri" w:hAnsi="Calibri"/>
      <w:sz w:val="22"/>
      <w:szCs w:val="22"/>
      <w:lang w:val="es-CR"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laconcuadrcula21">
    <w:name w:val="Tabla con cuadrícula21"/>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39"/>
    <w:rsid w:val="00495FE3"/>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3">
    <w:name w:val="Tabla normal 13"/>
    <w:basedOn w:val="Tablanormal"/>
    <w:next w:val="Tablanormal1"/>
    <w:uiPriority w:val="41"/>
    <w:rsid w:val="00495FE3"/>
    <w:rPr>
      <w:rFonts w:ascii="Calibri" w:eastAsia="Calibri" w:hAnsi="Calibri"/>
      <w:sz w:val="22"/>
      <w:szCs w:val="22"/>
      <w:lang w:val="es-CR"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21">
    <w:name w:val="Tabla con cuadrícula121"/>
    <w:basedOn w:val="Tablanormal"/>
    <w:next w:val="Tablaconcuadrcula"/>
    <w:uiPriority w:val="59"/>
    <w:rsid w:val="00495FE3"/>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
    <w:name w:val="Sin lista21"/>
    <w:next w:val="Sinlista"/>
    <w:uiPriority w:val="99"/>
    <w:semiHidden/>
    <w:unhideWhenUsed/>
    <w:rsid w:val="00495FE3"/>
  </w:style>
  <w:style w:type="table" w:customStyle="1" w:styleId="Tablaconcuadrcula51">
    <w:name w:val="Tabla con cuadrícula51"/>
    <w:basedOn w:val="Tablanormal"/>
    <w:next w:val="Tablaconcuadrcula"/>
    <w:rsid w:val="00495FE3"/>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39"/>
    <w:rsid w:val="00495FE3"/>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rsid w:val="00495FE3"/>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rsid w:val="00495FE3"/>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pervnculo1">
    <w:name w:val="Hipervínculo1"/>
    <w:basedOn w:val="Fuentedeprrafopredeter"/>
    <w:uiPriority w:val="99"/>
    <w:unhideWhenUsed/>
    <w:rsid w:val="00495FE3"/>
    <w:rPr>
      <w:color w:val="0563C1"/>
      <w:u w:val="single"/>
    </w:rPr>
  </w:style>
  <w:style w:type="character" w:styleId="Mencinsinresolver">
    <w:name w:val="Unresolved Mention"/>
    <w:basedOn w:val="Fuentedeprrafopredeter"/>
    <w:uiPriority w:val="99"/>
    <w:rsid w:val="00495FE3"/>
    <w:rPr>
      <w:color w:val="605E5C"/>
      <w:shd w:val="clear" w:color="auto" w:fill="E1DFDD"/>
    </w:rPr>
  </w:style>
  <w:style w:type="table" w:customStyle="1" w:styleId="Tabladelista4-nfasis31">
    <w:name w:val="Tabla de lista 4 - Énfasis 31"/>
    <w:basedOn w:val="Tablanormal"/>
    <w:next w:val="Tabladelista4-nfasis3"/>
    <w:uiPriority w:val="49"/>
    <w:rsid w:val="00495FE3"/>
    <w:rPr>
      <w:rFonts w:ascii="Calibri" w:eastAsia="Calibri" w:hAnsi="Calibri"/>
      <w:sz w:val="24"/>
      <w:szCs w:val="24"/>
      <w:lang w:val="es-ES_tradnl"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4-nfasis11">
    <w:name w:val="Tabla de lista 4 - Énfasis 11"/>
    <w:basedOn w:val="Tablanormal"/>
    <w:next w:val="Tabladelista4-nfasis1"/>
    <w:uiPriority w:val="49"/>
    <w:rsid w:val="00495FE3"/>
    <w:rPr>
      <w:rFonts w:ascii="Calibri" w:eastAsia="Calibri" w:hAnsi="Calibri"/>
      <w:sz w:val="24"/>
      <w:szCs w:val="24"/>
      <w:lang w:val="es-ES_tradnl"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lista4-nfasis51">
    <w:name w:val="Tabla de lista 4 - Énfasis 51"/>
    <w:basedOn w:val="Tablanormal"/>
    <w:next w:val="Tabladelista4-nfasis5"/>
    <w:uiPriority w:val="49"/>
    <w:rsid w:val="00495FE3"/>
    <w:rPr>
      <w:rFonts w:ascii="Calibri" w:eastAsia="Calibri" w:hAnsi="Calibri"/>
      <w:sz w:val="24"/>
      <w:szCs w:val="24"/>
      <w:lang w:val="es-ES_tradnl"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Hipervnculovisitado1">
    <w:name w:val="Hipervínculo visitado1"/>
    <w:basedOn w:val="Fuentedeprrafopredeter"/>
    <w:unhideWhenUsed/>
    <w:rsid w:val="00495FE3"/>
    <w:rPr>
      <w:color w:val="954F72"/>
      <w:u w:val="single"/>
    </w:rPr>
  </w:style>
  <w:style w:type="table" w:customStyle="1" w:styleId="Tabladelista4-nfasis32">
    <w:name w:val="Tabla de lista 4 - Énfasis 32"/>
    <w:basedOn w:val="Tablanormal"/>
    <w:next w:val="Tabladelista4-nfasis3"/>
    <w:uiPriority w:val="49"/>
    <w:rsid w:val="00495FE3"/>
    <w:rPr>
      <w:rFonts w:ascii="Calibri" w:eastAsia="Calibri" w:hAnsi="Calibri"/>
      <w:sz w:val="22"/>
      <w:szCs w:val="22"/>
      <w:lang w:val="es-CR"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4-nfasis12">
    <w:name w:val="Tabla de lista 4 - Énfasis 12"/>
    <w:basedOn w:val="Tablanormal"/>
    <w:next w:val="Tabladelista4-nfasis1"/>
    <w:uiPriority w:val="49"/>
    <w:rsid w:val="00495FE3"/>
    <w:rPr>
      <w:rFonts w:ascii="Calibri" w:eastAsia="Calibri" w:hAnsi="Calibri"/>
      <w:sz w:val="22"/>
      <w:szCs w:val="22"/>
      <w:lang w:val="es-CR"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lista4-nfasis52">
    <w:name w:val="Tabla de lista 4 - Énfasis 52"/>
    <w:basedOn w:val="Tablanormal"/>
    <w:next w:val="Tabladelista4-nfasis5"/>
    <w:uiPriority w:val="49"/>
    <w:rsid w:val="00495FE3"/>
    <w:rPr>
      <w:rFonts w:ascii="Calibri" w:eastAsia="Calibri" w:hAnsi="Calibri"/>
      <w:sz w:val="22"/>
      <w:szCs w:val="22"/>
      <w:lang w:val="es-CR"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4-nfasis33">
    <w:name w:val="Tabla de lista 4 - Énfasis 33"/>
    <w:basedOn w:val="Tablanormal"/>
    <w:next w:val="Tabladelista4-nfasis3"/>
    <w:uiPriority w:val="49"/>
    <w:rsid w:val="00495FE3"/>
    <w:rPr>
      <w:lang w:val="es-CR" w:eastAsia="es-C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4-nfasis13">
    <w:name w:val="Tabla de lista 4 - Énfasis 13"/>
    <w:basedOn w:val="Tablanormal"/>
    <w:next w:val="Tabladelista4-nfasis1"/>
    <w:uiPriority w:val="49"/>
    <w:rsid w:val="00495FE3"/>
    <w:rPr>
      <w:lang w:val="es-CR" w:eastAsia="es-C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lista4-nfasis53">
    <w:name w:val="Tabla de lista 4 - Énfasis 53"/>
    <w:basedOn w:val="Tablanormal"/>
    <w:next w:val="Tabladelista4-nfasis5"/>
    <w:uiPriority w:val="49"/>
    <w:rsid w:val="00495FE3"/>
    <w:rPr>
      <w:lang w:val="es-CR" w:eastAsia="es-C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styleId="Revisin">
    <w:name w:val="Revision"/>
    <w:uiPriority w:val="99"/>
    <w:qFormat/>
    <w:rsid w:val="00495FE3"/>
    <w:rPr>
      <w:lang w:val="es-CR"/>
    </w:rPr>
  </w:style>
  <w:style w:type="table" w:customStyle="1" w:styleId="Tablaconcuadrcula15">
    <w:name w:val="Tabla con cuadrícula15"/>
    <w:basedOn w:val="Tablanormal"/>
    <w:next w:val="Tablaconcuadrcula"/>
    <w:uiPriority w:val="39"/>
    <w:rsid w:val="00495FE3"/>
    <w:rPr>
      <w:lang w:val="es-CR"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
    <w:name w:val="Tabla con cuadrícula33"/>
    <w:basedOn w:val="Tablanormal"/>
    <w:next w:val="Tablaconcuadrcula"/>
    <w:uiPriority w:val="59"/>
    <w:rsid w:val="00495FE3"/>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1">
    <w:name w:val="Título 1 Car1"/>
    <w:aliases w:val="Título Principal Car1,1. Texto Base Car1"/>
    <w:basedOn w:val="Fuentedeprrafopredeter"/>
    <w:uiPriority w:val="9"/>
    <w:rsid w:val="00495FE3"/>
    <w:rPr>
      <w:rFonts w:ascii="Calibri Light" w:eastAsia="Times New Roman" w:hAnsi="Calibri Light" w:cs="Times New Roman"/>
      <w:color w:val="2F5496"/>
      <w:sz w:val="32"/>
      <w:szCs w:val="32"/>
      <w:u w:color="000000"/>
      <w:lang w:val="es-ES" w:eastAsia="es-ES"/>
    </w:rPr>
  </w:style>
  <w:style w:type="character" w:customStyle="1" w:styleId="Ttulo2Car1">
    <w:name w:val="Título 2 Car1"/>
    <w:aliases w:val="3. Subtitulos Car1,Títulos de Hallazgo e Introducción Car1,CAPITULO 2 Car1,H21 Car1"/>
    <w:basedOn w:val="Fuentedeprrafopredeter"/>
    <w:uiPriority w:val="9"/>
    <w:semiHidden/>
    <w:rsid w:val="00495FE3"/>
    <w:rPr>
      <w:rFonts w:ascii="Calibri Light" w:eastAsia="Times New Roman" w:hAnsi="Calibri Light" w:cs="Times New Roman"/>
      <w:color w:val="2F5496"/>
      <w:sz w:val="26"/>
      <w:szCs w:val="26"/>
      <w:u w:color="000000"/>
      <w:lang w:val="es-ES" w:eastAsia="es-ES"/>
    </w:rPr>
  </w:style>
  <w:style w:type="character" w:customStyle="1" w:styleId="Ttulo4Car1">
    <w:name w:val="Título 4 Car1"/>
    <w:aliases w:val="2. Titulo I-II-III ect. Car1,h4 Car1,Título 4.2 Car1,H41 Car1"/>
    <w:basedOn w:val="Fuentedeprrafopredeter"/>
    <w:uiPriority w:val="9"/>
    <w:semiHidden/>
    <w:rsid w:val="00495FE3"/>
    <w:rPr>
      <w:rFonts w:ascii="Calibri Light" w:eastAsia="Times New Roman" w:hAnsi="Calibri Light" w:cs="Times New Roman"/>
      <w:i/>
      <w:iCs/>
      <w:color w:val="2F5496"/>
      <w:sz w:val="24"/>
      <w:szCs w:val="24"/>
      <w:u w:color="000000"/>
      <w:lang w:val="es-ES" w:eastAsia="es-ES"/>
    </w:rPr>
  </w:style>
  <w:style w:type="character" w:customStyle="1" w:styleId="Ttulo5Car1">
    <w:name w:val="Título 5 Car1"/>
    <w:aliases w:val="4.Cuadros Car1"/>
    <w:basedOn w:val="Fuentedeprrafopredeter"/>
    <w:uiPriority w:val="9"/>
    <w:semiHidden/>
    <w:rsid w:val="00495FE3"/>
    <w:rPr>
      <w:rFonts w:ascii="Calibri Light" w:eastAsia="Times New Roman" w:hAnsi="Calibri Light" w:cs="Times New Roman"/>
      <w:color w:val="2F5496"/>
      <w:sz w:val="24"/>
      <w:szCs w:val="24"/>
      <w:u w:color="000000"/>
      <w:lang w:val="es-ES" w:eastAsia="es-ES"/>
    </w:rPr>
  </w:style>
  <w:style w:type="character" w:customStyle="1" w:styleId="Ttulo6Car1">
    <w:name w:val="Título 6 Car1"/>
    <w:aliases w:val="5.Fuente Car1"/>
    <w:basedOn w:val="Fuentedeprrafopredeter"/>
    <w:uiPriority w:val="9"/>
    <w:semiHidden/>
    <w:rsid w:val="00495FE3"/>
    <w:rPr>
      <w:rFonts w:ascii="Calibri Light" w:eastAsia="Times New Roman" w:hAnsi="Calibri Light" w:cs="Times New Roman"/>
      <w:color w:val="1F3763"/>
      <w:sz w:val="24"/>
      <w:szCs w:val="24"/>
      <w:u w:color="000000"/>
      <w:lang w:val="es-ES" w:eastAsia="es-ES"/>
    </w:rPr>
  </w:style>
  <w:style w:type="character" w:customStyle="1" w:styleId="EncabezadoCar2">
    <w:name w:val="Encabezado Car2"/>
    <w:aliases w:val="encabezado Car2,h Car2"/>
    <w:basedOn w:val="Fuentedeprrafopredeter"/>
    <w:semiHidden/>
    <w:rsid w:val="00495FE3"/>
    <w:rPr>
      <w:rFonts w:ascii="Arial" w:hAnsi="Arial" w:cs="Arial"/>
      <w:sz w:val="24"/>
      <w:szCs w:val="24"/>
      <w:u w:color="000000"/>
      <w:lang w:val="es-ES" w:eastAsia="es-ES"/>
    </w:rPr>
  </w:style>
  <w:style w:type="paragraph" w:styleId="Tabladeilustraciones">
    <w:name w:val="table of figures"/>
    <w:basedOn w:val="Normal"/>
    <w:next w:val="Normal"/>
    <w:uiPriority w:val="99"/>
    <w:unhideWhenUsed/>
    <w:qFormat/>
    <w:rsid w:val="00495FE3"/>
    <w:pPr>
      <w:suppressAutoHyphens w:val="0"/>
      <w:autoSpaceDN w:val="0"/>
      <w:ind w:left="480" w:hanging="480"/>
    </w:pPr>
    <w:rPr>
      <w:rFonts w:ascii="Calibri" w:hAnsi="Calibri"/>
      <w:caps/>
      <w:sz w:val="20"/>
      <w:szCs w:val="20"/>
      <w:u w:color="000000"/>
      <w:lang w:eastAsia="es-ES"/>
    </w:rPr>
  </w:style>
  <w:style w:type="paragraph" w:styleId="Citadestacada">
    <w:name w:val="Intense Quote"/>
    <w:basedOn w:val="Normal"/>
    <w:next w:val="Normal"/>
    <w:link w:val="CitadestacadaCar"/>
    <w:uiPriority w:val="30"/>
    <w:qFormat/>
    <w:rsid w:val="00495FE3"/>
    <w:pPr>
      <w:pBdr>
        <w:top w:val="single" w:sz="4" w:space="10" w:color="4F81BD"/>
        <w:bottom w:val="single" w:sz="4" w:space="10" w:color="4F81BD"/>
      </w:pBdr>
      <w:suppressAutoHyphens w:val="0"/>
      <w:autoSpaceDN w:val="0"/>
      <w:spacing w:before="360" w:after="360"/>
      <w:ind w:left="864" w:right="864"/>
      <w:jc w:val="center"/>
    </w:pPr>
    <w:rPr>
      <w:i/>
      <w:iCs/>
      <w:color w:val="4F81BD"/>
      <w:sz w:val="20"/>
      <w:szCs w:val="20"/>
      <w:u w:color="000000"/>
      <w:lang w:val="es-CR" w:eastAsia="es-ES"/>
    </w:rPr>
  </w:style>
  <w:style w:type="character" w:customStyle="1" w:styleId="CitadestacadaCar">
    <w:name w:val="Cita destacada Car"/>
    <w:basedOn w:val="Fuentedeprrafopredeter"/>
    <w:link w:val="Citadestacada"/>
    <w:uiPriority w:val="30"/>
    <w:rsid w:val="00495FE3"/>
    <w:rPr>
      <w:i/>
      <w:iCs/>
      <w:color w:val="4F81BD"/>
      <w:u w:color="000000"/>
      <w:lang w:val="es-CR"/>
    </w:rPr>
  </w:style>
  <w:style w:type="paragraph" w:customStyle="1" w:styleId="Direccininterior">
    <w:name w:val="Dirección interior"/>
    <w:basedOn w:val="Normal"/>
    <w:uiPriority w:val="99"/>
    <w:qFormat/>
    <w:rsid w:val="00495FE3"/>
    <w:pPr>
      <w:autoSpaceDN w:val="0"/>
      <w:spacing w:before="120" w:after="240"/>
      <w:jc w:val="both"/>
    </w:pPr>
    <w:rPr>
      <w:rFonts w:ascii="Book Antiqua" w:hAnsi="Book Antiqua" w:cs="Book Antiqua"/>
      <w:u w:color="000000"/>
      <w:lang w:val="es-CR" w:eastAsia="zh-CN"/>
    </w:rPr>
  </w:style>
  <w:style w:type="paragraph" w:customStyle="1" w:styleId="Ttulo0">
    <w:name w:val="T’tulo"/>
    <w:basedOn w:val="Normal"/>
    <w:uiPriority w:val="99"/>
    <w:qFormat/>
    <w:rsid w:val="00495FE3"/>
    <w:pPr>
      <w:suppressAutoHyphens w:val="0"/>
      <w:autoSpaceDN w:val="0"/>
      <w:jc w:val="center"/>
    </w:pPr>
    <w:rPr>
      <w:sz w:val="32"/>
      <w:szCs w:val="20"/>
      <w:u w:color="000000"/>
      <w:lang w:eastAsia="es-ES"/>
    </w:rPr>
  </w:style>
  <w:style w:type="character" w:customStyle="1" w:styleId="Cuerpodeltexto">
    <w:name w:val="Cuerpo del texto_"/>
    <w:link w:val="Cuerpodeltexto0"/>
    <w:locked/>
    <w:rsid w:val="00495FE3"/>
    <w:rPr>
      <w:rFonts w:ascii="Microsoft Sans Serif" w:hAnsi="Microsoft Sans Serif" w:cs="Microsoft Sans Serif"/>
      <w:sz w:val="17"/>
      <w:szCs w:val="17"/>
      <w:shd w:val="clear" w:color="auto" w:fill="FFFFFF"/>
    </w:rPr>
  </w:style>
  <w:style w:type="paragraph" w:customStyle="1" w:styleId="Cuerpodeltexto0">
    <w:name w:val="Cuerpo del texto"/>
    <w:basedOn w:val="Normal"/>
    <w:link w:val="Cuerpodeltexto"/>
    <w:qFormat/>
    <w:rsid w:val="00495FE3"/>
    <w:pPr>
      <w:widowControl w:val="0"/>
      <w:shd w:val="clear" w:color="auto" w:fill="FFFFFF"/>
      <w:suppressAutoHyphens w:val="0"/>
      <w:autoSpaceDN w:val="0"/>
      <w:spacing w:before="60" w:after="120" w:line="216" w:lineRule="exact"/>
      <w:ind w:hanging="860"/>
      <w:jc w:val="both"/>
    </w:pPr>
    <w:rPr>
      <w:rFonts w:ascii="Microsoft Sans Serif" w:hAnsi="Microsoft Sans Serif" w:cs="Microsoft Sans Serif"/>
      <w:sz w:val="17"/>
      <w:szCs w:val="17"/>
      <w:lang w:eastAsia="es-ES"/>
    </w:rPr>
  </w:style>
  <w:style w:type="character" w:customStyle="1" w:styleId="Cuerpodeltexto2">
    <w:name w:val="Cuerpo del texto (2)_"/>
    <w:link w:val="Cuerpodeltexto20"/>
    <w:locked/>
    <w:rsid w:val="00495FE3"/>
    <w:rPr>
      <w:rFonts w:ascii="Microsoft Sans Serif" w:hAnsi="Microsoft Sans Serif" w:cs="Microsoft Sans Serif"/>
      <w:sz w:val="19"/>
      <w:szCs w:val="19"/>
      <w:shd w:val="clear" w:color="auto" w:fill="FFFFFF"/>
    </w:rPr>
  </w:style>
  <w:style w:type="paragraph" w:customStyle="1" w:styleId="Cuerpodeltexto20">
    <w:name w:val="Cuerpo del texto (2)"/>
    <w:basedOn w:val="Normal"/>
    <w:link w:val="Cuerpodeltexto2"/>
    <w:qFormat/>
    <w:rsid w:val="00495FE3"/>
    <w:pPr>
      <w:widowControl w:val="0"/>
      <w:shd w:val="clear" w:color="auto" w:fill="FFFFFF"/>
      <w:suppressAutoHyphens w:val="0"/>
      <w:autoSpaceDN w:val="0"/>
      <w:spacing w:before="480" w:after="120" w:line="240" w:lineRule="atLeast"/>
      <w:ind w:hanging="860"/>
      <w:jc w:val="both"/>
    </w:pPr>
    <w:rPr>
      <w:rFonts w:ascii="Microsoft Sans Serif" w:hAnsi="Microsoft Sans Serif" w:cs="Microsoft Sans Serif"/>
      <w:sz w:val="19"/>
      <w:szCs w:val="19"/>
      <w:lang w:eastAsia="es-ES"/>
    </w:rPr>
  </w:style>
  <w:style w:type="paragraph" w:customStyle="1" w:styleId="mce">
    <w:name w:val="mce"/>
    <w:basedOn w:val="Normal"/>
    <w:qFormat/>
    <w:rsid w:val="00495FE3"/>
    <w:pPr>
      <w:suppressAutoHyphens w:val="0"/>
      <w:autoSpaceDN w:val="0"/>
      <w:spacing w:before="100" w:beforeAutospacing="1" w:after="100" w:afterAutospacing="1"/>
    </w:pPr>
    <w:rPr>
      <w:u w:color="000000"/>
      <w:lang w:val="es-CR" w:eastAsia="es-CR"/>
    </w:rPr>
  </w:style>
  <w:style w:type="paragraph" w:customStyle="1" w:styleId="e-mail">
    <w:name w:val="e-mail"/>
    <w:basedOn w:val="Normal"/>
    <w:qFormat/>
    <w:rsid w:val="00495FE3"/>
    <w:pPr>
      <w:suppressAutoHyphens w:val="0"/>
      <w:autoSpaceDN w:val="0"/>
      <w:spacing w:before="100" w:beforeAutospacing="1" w:after="100" w:afterAutospacing="1"/>
    </w:pPr>
    <w:rPr>
      <w:u w:color="000000"/>
      <w:lang w:val="es-CR" w:eastAsia="es-CR"/>
    </w:rPr>
  </w:style>
  <w:style w:type="paragraph" w:customStyle="1" w:styleId="sub-area">
    <w:name w:val="sub-area"/>
    <w:basedOn w:val="Normal"/>
    <w:qFormat/>
    <w:rsid w:val="00495FE3"/>
    <w:pPr>
      <w:suppressAutoHyphens w:val="0"/>
      <w:autoSpaceDN w:val="0"/>
      <w:spacing w:before="100" w:beforeAutospacing="1" w:after="100" w:afterAutospacing="1"/>
    </w:pPr>
    <w:rPr>
      <w:u w:color="000000"/>
      <w:lang w:val="es-CR" w:eastAsia="es-CR"/>
    </w:rPr>
  </w:style>
  <w:style w:type="paragraph" w:customStyle="1" w:styleId="summary">
    <w:name w:val="summary"/>
    <w:basedOn w:val="Normal"/>
    <w:qFormat/>
    <w:rsid w:val="00495FE3"/>
    <w:pPr>
      <w:suppressAutoHyphens w:val="0"/>
      <w:autoSpaceDN w:val="0"/>
      <w:spacing w:before="100" w:beforeAutospacing="1" w:after="100" w:afterAutospacing="1"/>
    </w:pPr>
    <w:rPr>
      <w:u w:color="000000"/>
      <w:lang w:val="es-CR" w:eastAsia="es-CR"/>
    </w:rPr>
  </w:style>
  <w:style w:type="paragraph" w:customStyle="1" w:styleId="WW-Cuerpodetexto">
    <w:name w:val="WW-Cuerpo de texto"/>
    <w:basedOn w:val="Normal"/>
    <w:uiPriority w:val="99"/>
    <w:qFormat/>
    <w:rsid w:val="00495FE3"/>
    <w:pPr>
      <w:tabs>
        <w:tab w:val="left" w:pos="708"/>
      </w:tabs>
      <w:autoSpaceDN w:val="0"/>
      <w:spacing w:after="120" w:line="100" w:lineRule="atLeast"/>
    </w:pPr>
    <w:rPr>
      <w:u w:color="000000"/>
      <w:lang w:val="es-CR" w:eastAsia="hi-IN" w:bidi="hi-IN"/>
    </w:rPr>
  </w:style>
  <w:style w:type="paragraph" w:customStyle="1" w:styleId="Ttulo21">
    <w:name w:val="Título 21"/>
    <w:next w:val="Normal"/>
    <w:uiPriority w:val="9"/>
    <w:qFormat/>
    <w:rsid w:val="00495FE3"/>
    <w:pPr>
      <w:keepNext/>
      <w:widowControl w:val="0"/>
      <w:suppressAutoHyphens/>
      <w:autoSpaceDE w:val="0"/>
      <w:spacing w:before="240" w:after="60"/>
      <w:jc w:val="center"/>
    </w:pPr>
    <w:rPr>
      <w:rFonts w:ascii="Book Antiqua" w:eastAsia="Book Antiqua" w:hAnsi="Book Antiqua" w:cs="Book Antiqua"/>
      <w:b/>
      <w:bCs/>
      <w:i/>
      <w:iCs/>
      <w:sz w:val="28"/>
      <w:szCs w:val="28"/>
      <w:u w:val="double" w:color="000000"/>
      <w:lang w:val="es-CR" w:eastAsia="zh-CN"/>
    </w:rPr>
  </w:style>
  <w:style w:type="paragraph" w:customStyle="1" w:styleId="Car10">
    <w:name w:val="Car1"/>
    <w:basedOn w:val="Normal"/>
    <w:uiPriority w:val="99"/>
    <w:qFormat/>
    <w:rsid w:val="00495FE3"/>
    <w:pPr>
      <w:suppressAutoHyphens w:val="0"/>
      <w:autoSpaceDN w:val="0"/>
      <w:spacing w:after="160" w:line="240" w:lineRule="exact"/>
    </w:pPr>
    <w:rPr>
      <w:rFonts w:ascii="Verdana" w:hAnsi="Verdana" w:cs="Verdana"/>
      <w:sz w:val="20"/>
      <w:szCs w:val="20"/>
      <w:u w:color="000000"/>
      <w:lang w:val="en-AU" w:eastAsia="en-US"/>
    </w:rPr>
  </w:style>
  <w:style w:type="paragraph" w:customStyle="1" w:styleId="Epgrafe1">
    <w:name w:val="Epígrafe1"/>
    <w:basedOn w:val="Normal"/>
    <w:next w:val="Normal"/>
    <w:qFormat/>
    <w:rsid w:val="00495FE3"/>
    <w:pPr>
      <w:numPr>
        <w:ilvl w:val="12"/>
      </w:numPr>
      <w:suppressAutoHyphens w:val="0"/>
      <w:autoSpaceDN w:val="0"/>
      <w:spacing w:line="276" w:lineRule="auto"/>
      <w:jc w:val="center"/>
    </w:pPr>
    <w:rPr>
      <w:rFonts w:ascii="Arial" w:hAnsi="Arial"/>
      <w:b/>
      <w:bCs/>
      <w:color w:val="1F497D"/>
      <w:sz w:val="22"/>
      <w:u w:color="000000"/>
      <w:lang w:eastAsia="es-ES"/>
    </w:rPr>
  </w:style>
  <w:style w:type="character" w:customStyle="1" w:styleId="ElacuerdoCar">
    <w:name w:val="El acuerdo Car"/>
    <w:link w:val="Elacuerdo"/>
    <w:qFormat/>
    <w:locked/>
    <w:rsid w:val="00495FE3"/>
  </w:style>
  <w:style w:type="paragraph" w:customStyle="1" w:styleId="Elacuerdo">
    <w:name w:val="El acuerdo"/>
    <w:basedOn w:val="Normal"/>
    <w:link w:val="ElacuerdoCar"/>
    <w:qFormat/>
    <w:rsid w:val="00495FE3"/>
    <w:pPr>
      <w:suppressAutoHyphens w:val="0"/>
      <w:autoSpaceDE w:val="0"/>
      <w:autoSpaceDN w:val="0"/>
      <w:spacing w:before="120" w:after="120" w:line="480" w:lineRule="auto"/>
      <w:ind w:firstLine="708"/>
      <w:jc w:val="both"/>
    </w:pPr>
    <w:rPr>
      <w:sz w:val="20"/>
      <w:szCs w:val="20"/>
      <w:lang w:eastAsia="es-ES"/>
    </w:rPr>
  </w:style>
  <w:style w:type="character" w:customStyle="1" w:styleId="AcueryAnteCar">
    <w:name w:val="Acuer y Ante Car"/>
    <w:link w:val="AcueryAnte"/>
    <w:qFormat/>
    <w:locked/>
    <w:rsid w:val="00495FE3"/>
    <w:rPr>
      <w:rFonts w:ascii="Batang" w:eastAsia="Batang" w:hAnsi="Batang"/>
      <w:color w:val="000099"/>
    </w:rPr>
  </w:style>
  <w:style w:type="paragraph" w:customStyle="1" w:styleId="AcueryAnte">
    <w:name w:val="Acuer y Ante"/>
    <w:basedOn w:val="Normal"/>
    <w:link w:val="AcueryAnteCar"/>
    <w:qFormat/>
    <w:rsid w:val="00495FE3"/>
    <w:pPr>
      <w:suppressAutoHyphens w:val="0"/>
      <w:autoSpaceDN w:val="0"/>
      <w:spacing w:line="480" w:lineRule="auto"/>
      <w:ind w:firstLine="708"/>
      <w:jc w:val="both"/>
    </w:pPr>
    <w:rPr>
      <w:rFonts w:ascii="Batang" w:eastAsia="Batang" w:hAnsi="Batang"/>
      <w:color w:val="000099"/>
      <w:sz w:val="20"/>
      <w:szCs w:val="20"/>
      <w:lang w:eastAsia="es-ES"/>
    </w:rPr>
  </w:style>
  <w:style w:type="paragraph" w:customStyle="1" w:styleId="SingleTxtG">
    <w:name w:val="_ Single Txt_G"/>
    <w:basedOn w:val="Normal"/>
    <w:qFormat/>
    <w:rsid w:val="00495FE3"/>
    <w:pPr>
      <w:suppressAutoHyphens w:val="0"/>
      <w:autoSpaceDN w:val="0"/>
      <w:spacing w:after="120" w:line="240" w:lineRule="atLeast"/>
      <w:ind w:left="1134" w:right="1134"/>
      <w:jc w:val="both"/>
    </w:pPr>
    <w:rPr>
      <w:rFonts w:eastAsia="Calibri"/>
      <w:sz w:val="20"/>
      <w:szCs w:val="20"/>
      <w:u w:color="000000"/>
      <w:lang w:val="es-CR" w:eastAsia="es-CR"/>
    </w:rPr>
  </w:style>
  <w:style w:type="character" w:customStyle="1" w:styleId="AgestinCar">
    <w:name w:val="A gestión Car"/>
    <w:link w:val="Agestin"/>
    <w:qFormat/>
    <w:locked/>
    <w:rsid w:val="00495FE3"/>
    <w:rPr>
      <w:color w:val="000099"/>
    </w:rPr>
  </w:style>
  <w:style w:type="paragraph" w:customStyle="1" w:styleId="Agestin">
    <w:name w:val="A gestión"/>
    <w:basedOn w:val="Normal"/>
    <w:link w:val="AgestinCar"/>
    <w:qFormat/>
    <w:rsid w:val="00495FE3"/>
    <w:pPr>
      <w:suppressAutoHyphens w:val="0"/>
      <w:autoSpaceDN w:val="0"/>
      <w:spacing w:before="120" w:after="120"/>
      <w:ind w:left="851" w:right="851" w:firstLine="567"/>
      <w:jc w:val="both"/>
    </w:pPr>
    <w:rPr>
      <w:color w:val="000099"/>
      <w:sz w:val="20"/>
      <w:szCs w:val="20"/>
      <w:lang w:eastAsia="es-ES"/>
    </w:rPr>
  </w:style>
  <w:style w:type="paragraph" w:customStyle="1" w:styleId="xxmsonormal">
    <w:name w:val="x_x_msonormal"/>
    <w:basedOn w:val="Normal"/>
    <w:uiPriority w:val="99"/>
    <w:qFormat/>
    <w:rsid w:val="00495FE3"/>
    <w:pPr>
      <w:suppressAutoHyphens w:val="0"/>
      <w:autoSpaceDN w:val="0"/>
    </w:pPr>
    <w:rPr>
      <w:rFonts w:eastAsia="Calibri"/>
      <w:u w:color="000000"/>
      <w:lang w:val="es-CR" w:eastAsia="es-CR"/>
    </w:rPr>
  </w:style>
  <w:style w:type="paragraph" w:customStyle="1" w:styleId="xxxmsonormal">
    <w:name w:val="x_x_x_msonormal"/>
    <w:basedOn w:val="Normal"/>
    <w:qFormat/>
    <w:rsid w:val="00495FE3"/>
    <w:pPr>
      <w:suppressAutoHyphens w:val="0"/>
      <w:autoSpaceDN w:val="0"/>
      <w:spacing w:before="100" w:beforeAutospacing="1" w:after="100" w:afterAutospacing="1"/>
    </w:pPr>
    <w:rPr>
      <w:rFonts w:ascii="Calibri" w:eastAsia="Calibri" w:hAnsi="Calibri" w:cs="Calibri"/>
      <w:sz w:val="22"/>
      <w:szCs w:val="22"/>
      <w:u w:color="000000"/>
      <w:lang w:val="es-CR" w:eastAsia="es-CR"/>
    </w:rPr>
  </w:style>
  <w:style w:type="paragraph" w:customStyle="1" w:styleId="xxxprrafodelista3">
    <w:name w:val="x_x_x_prrafodelista3"/>
    <w:basedOn w:val="Normal"/>
    <w:qFormat/>
    <w:rsid w:val="00495FE3"/>
    <w:pPr>
      <w:suppressAutoHyphens w:val="0"/>
      <w:autoSpaceDN w:val="0"/>
    </w:pPr>
    <w:rPr>
      <w:rFonts w:ascii="Calibri" w:eastAsia="Calibri" w:hAnsi="Calibri" w:cs="Calibri"/>
      <w:sz w:val="22"/>
      <w:szCs w:val="22"/>
      <w:u w:color="000000"/>
      <w:lang w:val="es-CR" w:eastAsia="es-CR"/>
    </w:rPr>
  </w:style>
  <w:style w:type="character" w:customStyle="1" w:styleId="TablasCar">
    <w:name w:val="Tablas Car"/>
    <w:link w:val="Tablas"/>
    <w:locked/>
    <w:rsid w:val="00495FE3"/>
    <w:rPr>
      <w:rFonts w:ascii="Book Antiqua" w:hAnsi="Book Antiqua"/>
      <w:b/>
      <w:i/>
      <w:iCs/>
    </w:rPr>
  </w:style>
  <w:style w:type="paragraph" w:customStyle="1" w:styleId="Tablas">
    <w:name w:val="Tablas"/>
    <w:basedOn w:val="Tabladeilustraciones"/>
    <w:link w:val="TablasCar"/>
    <w:qFormat/>
    <w:rsid w:val="00495FE3"/>
    <w:pPr>
      <w:spacing w:line="360" w:lineRule="auto"/>
      <w:ind w:left="0" w:firstLine="0"/>
      <w:jc w:val="center"/>
    </w:pPr>
    <w:rPr>
      <w:rFonts w:ascii="Book Antiqua" w:hAnsi="Book Antiqua"/>
      <w:b/>
      <w:i/>
      <w:iCs/>
      <w:caps w:val="0"/>
    </w:rPr>
  </w:style>
  <w:style w:type="character" w:styleId="Referenciaintensa">
    <w:name w:val="Intense Reference"/>
    <w:uiPriority w:val="32"/>
    <w:qFormat/>
    <w:rsid w:val="00495FE3"/>
    <w:rPr>
      <w:rFonts w:ascii="Calibri" w:hAnsi="Calibri" w:cs="Calibri" w:hint="default"/>
      <w:sz w:val="18"/>
      <w:szCs w:val="22"/>
      <w:lang w:val="es-CR" w:eastAsia="es-CR"/>
    </w:rPr>
  </w:style>
  <w:style w:type="character" w:styleId="Ttulodellibro">
    <w:name w:val="Book Title"/>
    <w:uiPriority w:val="33"/>
    <w:qFormat/>
    <w:rsid w:val="00495FE3"/>
    <w:rPr>
      <w:b/>
      <w:bCs/>
      <w:smallCaps/>
      <w:spacing w:val="5"/>
    </w:rPr>
  </w:style>
  <w:style w:type="character" w:customStyle="1" w:styleId="CarCar22">
    <w:name w:val="Car Car22"/>
    <w:rsid w:val="00495FE3"/>
    <w:rPr>
      <w:rFonts w:ascii="Arial" w:hAnsi="Arial" w:cs="Arial" w:hint="default"/>
      <w:b/>
      <w:bCs/>
      <w:i/>
      <w:iCs/>
      <w:sz w:val="28"/>
      <w:szCs w:val="28"/>
    </w:rPr>
  </w:style>
  <w:style w:type="character" w:customStyle="1" w:styleId="ListParagraphChar1">
    <w:name w:val="List Paragraph Char1"/>
    <w:aliases w:val="3 Char"/>
    <w:locked/>
    <w:rsid w:val="00495FE3"/>
    <w:rPr>
      <w:rFonts w:ascii="Calibri" w:hAnsi="Calibri" w:cs="Calibri" w:hint="default"/>
      <w:sz w:val="22"/>
      <w:szCs w:val="22"/>
      <w:lang w:val="es-ES" w:eastAsia="en-US"/>
    </w:rPr>
  </w:style>
  <w:style w:type="character" w:customStyle="1" w:styleId="CuerpodeltextoArial">
    <w:name w:val="Cuerpo del texto + Arial"/>
    <w:aliases w:val="9,5 pto,Negrita"/>
    <w:rsid w:val="00495FE3"/>
    <w:rPr>
      <w:rFonts w:ascii="Arial" w:hAnsi="Arial" w:cs="Arial" w:hint="default"/>
      <w:b/>
      <w:bCs/>
      <w:sz w:val="19"/>
      <w:szCs w:val="19"/>
      <w:shd w:val="clear" w:color="auto" w:fill="FFFFFF"/>
    </w:rPr>
  </w:style>
  <w:style w:type="character" w:customStyle="1" w:styleId="CuerpodeltextoNegrita">
    <w:name w:val="Cuerpo del texto + Negrita"/>
    <w:rsid w:val="00495FE3"/>
    <w:rPr>
      <w:rFonts w:ascii="Microsoft Sans Serif" w:hAnsi="Microsoft Sans Serif" w:cs="Microsoft Sans Serif" w:hint="default"/>
      <w:b/>
      <w:bCs/>
      <w:strike w:val="0"/>
      <w:dstrike w:val="0"/>
      <w:sz w:val="17"/>
      <w:szCs w:val="17"/>
      <w:u w:val="none"/>
      <w:effect w:val="none"/>
      <w:shd w:val="clear" w:color="auto" w:fill="FFFFFF"/>
    </w:rPr>
  </w:style>
  <w:style w:type="character" w:customStyle="1" w:styleId="tgc">
    <w:name w:val="_tgc"/>
    <w:basedOn w:val="Fuentedeprrafopredeter"/>
    <w:rsid w:val="00495FE3"/>
  </w:style>
  <w:style w:type="character" w:customStyle="1" w:styleId="WW8Num13z0">
    <w:name w:val="WW8Num13z0"/>
    <w:qFormat/>
    <w:rsid w:val="00495FE3"/>
    <w:rPr>
      <w:rFonts w:ascii="Symbol" w:hAnsi="Symbol" w:hint="default"/>
    </w:rPr>
  </w:style>
  <w:style w:type="character" w:customStyle="1" w:styleId="CarCar11">
    <w:name w:val="Car Car1"/>
    <w:qFormat/>
    <w:locked/>
    <w:rsid w:val="00495FE3"/>
    <w:rPr>
      <w:rFonts w:ascii="Calibri" w:hAnsi="Calibri" w:cs="Calibri" w:hint="default"/>
      <w:lang w:val="es-CR" w:eastAsia="en-US"/>
    </w:rPr>
  </w:style>
  <w:style w:type="character" w:customStyle="1" w:styleId="WW8Num23z0">
    <w:name w:val="WW8Num23z0"/>
    <w:qFormat/>
    <w:rsid w:val="00495FE3"/>
  </w:style>
  <w:style w:type="character" w:customStyle="1" w:styleId="WW8Num25z0">
    <w:name w:val="WW8Num25z0"/>
    <w:qFormat/>
    <w:rsid w:val="00495FE3"/>
  </w:style>
  <w:style w:type="character" w:customStyle="1" w:styleId="hgkelc">
    <w:name w:val="hgkelc"/>
    <w:rsid w:val="00495FE3"/>
  </w:style>
  <w:style w:type="character" w:customStyle="1" w:styleId="Mencionar1">
    <w:name w:val="Mencionar1"/>
    <w:uiPriority w:val="99"/>
    <w:rsid w:val="00495FE3"/>
    <w:rPr>
      <w:color w:val="2B579A"/>
      <w:shd w:val="clear" w:color="auto" w:fill="E1DFDD"/>
    </w:rPr>
  </w:style>
  <w:style w:type="table" w:styleId="Tablamoderna">
    <w:name w:val="Table Contemporary"/>
    <w:basedOn w:val="Tablanormal"/>
    <w:unhideWhenUsed/>
    <w:rsid w:val="00495FE3"/>
    <w:rPr>
      <w:lang w:val="es-CR" w:eastAsia="es-CR"/>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elegante">
    <w:name w:val="Table Elegant"/>
    <w:basedOn w:val="Tablanormal"/>
    <w:unhideWhenUsed/>
    <w:rsid w:val="00495FE3"/>
    <w:rPr>
      <w:lang w:val="es-CR" w:eastAsia="es-CR"/>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aconcuadrcula23">
    <w:name w:val="Tabla con cuadrícula23"/>
    <w:basedOn w:val="Tablanormal"/>
    <w:next w:val="Tablaconcuadrcula"/>
    <w:uiPriority w:val="39"/>
    <w:rsid w:val="00495FE3"/>
    <w:rPr>
      <w:rFonts w:ascii="Arial" w:hAnsi="Arial" w:cs="Arial"/>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1">
    <w:name w:val="Tabla con cuadrícula 4 - Énfasis 11"/>
    <w:basedOn w:val="Tablanormal"/>
    <w:next w:val="Tablaconcuadrcula4-nfasis1"/>
    <w:uiPriority w:val="49"/>
    <w:rsid w:val="00495FE3"/>
    <w:rPr>
      <w:lang w:val="es-CR" w:eastAsia="es-CR"/>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5oscura-nfasis11">
    <w:name w:val="Tabla con cuadrícula 5 oscura - Énfasis 11"/>
    <w:basedOn w:val="Tablanormal"/>
    <w:next w:val="Tablaconcuadrcula5oscura-nfasis1"/>
    <w:uiPriority w:val="50"/>
    <w:rsid w:val="00495FE3"/>
    <w:rPr>
      <w:lang w:val="es-CR" w:eastAsia="es-CR"/>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5oscura-nfasis51">
    <w:name w:val="Tabla con cuadrícula 5 oscura - Énfasis 51"/>
    <w:basedOn w:val="Tablanormal"/>
    <w:next w:val="Tablaconcuadrcula5oscura-nfasis5"/>
    <w:uiPriority w:val="50"/>
    <w:rsid w:val="00495FE3"/>
    <w:rPr>
      <w:lang w:val="es-CR" w:eastAsia="es-CR"/>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lista3-nfasis14">
    <w:name w:val="Tabla de lista 3 - Énfasis 14"/>
    <w:basedOn w:val="Tablanormal"/>
    <w:next w:val="Tabladelista3-nfasis1"/>
    <w:uiPriority w:val="48"/>
    <w:rsid w:val="00495FE3"/>
    <w:rPr>
      <w:rFonts w:ascii="Calibri" w:eastAsia="Calibri" w:hAnsi="Calibri"/>
      <w:lang w:val="es-CR" w:eastAsia="es-CR"/>
    </w:r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concuadrcula211">
    <w:name w:val="Tabla con cuadrícula211"/>
    <w:basedOn w:val="Tablanormal"/>
    <w:rsid w:val="00495FE3"/>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2">
    <w:name w:val="Tabla con cuadrícula 4 - Énfasis 12"/>
    <w:basedOn w:val="Tablanormal"/>
    <w:next w:val="Tablaconcuadrcula4-nfasis1"/>
    <w:uiPriority w:val="49"/>
    <w:rsid w:val="00495FE3"/>
    <w:rPr>
      <w:lang w:val="es-CR" w:eastAsia="es-C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5oscura-nfasis12">
    <w:name w:val="Tabla con cuadrícula 5 oscura - Énfasis 12"/>
    <w:basedOn w:val="Tablanormal"/>
    <w:next w:val="Tablaconcuadrcula5oscura-nfasis1"/>
    <w:uiPriority w:val="50"/>
    <w:rsid w:val="00495FE3"/>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concuadrcula5oscura-nfasis52">
    <w:name w:val="Tabla con cuadrícula 5 oscura - Énfasis 52"/>
    <w:basedOn w:val="Tablanormal"/>
    <w:next w:val="Tablaconcuadrcula5oscura-nfasis5"/>
    <w:uiPriority w:val="50"/>
    <w:rsid w:val="00495FE3"/>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decuadrcula41">
    <w:name w:val="Tabla de cuadrícula 41"/>
    <w:basedOn w:val="Tablanormal"/>
    <w:next w:val="Tabladecuadrcula4"/>
    <w:uiPriority w:val="49"/>
    <w:rsid w:val="00495FE3"/>
    <w:rPr>
      <w:rFonts w:ascii="Calibri" w:eastAsia="Calibri" w:hAnsi="Calibri"/>
      <w:sz w:val="22"/>
      <w:szCs w:val="22"/>
      <w:lang w:eastAsia="en-U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AsuntodelcomentarioCar2">
    <w:name w:val="Asunto del comentario Car2"/>
    <w:basedOn w:val="TextocomentarioCar"/>
    <w:uiPriority w:val="99"/>
    <w:semiHidden/>
    <w:rsid w:val="00495FE3"/>
    <w:rPr>
      <w:rFonts w:ascii="Times New Roman" w:eastAsia="Times New Roman" w:hAnsi="Times New Roman" w:cs="Times New Roman"/>
      <w:b/>
      <w:bCs/>
      <w:sz w:val="20"/>
      <w:szCs w:val="20"/>
      <w:lang w:val="es-ES" w:eastAsia="ar-SA" w:bidi="ar-SA"/>
    </w:rPr>
  </w:style>
  <w:style w:type="table" w:styleId="Tablanormal1">
    <w:name w:val="Plain Table 1"/>
    <w:basedOn w:val="Tablanormal"/>
    <w:uiPriority w:val="41"/>
    <w:rsid w:val="00495FE3"/>
    <w:rPr>
      <w:rFonts w:asciiTheme="minorHAnsi" w:eastAsiaTheme="minorHAnsi" w:hAnsiTheme="minorHAnsi" w:cstheme="minorBidi"/>
      <w:sz w:val="22"/>
      <w:szCs w:val="22"/>
      <w:lang w:val="es-CR"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lista3-nfasis4">
    <w:name w:val="List Table 3 Accent 4"/>
    <w:basedOn w:val="Tablanormal"/>
    <w:uiPriority w:val="48"/>
    <w:rsid w:val="00495FE3"/>
    <w:rPr>
      <w:rFonts w:asciiTheme="minorHAnsi" w:eastAsiaTheme="minorHAnsi" w:hAnsiTheme="minorHAnsi" w:cstheme="minorBidi"/>
      <w:sz w:val="22"/>
      <w:szCs w:val="22"/>
      <w:lang w:val="es-CR" w:eastAsia="en-US"/>
    </w:r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styleId="Tabladelista3-nfasis1">
    <w:name w:val="List Table 3 Accent 1"/>
    <w:basedOn w:val="Tablanormal"/>
    <w:uiPriority w:val="48"/>
    <w:rsid w:val="00495FE3"/>
    <w:rPr>
      <w:rFonts w:asciiTheme="minorHAnsi" w:eastAsiaTheme="minorHAnsi" w:hAnsiTheme="minorHAnsi" w:cstheme="minorBidi"/>
      <w:sz w:val="22"/>
      <w:szCs w:val="22"/>
      <w:lang w:val="es-CR" w:eastAsia="en-US"/>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Tabladelista3-nfasis3">
    <w:name w:val="List Table 3 Accent 3"/>
    <w:basedOn w:val="Tablanormal"/>
    <w:uiPriority w:val="48"/>
    <w:rsid w:val="00495FE3"/>
    <w:rPr>
      <w:rFonts w:asciiTheme="minorHAnsi" w:eastAsiaTheme="minorHAnsi" w:hAnsiTheme="minorHAnsi" w:cstheme="minorBidi"/>
      <w:sz w:val="22"/>
      <w:szCs w:val="22"/>
      <w:lang w:val="es-CR" w:eastAsia="en-US"/>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Tabladelista4-nfasis3">
    <w:name w:val="List Table 4 Accent 3"/>
    <w:basedOn w:val="Tablanormal"/>
    <w:uiPriority w:val="49"/>
    <w:rsid w:val="00495FE3"/>
    <w:rPr>
      <w:rFonts w:asciiTheme="minorHAnsi" w:eastAsiaTheme="minorHAnsi" w:hAnsiTheme="minorHAnsi" w:cstheme="minorBidi"/>
      <w:sz w:val="22"/>
      <w:szCs w:val="22"/>
      <w:lang w:val="es-CR"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delista4-nfasis1">
    <w:name w:val="List Table 4 Accent 1"/>
    <w:basedOn w:val="Tablanormal"/>
    <w:uiPriority w:val="49"/>
    <w:rsid w:val="00495FE3"/>
    <w:rPr>
      <w:rFonts w:asciiTheme="minorHAnsi" w:eastAsiaTheme="minorHAnsi" w:hAnsiTheme="minorHAnsi" w:cstheme="minorBidi"/>
      <w:sz w:val="22"/>
      <w:szCs w:val="22"/>
      <w:lang w:val="es-CR"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lista4-nfasis5">
    <w:name w:val="List Table 4 Accent 5"/>
    <w:basedOn w:val="Tablanormal"/>
    <w:uiPriority w:val="49"/>
    <w:rsid w:val="00495FE3"/>
    <w:rPr>
      <w:rFonts w:asciiTheme="minorHAnsi" w:eastAsiaTheme="minorHAnsi" w:hAnsiTheme="minorHAnsi" w:cstheme="minorBidi"/>
      <w:sz w:val="22"/>
      <w:szCs w:val="22"/>
      <w:lang w:val="es-CR"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concuadrcula4-nfasis1">
    <w:name w:val="Grid Table 4 Accent 1"/>
    <w:basedOn w:val="Tablanormal"/>
    <w:uiPriority w:val="49"/>
    <w:rsid w:val="00495FE3"/>
    <w:rPr>
      <w:rFonts w:asciiTheme="minorHAnsi" w:eastAsiaTheme="minorHAnsi" w:hAnsiTheme="minorHAnsi" w:cstheme="minorBidi"/>
      <w:sz w:val="22"/>
      <w:szCs w:val="22"/>
      <w:lang w:val="es-CR"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concuadrcula5oscura-nfasis1">
    <w:name w:val="Grid Table 5 Dark Accent 1"/>
    <w:basedOn w:val="Tablanormal"/>
    <w:uiPriority w:val="50"/>
    <w:rsid w:val="00495FE3"/>
    <w:rPr>
      <w:rFonts w:asciiTheme="minorHAnsi" w:eastAsiaTheme="minorHAnsi" w:hAnsiTheme="minorHAnsi" w:cstheme="minorBidi"/>
      <w:sz w:val="22"/>
      <w:szCs w:val="22"/>
      <w:lang w:val="es-CR"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aconcuadrcula5oscura-nfasis5">
    <w:name w:val="Grid Table 5 Dark Accent 5"/>
    <w:basedOn w:val="Tablanormal"/>
    <w:uiPriority w:val="50"/>
    <w:rsid w:val="00495FE3"/>
    <w:rPr>
      <w:rFonts w:asciiTheme="minorHAnsi" w:eastAsiaTheme="minorHAnsi" w:hAnsiTheme="minorHAnsi" w:cstheme="minorBidi"/>
      <w:sz w:val="22"/>
      <w:szCs w:val="22"/>
      <w:lang w:val="es-CR"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Tabladecuadrcula4">
    <w:name w:val="Grid Table 4"/>
    <w:basedOn w:val="Tablanormal"/>
    <w:uiPriority w:val="49"/>
    <w:rsid w:val="00495FE3"/>
    <w:rPr>
      <w:rFonts w:asciiTheme="minorHAnsi" w:eastAsiaTheme="minorHAnsi" w:hAnsiTheme="minorHAnsi" w:cstheme="minorBidi"/>
      <w:sz w:val="22"/>
      <w:szCs w:val="22"/>
      <w:lang w:val="es-CR"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Sinlista4">
    <w:name w:val="Sin lista4"/>
    <w:next w:val="Sinlista"/>
    <w:uiPriority w:val="99"/>
    <w:semiHidden/>
    <w:unhideWhenUsed/>
    <w:rsid w:val="00495FE3"/>
  </w:style>
  <w:style w:type="table" w:customStyle="1" w:styleId="Tablaconcuadrcula8">
    <w:name w:val="Tabla con cuadrícula8"/>
    <w:basedOn w:val="Tablanormal"/>
    <w:next w:val="Tablaconcuadrcula"/>
    <w:rsid w:val="00495FE3"/>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1">
    <w:name w:val="Tabla profesional1"/>
    <w:basedOn w:val="Tablanormal"/>
    <w:next w:val="Tablaprofesional"/>
    <w:rsid w:val="00495FE3"/>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1">
    <w:name w:val="Tabla web 11"/>
    <w:basedOn w:val="Tablanormal"/>
    <w:next w:val="Tablaweb1"/>
    <w:rsid w:val="00495FE3"/>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Cuadrculaclara-nfasis111">
    <w:name w:val="Cuadrícula clara - Énfasis 111"/>
    <w:basedOn w:val="Tablanormal"/>
    <w:uiPriority w:val="62"/>
    <w:rsid w:val="00495FE3"/>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concuadrcula222">
    <w:name w:val="Tabla con cuadrícula222"/>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2">
    <w:name w:val="Tabla con cuadrícula322"/>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Grid11"/>
    <w:rsid w:val="00495FE3"/>
    <w:rPr>
      <w:rFonts w:ascii="Calibri" w:hAnsi="Calibri"/>
      <w:sz w:val="22"/>
      <w:szCs w:val="22"/>
      <w:lang w:val="es-CR" w:eastAsia="es-CR"/>
    </w:rPr>
    <w:tblPr>
      <w:tblCellMar>
        <w:top w:w="0" w:type="dxa"/>
        <w:left w:w="0" w:type="dxa"/>
        <w:bottom w:w="0" w:type="dxa"/>
        <w:right w:w="0" w:type="dxa"/>
      </w:tblCellMar>
    </w:tblPr>
  </w:style>
  <w:style w:type="table" w:customStyle="1" w:styleId="Tablaconcuadrcula421">
    <w:name w:val="Tabla con cuadrícula421"/>
    <w:basedOn w:val="Tablanormal"/>
    <w:next w:val="Tablaconcuadrcula"/>
    <w:uiPriority w:val="39"/>
    <w:rsid w:val="00495FE3"/>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121">
    <w:name w:val="Tabla normal 1121"/>
    <w:basedOn w:val="Tablanormal"/>
    <w:next w:val="Tablanormal1"/>
    <w:uiPriority w:val="41"/>
    <w:rsid w:val="00495FE3"/>
    <w:rPr>
      <w:rFonts w:ascii="Calibri" w:eastAsia="Calibri" w:hAnsi="Calibri"/>
      <w:sz w:val="24"/>
      <w:szCs w:val="24"/>
      <w:lang w:val="es-ES_tradnl"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221">
    <w:name w:val="Tabla con cuadrícula1221"/>
    <w:basedOn w:val="Tablanormal"/>
    <w:next w:val="Tablaconcuadrcula"/>
    <w:uiPriority w:val="59"/>
    <w:rsid w:val="00495FE3"/>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4">
    <w:name w:val="Tabla normal 14"/>
    <w:basedOn w:val="Tablanormal"/>
    <w:next w:val="Tablanormal1"/>
    <w:uiPriority w:val="41"/>
    <w:rsid w:val="00495FE3"/>
    <w:rPr>
      <w:lang w:val="es-CR"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621">
    <w:name w:val="Tabla con cuadrícula621"/>
    <w:basedOn w:val="Tablanormal"/>
    <w:next w:val="Tablaconcuadrcula"/>
    <w:uiPriority w:val="39"/>
    <w:rsid w:val="00495FE3"/>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
    <w:name w:val="Sin lista13"/>
    <w:next w:val="Sinlista"/>
    <w:uiPriority w:val="99"/>
    <w:semiHidden/>
    <w:unhideWhenUsed/>
    <w:rsid w:val="00495FE3"/>
  </w:style>
  <w:style w:type="numbering" w:customStyle="1" w:styleId="Sinlista112">
    <w:name w:val="Sin lista112"/>
    <w:next w:val="Sinlista"/>
    <w:uiPriority w:val="99"/>
    <w:unhideWhenUsed/>
    <w:rsid w:val="00495FE3"/>
    <w:pPr>
      <w:numPr>
        <w:numId w:val="24"/>
      </w:numPr>
    </w:pPr>
  </w:style>
  <w:style w:type="table" w:customStyle="1" w:styleId="TableNormal2">
    <w:name w:val="Table Normal2"/>
    <w:uiPriority w:val="2"/>
    <w:semiHidden/>
    <w:unhideWhenUsed/>
    <w:qFormat/>
    <w:rsid w:val="00495FE3"/>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adelista3-nfasis412">
    <w:name w:val="Tabla de lista 3 - Énfasis 412"/>
    <w:basedOn w:val="Tablanormal"/>
    <w:next w:val="Tabladelista3-nfasis4"/>
    <w:uiPriority w:val="48"/>
    <w:rsid w:val="00495FE3"/>
    <w:rPr>
      <w:rFonts w:ascii="Calibri" w:eastAsia="Calibri" w:hAnsi="Calibri"/>
      <w:sz w:val="22"/>
      <w:szCs w:val="22"/>
      <w:lang w:val="es-CR" w:eastAsia="en-US"/>
    </w:rPr>
    <w:tblPr>
      <w:tblStyleRowBandSize w:val="1"/>
      <w:tblStyleColBandSize w:val="1"/>
      <w:tblBorders>
        <w:top w:val="single" w:sz="4" w:space="0" w:color="8064A2"/>
        <w:left w:val="single" w:sz="4" w:space="0" w:color="8064A2"/>
        <w:bottom w:val="single" w:sz="4" w:space="0" w:color="8064A2"/>
        <w:right w:val="single" w:sz="4" w:space="0" w:color="8064A2"/>
      </w:tblBorders>
    </w:tblPr>
    <w:tblStylePr w:type="firstRow">
      <w:rPr>
        <w:b/>
        <w:bCs/>
        <w:color w:val="FFFFFF"/>
      </w:rPr>
      <w:tblPr/>
      <w:tcPr>
        <w:shd w:val="clear" w:color="auto" w:fill="8064A2"/>
      </w:tcPr>
    </w:tblStylePr>
    <w:tblStylePr w:type="lastRow">
      <w:rPr>
        <w:b/>
        <w:bCs/>
      </w:rPr>
      <w:tblPr/>
      <w:tcPr>
        <w:tcBorders>
          <w:top w:val="double" w:sz="4" w:space="0" w:color="8064A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table" w:customStyle="1" w:styleId="Tabladelista3-nfasis112">
    <w:name w:val="Tabla de lista 3 - Énfasis 112"/>
    <w:basedOn w:val="Tablanormal"/>
    <w:next w:val="Tabladelista3-nfasis1"/>
    <w:uiPriority w:val="48"/>
    <w:rsid w:val="00495FE3"/>
    <w:pPr>
      <w:widowControl w:val="0"/>
      <w:autoSpaceDE w:val="0"/>
      <w:autoSpaceDN w:val="0"/>
    </w:pPr>
    <w:rPr>
      <w:rFonts w:ascii="Calibri" w:eastAsia="Calibri" w:hAnsi="Calibri"/>
      <w:sz w:val="22"/>
      <w:szCs w:val="22"/>
      <w:lang w:val="en-US"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Tabladelista3-nfasis312">
    <w:name w:val="Tabla de lista 3 - Énfasis 312"/>
    <w:basedOn w:val="Tablanormal"/>
    <w:next w:val="Tabladelista3-nfasis3"/>
    <w:uiPriority w:val="48"/>
    <w:rsid w:val="00495FE3"/>
    <w:pPr>
      <w:widowControl w:val="0"/>
      <w:autoSpaceDE w:val="0"/>
      <w:autoSpaceDN w:val="0"/>
    </w:pPr>
    <w:rPr>
      <w:rFonts w:ascii="Calibri" w:eastAsia="Calibri" w:hAnsi="Calibri"/>
      <w:sz w:val="22"/>
      <w:szCs w:val="22"/>
      <w:lang w:val="en-US" w:eastAsia="en-US"/>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customStyle="1" w:styleId="Tablaconcuadrcula16">
    <w:name w:val="Tabla con cuadrícula16"/>
    <w:basedOn w:val="Tablanormal"/>
    <w:next w:val="Tablaconcuadrcula"/>
    <w:uiPriority w:val="39"/>
    <w:rsid w:val="00495FE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anormal"/>
    <w:next w:val="Tablaconcuadrcula"/>
    <w:uiPriority w:val="39"/>
    <w:rsid w:val="00495FE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3-nfasis421">
    <w:name w:val="Tabla de lista 3 - Énfasis 421"/>
    <w:basedOn w:val="Tablanormal"/>
    <w:next w:val="Tabladelista3-nfasis4"/>
    <w:uiPriority w:val="48"/>
    <w:rsid w:val="00495FE3"/>
    <w:rPr>
      <w:rFonts w:ascii="Calibri" w:eastAsia="Calibri" w:hAnsi="Calibri"/>
      <w:sz w:val="22"/>
      <w:szCs w:val="22"/>
      <w:lang w:val="es-CR"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ladelista3-nfasis121">
    <w:name w:val="Tabla de lista 3 - Énfasis 121"/>
    <w:basedOn w:val="Tablanormal"/>
    <w:next w:val="Tabladelista3-nfasis1"/>
    <w:uiPriority w:val="48"/>
    <w:rsid w:val="00495FE3"/>
    <w:rPr>
      <w:rFonts w:ascii="Calibri" w:eastAsia="Calibri" w:hAnsi="Calibri"/>
      <w:sz w:val="22"/>
      <w:szCs w:val="22"/>
      <w:lang w:val="es-CR"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Tabladelista3-nfasis321">
    <w:name w:val="Tabla de lista 3 - Énfasis 321"/>
    <w:basedOn w:val="Tablanormal"/>
    <w:next w:val="Tabladelista3-nfasis3"/>
    <w:uiPriority w:val="48"/>
    <w:rsid w:val="00495FE3"/>
    <w:rPr>
      <w:rFonts w:ascii="Calibri" w:eastAsia="Calibri" w:hAnsi="Calibri"/>
      <w:sz w:val="22"/>
      <w:szCs w:val="22"/>
      <w:lang w:val="es-CR"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leGrid2">
    <w:name w:val="TableGrid2"/>
    <w:rsid w:val="00495FE3"/>
    <w:rPr>
      <w:rFonts w:ascii="Calibri" w:hAnsi="Calibri"/>
      <w:sz w:val="22"/>
      <w:szCs w:val="22"/>
      <w:lang w:val="es-CR" w:eastAsia="es-CR"/>
    </w:rPr>
    <w:tblPr>
      <w:tblCellMar>
        <w:top w:w="0" w:type="dxa"/>
        <w:left w:w="0" w:type="dxa"/>
        <w:bottom w:w="0" w:type="dxa"/>
        <w:right w:w="0" w:type="dxa"/>
      </w:tblCellMar>
    </w:tblPr>
  </w:style>
  <w:style w:type="table" w:customStyle="1" w:styleId="Tablaconcuadrcula24">
    <w:name w:val="Tabla con cuadrícula24"/>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4">
    <w:name w:val="Tabla con cuadrícula34"/>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3">
    <w:name w:val="Tabla con cuadrícula43"/>
    <w:basedOn w:val="Tablanormal"/>
    <w:next w:val="Tablaconcuadrcula"/>
    <w:uiPriority w:val="39"/>
    <w:rsid w:val="00495FE3"/>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13">
    <w:name w:val="Tabla normal 113"/>
    <w:basedOn w:val="Tablanormal"/>
    <w:next w:val="Tablanormal1"/>
    <w:uiPriority w:val="41"/>
    <w:rsid w:val="00495FE3"/>
    <w:rPr>
      <w:rFonts w:ascii="Calibri" w:eastAsia="Calibri" w:hAnsi="Calibri"/>
      <w:sz w:val="24"/>
      <w:szCs w:val="24"/>
      <w:lang w:val="es-ES_tradnl"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21">
    <w:name w:val="Tabla normal 121"/>
    <w:basedOn w:val="Tablanormal"/>
    <w:next w:val="Tablanormal1"/>
    <w:uiPriority w:val="41"/>
    <w:rsid w:val="00495FE3"/>
    <w:rPr>
      <w:rFonts w:ascii="Calibri" w:eastAsia="Calibri" w:hAnsi="Calibri"/>
      <w:sz w:val="22"/>
      <w:szCs w:val="22"/>
      <w:lang w:val="es-CR"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23">
    <w:name w:val="Tabla con cuadrícula123"/>
    <w:basedOn w:val="Tablanormal"/>
    <w:next w:val="Tablaconcuadrcula"/>
    <w:uiPriority w:val="59"/>
    <w:rsid w:val="00495FE3"/>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
    <w:name w:val="Sin lista22"/>
    <w:next w:val="Sinlista"/>
    <w:uiPriority w:val="99"/>
    <w:semiHidden/>
    <w:unhideWhenUsed/>
    <w:rsid w:val="00495FE3"/>
  </w:style>
  <w:style w:type="table" w:customStyle="1" w:styleId="Tablaconcuadrcula53">
    <w:name w:val="Tabla con cuadrícula53"/>
    <w:basedOn w:val="Tablanormal"/>
    <w:next w:val="Tablaconcuadrcula"/>
    <w:rsid w:val="00495FE3"/>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anormal"/>
    <w:next w:val="Tablaconcuadrcula"/>
    <w:uiPriority w:val="39"/>
    <w:rsid w:val="00495FE3"/>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3-nfasis44">
    <w:name w:val="Tabla de lista 3 - Énfasis 44"/>
    <w:basedOn w:val="Tablanormal"/>
    <w:next w:val="Tabladelista3-nfasis4"/>
    <w:uiPriority w:val="48"/>
    <w:rsid w:val="00495FE3"/>
    <w:rPr>
      <w:lang w:val="es-CR" w:eastAsia="es-CR"/>
    </w:rPr>
    <w:tblPr>
      <w:tblStyleRowBandSize w:val="1"/>
      <w:tblStyleColBandSize w:val="1"/>
      <w:tblBorders>
        <w:top w:val="single" w:sz="4" w:space="0" w:color="8064A2"/>
        <w:left w:val="single" w:sz="4" w:space="0" w:color="8064A2"/>
        <w:bottom w:val="single" w:sz="4" w:space="0" w:color="8064A2"/>
        <w:right w:val="single" w:sz="4" w:space="0" w:color="8064A2"/>
      </w:tblBorders>
    </w:tblPr>
    <w:tblStylePr w:type="firstRow">
      <w:rPr>
        <w:b/>
        <w:bCs/>
        <w:color w:val="FFFFFF"/>
      </w:rPr>
      <w:tblPr/>
      <w:tcPr>
        <w:shd w:val="clear" w:color="auto" w:fill="8064A2"/>
      </w:tcPr>
    </w:tblStylePr>
    <w:tblStylePr w:type="lastRow">
      <w:rPr>
        <w:b/>
        <w:bCs/>
      </w:rPr>
      <w:tblPr/>
      <w:tcPr>
        <w:tcBorders>
          <w:top w:val="double" w:sz="4" w:space="0" w:color="8064A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table" w:customStyle="1" w:styleId="Tabladelista3-nfasis15">
    <w:name w:val="Tabla de lista 3 - Énfasis 15"/>
    <w:basedOn w:val="Tablanormal"/>
    <w:next w:val="Tabladelista3-nfasis1"/>
    <w:uiPriority w:val="48"/>
    <w:rsid w:val="00495FE3"/>
    <w:rPr>
      <w:lang w:val="es-CR" w:eastAsia="es-CR"/>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Tabladelista3-nfasis34">
    <w:name w:val="Tabla de lista 3 - Énfasis 34"/>
    <w:basedOn w:val="Tablanormal"/>
    <w:next w:val="Tabladelista3-nfasis3"/>
    <w:uiPriority w:val="48"/>
    <w:rsid w:val="00495FE3"/>
    <w:rPr>
      <w:lang w:val="es-CR" w:eastAsia="es-CR"/>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numbering" w:customStyle="1" w:styleId="Sinlista31">
    <w:name w:val="Sin lista31"/>
    <w:next w:val="Sinlista"/>
    <w:uiPriority w:val="99"/>
    <w:semiHidden/>
    <w:unhideWhenUsed/>
    <w:rsid w:val="00495FE3"/>
  </w:style>
  <w:style w:type="numbering" w:customStyle="1" w:styleId="Sinlista121">
    <w:name w:val="Sin lista121"/>
    <w:next w:val="Sinlista"/>
    <w:uiPriority w:val="99"/>
    <w:semiHidden/>
    <w:unhideWhenUsed/>
    <w:rsid w:val="00495FE3"/>
  </w:style>
  <w:style w:type="table" w:customStyle="1" w:styleId="TableNormal11">
    <w:name w:val="Table Normal11"/>
    <w:uiPriority w:val="2"/>
    <w:semiHidden/>
    <w:unhideWhenUsed/>
    <w:qFormat/>
    <w:rsid w:val="00495FE3"/>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adelista3-nfasis4111">
    <w:name w:val="Tabla de lista 3 - Énfasis 4111"/>
    <w:basedOn w:val="Tablanormal"/>
    <w:next w:val="Tabladelista3-nfasis4"/>
    <w:uiPriority w:val="48"/>
    <w:rsid w:val="00495FE3"/>
    <w:rPr>
      <w:rFonts w:ascii="Calibri" w:eastAsia="Calibri" w:hAnsi="Calibri"/>
      <w:sz w:val="22"/>
      <w:szCs w:val="22"/>
      <w:lang w:val="es-CR" w:eastAsia="en-US"/>
    </w:rPr>
    <w:tblPr>
      <w:tblStyleRowBandSize w:val="1"/>
      <w:tblStyleColBandSize w:val="1"/>
      <w:tblBorders>
        <w:top w:val="single" w:sz="4" w:space="0" w:color="8064A2"/>
        <w:left w:val="single" w:sz="4" w:space="0" w:color="8064A2"/>
        <w:bottom w:val="single" w:sz="4" w:space="0" w:color="8064A2"/>
        <w:right w:val="single" w:sz="4" w:space="0" w:color="8064A2"/>
      </w:tblBorders>
    </w:tblPr>
    <w:tblStylePr w:type="firstRow">
      <w:rPr>
        <w:b/>
        <w:bCs/>
        <w:color w:val="FFFFFF"/>
      </w:rPr>
      <w:tblPr/>
      <w:tcPr>
        <w:shd w:val="clear" w:color="auto" w:fill="8064A2"/>
      </w:tcPr>
    </w:tblStylePr>
    <w:tblStylePr w:type="lastRow">
      <w:rPr>
        <w:b/>
        <w:bCs/>
      </w:rPr>
      <w:tblPr/>
      <w:tcPr>
        <w:tcBorders>
          <w:top w:val="double" w:sz="4" w:space="0" w:color="8064A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table" w:customStyle="1" w:styleId="Tabladelista3-nfasis1111">
    <w:name w:val="Tabla de lista 3 - Énfasis 1111"/>
    <w:basedOn w:val="Tablanormal"/>
    <w:next w:val="Tabladelista3-nfasis1"/>
    <w:uiPriority w:val="48"/>
    <w:rsid w:val="00495FE3"/>
    <w:pPr>
      <w:widowControl w:val="0"/>
      <w:autoSpaceDE w:val="0"/>
      <w:autoSpaceDN w:val="0"/>
    </w:pPr>
    <w:rPr>
      <w:rFonts w:ascii="Calibri" w:eastAsia="Calibri" w:hAnsi="Calibri"/>
      <w:sz w:val="22"/>
      <w:szCs w:val="22"/>
      <w:lang w:val="en-US"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Tabladelista3-nfasis3111">
    <w:name w:val="Tabla de lista 3 - Énfasis 3111"/>
    <w:basedOn w:val="Tablanormal"/>
    <w:next w:val="Tabladelista3-nfasis3"/>
    <w:uiPriority w:val="48"/>
    <w:rsid w:val="00495FE3"/>
    <w:pPr>
      <w:widowControl w:val="0"/>
      <w:autoSpaceDE w:val="0"/>
      <w:autoSpaceDN w:val="0"/>
    </w:pPr>
    <w:rPr>
      <w:rFonts w:ascii="Calibri" w:eastAsia="Calibri" w:hAnsi="Calibri"/>
      <w:sz w:val="22"/>
      <w:szCs w:val="22"/>
      <w:lang w:val="en-US" w:eastAsia="en-US"/>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customStyle="1" w:styleId="Tablaconcuadrcula71">
    <w:name w:val="Tabla con cuadrícula71"/>
    <w:basedOn w:val="Tablanormal"/>
    <w:next w:val="Tablaconcuadrcula"/>
    <w:uiPriority w:val="59"/>
    <w:rsid w:val="00495FE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basedOn w:val="Tablanormal"/>
    <w:next w:val="Tablaconcuadrcula"/>
    <w:uiPriority w:val="39"/>
    <w:rsid w:val="00495FE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basedOn w:val="Tablanormal"/>
    <w:next w:val="Tablaconcuadrcula"/>
    <w:uiPriority w:val="39"/>
    <w:rsid w:val="00495FE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3-nfasis432">
    <w:name w:val="Tabla de lista 3 - Énfasis 432"/>
    <w:basedOn w:val="Tablanormal"/>
    <w:next w:val="Tabladelista3-nfasis4"/>
    <w:uiPriority w:val="48"/>
    <w:rsid w:val="00495FE3"/>
    <w:rPr>
      <w:rFonts w:ascii="Calibri" w:eastAsia="Calibri" w:hAnsi="Calibri"/>
      <w:sz w:val="22"/>
      <w:szCs w:val="22"/>
      <w:lang w:val="es-CR"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ladelista3-nfasis132">
    <w:name w:val="Tabla de lista 3 - Énfasis 132"/>
    <w:basedOn w:val="Tablanormal"/>
    <w:next w:val="Tabladelista3-nfasis1"/>
    <w:uiPriority w:val="48"/>
    <w:rsid w:val="00495FE3"/>
    <w:rPr>
      <w:rFonts w:ascii="Calibri" w:eastAsia="Calibri" w:hAnsi="Calibri"/>
      <w:sz w:val="22"/>
      <w:szCs w:val="22"/>
      <w:lang w:val="es-CR"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Tabladelista3-nfasis332">
    <w:name w:val="Tabla de lista 3 - Énfasis 332"/>
    <w:basedOn w:val="Tablanormal"/>
    <w:next w:val="Tabladelista3-nfasis3"/>
    <w:uiPriority w:val="48"/>
    <w:rsid w:val="00495FE3"/>
    <w:rPr>
      <w:rFonts w:ascii="Calibri" w:eastAsia="Calibri" w:hAnsi="Calibri"/>
      <w:sz w:val="22"/>
      <w:szCs w:val="22"/>
      <w:lang w:val="es-CR"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laconcuadrcula212">
    <w:name w:val="Tabla con cuadrícula212"/>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1">
    <w:name w:val="Tabla con cuadrícula311"/>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
    <w:name w:val="Tabla con cuadrícula411"/>
    <w:basedOn w:val="Tablanormal"/>
    <w:next w:val="Tablaconcuadrcula"/>
    <w:uiPriority w:val="39"/>
    <w:rsid w:val="00495FE3"/>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111">
    <w:name w:val="Tabla normal 1111"/>
    <w:basedOn w:val="Tablanormal"/>
    <w:next w:val="Tablanormal1"/>
    <w:uiPriority w:val="41"/>
    <w:rsid w:val="00495FE3"/>
    <w:rPr>
      <w:rFonts w:ascii="Calibri" w:eastAsia="Calibri" w:hAnsi="Calibri"/>
      <w:sz w:val="24"/>
      <w:szCs w:val="24"/>
      <w:lang w:val="es-ES_tradnl"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31">
    <w:name w:val="Tabla normal 131"/>
    <w:basedOn w:val="Tablanormal"/>
    <w:next w:val="Tablanormal1"/>
    <w:uiPriority w:val="41"/>
    <w:rsid w:val="00495FE3"/>
    <w:rPr>
      <w:rFonts w:ascii="Calibri" w:eastAsia="Calibri" w:hAnsi="Calibri"/>
      <w:sz w:val="22"/>
      <w:szCs w:val="22"/>
      <w:lang w:val="es-CR"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211">
    <w:name w:val="Tabla con cuadrícula1211"/>
    <w:basedOn w:val="Tablanormal"/>
    <w:next w:val="Tablaconcuadrcula"/>
    <w:uiPriority w:val="59"/>
    <w:rsid w:val="00495FE3"/>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1">
    <w:name w:val="Sin lista211"/>
    <w:next w:val="Sinlista"/>
    <w:uiPriority w:val="99"/>
    <w:semiHidden/>
    <w:unhideWhenUsed/>
    <w:rsid w:val="00495FE3"/>
  </w:style>
  <w:style w:type="table" w:customStyle="1" w:styleId="Tablaconcuadrcula511">
    <w:name w:val="Tabla con cuadrícula511"/>
    <w:basedOn w:val="Tablanormal"/>
    <w:next w:val="Tablaconcuadrcula"/>
    <w:rsid w:val="00495FE3"/>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
    <w:name w:val="Tabla con cuadrícula611"/>
    <w:basedOn w:val="Tablanormal"/>
    <w:next w:val="Tablaconcuadrcula"/>
    <w:uiPriority w:val="39"/>
    <w:rsid w:val="00495FE3"/>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1">
    <w:name w:val="Tabla con cuadrícula521"/>
    <w:basedOn w:val="Tablanormal"/>
    <w:next w:val="Tablaconcuadrcula"/>
    <w:rsid w:val="00495FE3"/>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
    <w:name w:val="Tabla con cuadrícula141"/>
    <w:basedOn w:val="Tablanormal"/>
    <w:next w:val="Tablaconcuadrcula"/>
    <w:uiPriority w:val="39"/>
    <w:rsid w:val="00495FE3"/>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4-nfasis311">
    <w:name w:val="Tabla de lista 4 - Énfasis 311"/>
    <w:basedOn w:val="Tablanormal"/>
    <w:next w:val="Tabladelista4-nfasis3"/>
    <w:uiPriority w:val="49"/>
    <w:rsid w:val="00495FE3"/>
    <w:rPr>
      <w:rFonts w:ascii="Calibri" w:eastAsia="Calibri" w:hAnsi="Calibri"/>
      <w:sz w:val="24"/>
      <w:szCs w:val="24"/>
      <w:lang w:val="es-ES_tradnl"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4-nfasis111">
    <w:name w:val="Tabla de lista 4 - Énfasis 111"/>
    <w:basedOn w:val="Tablanormal"/>
    <w:next w:val="Tabladelista4-nfasis1"/>
    <w:uiPriority w:val="49"/>
    <w:rsid w:val="00495FE3"/>
    <w:rPr>
      <w:rFonts w:ascii="Calibri" w:eastAsia="Calibri" w:hAnsi="Calibri"/>
      <w:sz w:val="24"/>
      <w:szCs w:val="24"/>
      <w:lang w:val="es-ES_tradnl"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lista4-nfasis511">
    <w:name w:val="Tabla de lista 4 - Énfasis 511"/>
    <w:basedOn w:val="Tablanormal"/>
    <w:next w:val="Tabladelista4-nfasis5"/>
    <w:uiPriority w:val="49"/>
    <w:rsid w:val="00495FE3"/>
    <w:rPr>
      <w:rFonts w:ascii="Calibri" w:eastAsia="Calibri" w:hAnsi="Calibri"/>
      <w:sz w:val="24"/>
      <w:szCs w:val="24"/>
      <w:lang w:val="es-ES_tradnl"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4-nfasis321">
    <w:name w:val="Tabla de lista 4 - Énfasis 321"/>
    <w:basedOn w:val="Tablanormal"/>
    <w:next w:val="Tabladelista4-nfasis3"/>
    <w:uiPriority w:val="49"/>
    <w:rsid w:val="00495FE3"/>
    <w:rPr>
      <w:rFonts w:ascii="Calibri" w:eastAsia="Calibri" w:hAnsi="Calibri"/>
      <w:sz w:val="22"/>
      <w:szCs w:val="22"/>
      <w:lang w:val="es-CR"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4-nfasis121">
    <w:name w:val="Tabla de lista 4 - Énfasis 121"/>
    <w:basedOn w:val="Tablanormal"/>
    <w:next w:val="Tabladelista4-nfasis1"/>
    <w:uiPriority w:val="49"/>
    <w:rsid w:val="00495FE3"/>
    <w:rPr>
      <w:rFonts w:ascii="Calibri" w:eastAsia="Calibri" w:hAnsi="Calibri"/>
      <w:sz w:val="22"/>
      <w:szCs w:val="22"/>
      <w:lang w:val="es-CR"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lista4-nfasis521">
    <w:name w:val="Tabla de lista 4 - Énfasis 521"/>
    <w:basedOn w:val="Tablanormal"/>
    <w:next w:val="Tabladelista4-nfasis5"/>
    <w:uiPriority w:val="49"/>
    <w:rsid w:val="00495FE3"/>
    <w:rPr>
      <w:rFonts w:ascii="Calibri" w:eastAsia="Calibri" w:hAnsi="Calibri"/>
      <w:sz w:val="22"/>
      <w:szCs w:val="22"/>
      <w:lang w:val="es-CR"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4-nfasis34">
    <w:name w:val="Tabla de lista 4 - Énfasis 34"/>
    <w:basedOn w:val="Tablanormal"/>
    <w:next w:val="Tabladelista4-nfasis3"/>
    <w:uiPriority w:val="49"/>
    <w:rsid w:val="00495FE3"/>
    <w:rPr>
      <w:lang w:val="es-CR" w:eastAsia="es-C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4-nfasis14">
    <w:name w:val="Tabla de lista 4 - Énfasis 14"/>
    <w:basedOn w:val="Tablanormal"/>
    <w:next w:val="Tabladelista4-nfasis1"/>
    <w:uiPriority w:val="49"/>
    <w:rsid w:val="00495FE3"/>
    <w:rPr>
      <w:lang w:val="es-CR" w:eastAsia="es-C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lista4-nfasis54">
    <w:name w:val="Tabla de lista 4 - Énfasis 54"/>
    <w:basedOn w:val="Tablanormal"/>
    <w:next w:val="Tabladelista4-nfasis5"/>
    <w:uiPriority w:val="49"/>
    <w:rsid w:val="00495FE3"/>
    <w:rPr>
      <w:lang w:val="es-CR" w:eastAsia="es-C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151">
    <w:name w:val="Tabla con cuadrícula151"/>
    <w:basedOn w:val="Tablanormal"/>
    <w:next w:val="Tablaconcuadrcula"/>
    <w:uiPriority w:val="39"/>
    <w:rsid w:val="00495FE3"/>
    <w:rPr>
      <w:lang w:val="es-CR"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1">
    <w:name w:val="Tabla con cuadrícula331"/>
    <w:basedOn w:val="Tablanormal"/>
    <w:next w:val="Tablaconcuadrcula"/>
    <w:uiPriority w:val="59"/>
    <w:rsid w:val="00495FE3"/>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moderna1">
    <w:name w:val="Tabla moderna1"/>
    <w:basedOn w:val="Tablanormal"/>
    <w:next w:val="Tablamoderna"/>
    <w:semiHidden/>
    <w:unhideWhenUsed/>
    <w:rsid w:val="00495FE3"/>
    <w:rPr>
      <w:lang w:val="es-CR" w:eastAsia="es-CR"/>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elegante1">
    <w:name w:val="Tabla elegante1"/>
    <w:basedOn w:val="Tablanormal"/>
    <w:next w:val="Tablaelegante"/>
    <w:semiHidden/>
    <w:unhideWhenUsed/>
    <w:rsid w:val="00495FE3"/>
    <w:rPr>
      <w:lang w:val="es-CR" w:eastAsia="es-CR"/>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aconcuadrcula231">
    <w:name w:val="Tabla con cuadrícula231"/>
    <w:basedOn w:val="Tablanormal"/>
    <w:next w:val="Tablaconcuadrcula"/>
    <w:uiPriority w:val="39"/>
    <w:rsid w:val="00495FE3"/>
    <w:rPr>
      <w:rFonts w:ascii="Arial" w:hAnsi="Arial" w:cs="Arial"/>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11">
    <w:name w:val="Tabla con cuadrícula 4 - Énfasis 111"/>
    <w:basedOn w:val="Tablanormal"/>
    <w:next w:val="Tablaconcuadrcula4-nfasis1"/>
    <w:uiPriority w:val="49"/>
    <w:rsid w:val="00495FE3"/>
    <w:rPr>
      <w:lang w:val="es-CR" w:eastAsia="es-CR"/>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5oscura-nfasis111">
    <w:name w:val="Tabla con cuadrícula 5 oscura - Énfasis 111"/>
    <w:basedOn w:val="Tablanormal"/>
    <w:next w:val="Tablaconcuadrcula5oscura-nfasis1"/>
    <w:uiPriority w:val="50"/>
    <w:rsid w:val="00495FE3"/>
    <w:rPr>
      <w:lang w:val="es-CR" w:eastAsia="es-CR"/>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5oscura-nfasis511">
    <w:name w:val="Tabla con cuadrícula 5 oscura - Énfasis 511"/>
    <w:basedOn w:val="Tablanormal"/>
    <w:next w:val="Tablaconcuadrcula5oscura-nfasis5"/>
    <w:uiPriority w:val="50"/>
    <w:rsid w:val="00495FE3"/>
    <w:rPr>
      <w:lang w:val="es-CR" w:eastAsia="es-CR"/>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lista3-nfasis141">
    <w:name w:val="Tabla de lista 3 - Énfasis 141"/>
    <w:basedOn w:val="Tablanormal"/>
    <w:next w:val="Tabladelista3-nfasis1"/>
    <w:uiPriority w:val="48"/>
    <w:rsid w:val="00495FE3"/>
    <w:rPr>
      <w:rFonts w:ascii="Calibri" w:eastAsia="Calibri" w:hAnsi="Calibri"/>
      <w:lang w:val="es-CR" w:eastAsia="es-CR"/>
    </w:r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concuadrcula2111">
    <w:name w:val="Tabla con cuadrícula2111"/>
    <w:basedOn w:val="Tablanormal"/>
    <w:rsid w:val="00495FE3"/>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3">
    <w:name w:val="Tabla con cuadrícula 4 - Énfasis 13"/>
    <w:basedOn w:val="Tablanormal"/>
    <w:next w:val="Tablaconcuadrcula4-nfasis1"/>
    <w:uiPriority w:val="49"/>
    <w:rsid w:val="00495FE3"/>
    <w:rPr>
      <w:lang w:val="es-CR" w:eastAsia="es-C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5oscura-nfasis13">
    <w:name w:val="Tabla con cuadrícula 5 oscura - Énfasis 13"/>
    <w:basedOn w:val="Tablanormal"/>
    <w:next w:val="Tablaconcuadrcula5oscura-nfasis1"/>
    <w:uiPriority w:val="50"/>
    <w:rsid w:val="00495FE3"/>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concuadrcula5oscura-nfasis53">
    <w:name w:val="Tabla con cuadrícula 5 oscura - Énfasis 53"/>
    <w:basedOn w:val="Tablanormal"/>
    <w:next w:val="Tablaconcuadrcula5oscura-nfasis5"/>
    <w:uiPriority w:val="50"/>
    <w:rsid w:val="00495FE3"/>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decuadrcula42">
    <w:name w:val="Tabla de cuadrícula 42"/>
    <w:basedOn w:val="Tablanormal"/>
    <w:next w:val="Tabladecuadrcula4"/>
    <w:uiPriority w:val="49"/>
    <w:rsid w:val="00495FE3"/>
    <w:rPr>
      <w:rFonts w:ascii="Calibri" w:eastAsia="Calibri" w:hAnsi="Calibri"/>
      <w:sz w:val="22"/>
      <w:szCs w:val="22"/>
      <w:lang w:eastAsia="en-U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Sinlista5">
    <w:name w:val="Sin lista5"/>
    <w:next w:val="Sinlista"/>
    <w:uiPriority w:val="99"/>
    <w:semiHidden/>
    <w:unhideWhenUsed/>
    <w:rsid w:val="00495FE3"/>
  </w:style>
  <w:style w:type="table" w:customStyle="1" w:styleId="Tablaconcuadrcula9">
    <w:name w:val="Tabla con cuadrícula9"/>
    <w:basedOn w:val="Tablanormal"/>
    <w:next w:val="Tablaconcuadrcula"/>
    <w:rsid w:val="00495FE3"/>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2">
    <w:name w:val="Tabla profesional2"/>
    <w:basedOn w:val="Tablanormal"/>
    <w:next w:val="Tablaprofesional"/>
    <w:rsid w:val="00495FE3"/>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2">
    <w:name w:val="Tabla web 12"/>
    <w:basedOn w:val="Tablanormal"/>
    <w:next w:val="Tablaweb1"/>
    <w:rsid w:val="00495FE3"/>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Cuadrculaclara-nfasis112">
    <w:name w:val="Cuadrícula clara - Énfasis 112"/>
    <w:basedOn w:val="Tablanormal"/>
    <w:uiPriority w:val="62"/>
    <w:rsid w:val="00495FE3"/>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concuadrcula223">
    <w:name w:val="Tabla con cuadrícula223"/>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3">
    <w:name w:val="Tabla con cuadrícula323"/>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Grid12"/>
    <w:rsid w:val="00495FE3"/>
    <w:rPr>
      <w:rFonts w:ascii="Calibri" w:hAnsi="Calibri"/>
      <w:sz w:val="22"/>
      <w:szCs w:val="22"/>
      <w:lang w:val="es-CR" w:eastAsia="es-CR"/>
    </w:rPr>
    <w:tblPr>
      <w:tblCellMar>
        <w:top w:w="0" w:type="dxa"/>
        <w:left w:w="0" w:type="dxa"/>
        <w:bottom w:w="0" w:type="dxa"/>
        <w:right w:w="0" w:type="dxa"/>
      </w:tblCellMar>
    </w:tblPr>
  </w:style>
  <w:style w:type="table" w:customStyle="1" w:styleId="Tablaconcuadrcula422">
    <w:name w:val="Tabla con cuadrícula422"/>
    <w:basedOn w:val="Tablanormal"/>
    <w:next w:val="Tablaconcuadrcula"/>
    <w:uiPriority w:val="39"/>
    <w:rsid w:val="00495FE3"/>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122">
    <w:name w:val="Tabla normal 1122"/>
    <w:basedOn w:val="Tablanormal"/>
    <w:next w:val="Tablanormal1"/>
    <w:uiPriority w:val="41"/>
    <w:rsid w:val="00495FE3"/>
    <w:rPr>
      <w:rFonts w:ascii="Calibri" w:eastAsia="Calibri" w:hAnsi="Calibri"/>
      <w:sz w:val="24"/>
      <w:szCs w:val="24"/>
      <w:lang w:val="es-ES_tradnl"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222">
    <w:name w:val="Tabla con cuadrícula1222"/>
    <w:basedOn w:val="Tablanormal"/>
    <w:next w:val="Tablaconcuadrcula"/>
    <w:uiPriority w:val="59"/>
    <w:rsid w:val="00495FE3"/>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5">
    <w:name w:val="Tabla normal 15"/>
    <w:basedOn w:val="Tablanormal"/>
    <w:next w:val="Tablanormal1"/>
    <w:uiPriority w:val="41"/>
    <w:rsid w:val="00495FE3"/>
    <w:rPr>
      <w:lang w:val="es-CR"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622">
    <w:name w:val="Tabla con cuadrícula622"/>
    <w:basedOn w:val="Tablanormal"/>
    <w:next w:val="Tablaconcuadrcula"/>
    <w:uiPriority w:val="39"/>
    <w:rsid w:val="00495FE3"/>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
    <w:name w:val="Sin lista14"/>
    <w:next w:val="Sinlista"/>
    <w:uiPriority w:val="99"/>
    <w:semiHidden/>
    <w:unhideWhenUsed/>
    <w:rsid w:val="00495FE3"/>
  </w:style>
  <w:style w:type="numbering" w:customStyle="1" w:styleId="Sinlista113">
    <w:name w:val="Sin lista113"/>
    <w:next w:val="Sinlista"/>
    <w:uiPriority w:val="99"/>
    <w:semiHidden/>
    <w:unhideWhenUsed/>
    <w:rsid w:val="00495FE3"/>
  </w:style>
  <w:style w:type="table" w:customStyle="1" w:styleId="TableNormal3">
    <w:name w:val="Table Normal3"/>
    <w:uiPriority w:val="2"/>
    <w:semiHidden/>
    <w:unhideWhenUsed/>
    <w:qFormat/>
    <w:rsid w:val="00495FE3"/>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adelista3-nfasis413">
    <w:name w:val="Tabla de lista 3 - Énfasis 413"/>
    <w:basedOn w:val="Tablanormal"/>
    <w:next w:val="Tabladelista3-nfasis4"/>
    <w:uiPriority w:val="48"/>
    <w:rsid w:val="00495FE3"/>
    <w:rPr>
      <w:rFonts w:ascii="Calibri" w:eastAsia="Calibri" w:hAnsi="Calibri"/>
      <w:sz w:val="22"/>
      <w:szCs w:val="22"/>
      <w:lang w:val="es-CR" w:eastAsia="en-US"/>
    </w:rPr>
    <w:tblPr>
      <w:tblStyleRowBandSize w:val="1"/>
      <w:tblStyleColBandSize w:val="1"/>
      <w:tblBorders>
        <w:top w:val="single" w:sz="4" w:space="0" w:color="8064A2"/>
        <w:left w:val="single" w:sz="4" w:space="0" w:color="8064A2"/>
        <w:bottom w:val="single" w:sz="4" w:space="0" w:color="8064A2"/>
        <w:right w:val="single" w:sz="4" w:space="0" w:color="8064A2"/>
      </w:tblBorders>
    </w:tblPr>
    <w:tblStylePr w:type="firstRow">
      <w:rPr>
        <w:b/>
        <w:bCs/>
        <w:color w:val="FFFFFF"/>
      </w:rPr>
      <w:tblPr/>
      <w:tcPr>
        <w:shd w:val="clear" w:color="auto" w:fill="8064A2"/>
      </w:tcPr>
    </w:tblStylePr>
    <w:tblStylePr w:type="lastRow">
      <w:rPr>
        <w:b/>
        <w:bCs/>
      </w:rPr>
      <w:tblPr/>
      <w:tcPr>
        <w:tcBorders>
          <w:top w:val="double" w:sz="4" w:space="0" w:color="8064A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table" w:customStyle="1" w:styleId="Tabladelista3-nfasis113">
    <w:name w:val="Tabla de lista 3 - Énfasis 113"/>
    <w:basedOn w:val="Tablanormal"/>
    <w:next w:val="Tabladelista3-nfasis1"/>
    <w:uiPriority w:val="48"/>
    <w:rsid w:val="00495FE3"/>
    <w:pPr>
      <w:widowControl w:val="0"/>
      <w:autoSpaceDE w:val="0"/>
      <w:autoSpaceDN w:val="0"/>
    </w:pPr>
    <w:rPr>
      <w:rFonts w:ascii="Calibri" w:eastAsia="Calibri" w:hAnsi="Calibri"/>
      <w:sz w:val="22"/>
      <w:szCs w:val="22"/>
      <w:lang w:val="en-US"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Tabladelista3-nfasis313">
    <w:name w:val="Tabla de lista 3 - Énfasis 313"/>
    <w:basedOn w:val="Tablanormal"/>
    <w:next w:val="Tabladelista3-nfasis3"/>
    <w:uiPriority w:val="48"/>
    <w:rsid w:val="00495FE3"/>
    <w:pPr>
      <w:widowControl w:val="0"/>
      <w:autoSpaceDE w:val="0"/>
      <w:autoSpaceDN w:val="0"/>
    </w:pPr>
    <w:rPr>
      <w:rFonts w:ascii="Calibri" w:eastAsia="Calibri" w:hAnsi="Calibri"/>
      <w:sz w:val="22"/>
      <w:szCs w:val="22"/>
      <w:lang w:val="en-US" w:eastAsia="en-US"/>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customStyle="1" w:styleId="Tablaconcuadrcula17">
    <w:name w:val="Tabla con cuadrícula17"/>
    <w:basedOn w:val="Tablanormal"/>
    <w:next w:val="Tablaconcuadrcula"/>
    <w:uiPriority w:val="39"/>
    <w:rsid w:val="00495FE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basedOn w:val="Tablanormal"/>
    <w:next w:val="Tablaconcuadrcula"/>
    <w:uiPriority w:val="39"/>
    <w:rsid w:val="00495FE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3-nfasis422">
    <w:name w:val="Tabla de lista 3 - Énfasis 422"/>
    <w:basedOn w:val="Tablanormal"/>
    <w:next w:val="Tabladelista3-nfasis4"/>
    <w:uiPriority w:val="48"/>
    <w:rsid w:val="00495FE3"/>
    <w:rPr>
      <w:rFonts w:ascii="Calibri" w:eastAsia="Calibri" w:hAnsi="Calibri"/>
      <w:sz w:val="22"/>
      <w:szCs w:val="22"/>
      <w:lang w:val="es-CR"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ladelista3-nfasis122">
    <w:name w:val="Tabla de lista 3 - Énfasis 122"/>
    <w:basedOn w:val="Tablanormal"/>
    <w:next w:val="Tabladelista3-nfasis1"/>
    <w:uiPriority w:val="48"/>
    <w:rsid w:val="00495FE3"/>
    <w:rPr>
      <w:rFonts w:ascii="Calibri" w:eastAsia="Calibri" w:hAnsi="Calibri"/>
      <w:sz w:val="22"/>
      <w:szCs w:val="22"/>
      <w:lang w:val="es-CR"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Tabladelista3-nfasis322">
    <w:name w:val="Tabla de lista 3 - Énfasis 322"/>
    <w:basedOn w:val="Tablanormal"/>
    <w:next w:val="Tabladelista3-nfasis3"/>
    <w:uiPriority w:val="48"/>
    <w:rsid w:val="00495FE3"/>
    <w:rPr>
      <w:rFonts w:ascii="Calibri" w:eastAsia="Calibri" w:hAnsi="Calibri"/>
      <w:sz w:val="22"/>
      <w:szCs w:val="22"/>
      <w:lang w:val="es-CR"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leGrid3">
    <w:name w:val="TableGrid3"/>
    <w:rsid w:val="00495FE3"/>
    <w:rPr>
      <w:rFonts w:ascii="Calibri" w:hAnsi="Calibri"/>
      <w:sz w:val="22"/>
      <w:szCs w:val="22"/>
      <w:lang w:val="es-CR" w:eastAsia="es-CR"/>
    </w:rPr>
    <w:tblPr>
      <w:tblCellMar>
        <w:top w:w="0" w:type="dxa"/>
        <w:left w:w="0" w:type="dxa"/>
        <w:bottom w:w="0" w:type="dxa"/>
        <w:right w:w="0" w:type="dxa"/>
      </w:tblCellMar>
    </w:tblPr>
  </w:style>
  <w:style w:type="table" w:customStyle="1" w:styleId="Tablaconcuadrcula25">
    <w:name w:val="Tabla con cuadrícula25"/>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5">
    <w:name w:val="Tabla con cuadrícula35"/>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4">
    <w:name w:val="Tabla con cuadrícula44"/>
    <w:basedOn w:val="Tablanormal"/>
    <w:next w:val="Tablaconcuadrcula"/>
    <w:uiPriority w:val="39"/>
    <w:rsid w:val="00495FE3"/>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14">
    <w:name w:val="Tabla normal 114"/>
    <w:basedOn w:val="Tablanormal"/>
    <w:next w:val="Tablanormal1"/>
    <w:uiPriority w:val="41"/>
    <w:rsid w:val="00495FE3"/>
    <w:rPr>
      <w:rFonts w:ascii="Calibri" w:eastAsia="Calibri" w:hAnsi="Calibri"/>
      <w:sz w:val="24"/>
      <w:szCs w:val="24"/>
      <w:lang w:val="es-ES_tradnl"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22">
    <w:name w:val="Tabla normal 122"/>
    <w:basedOn w:val="Tablanormal"/>
    <w:next w:val="Tablanormal1"/>
    <w:uiPriority w:val="41"/>
    <w:rsid w:val="00495FE3"/>
    <w:rPr>
      <w:rFonts w:ascii="Calibri" w:eastAsia="Calibri" w:hAnsi="Calibri"/>
      <w:sz w:val="22"/>
      <w:szCs w:val="22"/>
      <w:lang w:val="es-CR"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24">
    <w:name w:val="Tabla con cuadrícula124"/>
    <w:basedOn w:val="Tablanormal"/>
    <w:next w:val="Tablaconcuadrcula"/>
    <w:uiPriority w:val="59"/>
    <w:rsid w:val="00495FE3"/>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3">
    <w:name w:val="Sin lista23"/>
    <w:next w:val="Sinlista"/>
    <w:uiPriority w:val="99"/>
    <w:semiHidden/>
    <w:unhideWhenUsed/>
    <w:rsid w:val="00495FE3"/>
  </w:style>
  <w:style w:type="table" w:customStyle="1" w:styleId="Tablaconcuadrcula54">
    <w:name w:val="Tabla con cuadrícula54"/>
    <w:basedOn w:val="Tablanormal"/>
    <w:next w:val="Tablaconcuadrcula"/>
    <w:rsid w:val="00495FE3"/>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4">
    <w:name w:val="Tabla con cuadrícula64"/>
    <w:basedOn w:val="Tablanormal"/>
    <w:next w:val="Tablaconcuadrcula"/>
    <w:uiPriority w:val="39"/>
    <w:rsid w:val="00495FE3"/>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3-nfasis45">
    <w:name w:val="Tabla de lista 3 - Énfasis 45"/>
    <w:basedOn w:val="Tablanormal"/>
    <w:next w:val="Tabladelista3-nfasis4"/>
    <w:uiPriority w:val="48"/>
    <w:rsid w:val="00495FE3"/>
    <w:rPr>
      <w:lang w:val="es-CR" w:eastAsia="es-CR"/>
    </w:rPr>
    <w:tblPr>
      <w:tblStyleRowBandSize w:val="1"/>
      <w:tblStyleColBandSize w:val="1"/>
      <w:tblBorders>
        <w:top w:val="single" w:sz="4" w:space="0" w:color="8064A2"/>
        <w:left w:val="single" w:sz="4" w:space="0" w:color="8064A2"/>
        <w:bottom w:val="single" w:sz="4" w:space="0" w:color="8064A2"/>
        <w:right w:val="single" w:sz="4" w:space="0" w:color="8064A2"/>
      </w:tblBorders>
    </w:tblPr>
    <w:tblStylePr w:type="firstRow">
      <w:rPr>
        <w:b/>
        <w:bCs/>
        <w:color w:val="FFFFFF"/>
      </w:rPr>
      <w:tblPr/>
      <w:tcPr>
        <w:shd w:val="clear" w:color="auto" w:fill="8064A2"/>
      </w:tcPr>
    </w:tblStylePr>
    <w:tblStylePr w:type="lastRow">
      <w:rPr>
        <w:b/>
        <w:bCs/>
      </w:rPr>
      <w:tblPr/>
      <w:tcPr>
        <w:tcBorders>
          <w:top w:val="double" w:sz="4" w:space="0" w:color="8064A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table" w:customStyle="1" w:styleId="Tabladelista3-nfasis16">
    <w:name w:val="Tabla de lista 3 - Énfasis 16"/>
    <w:basedOn w:val="Tablanormal"/>
    <w:next w:val="Tabladelista3-nfasis1"/>
    <w:uiPriority w:val="48"/>
    <w:rsid w:val="00495FE3"/>
    <w:rPr>
      <w:lang w:val="es-CR" w:eastAsia="es-CR"/>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Tabladelista3-nfasis35">
    <w:name w:val="Tabla de lista 3 - Énfasis 35"/>
    <w:basedOn w:val="Tablanormal"/>
    <w:next w:val="Tabladelista3-nfasis3"/>
    <w:uiPriority w:val="48"/>
    <w:rsid w:val="00495FE3"/>
    <w:rPr>
      <w:lang w:val="es-CR" w:eastAsia="es-CR"/>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numbering" w:customStyle="1" w:styleId="Sinlista32">
    <w:name w:val="Sin lista32"/>
    <w:next w:val="Sinlista"/>
    <w:uiPriority w:val="99"/>
    <w:semiHidden/>
    <w:unhideWhenUsed/>
    <w:rsid w:val="00495FE3"/>
  </w:style>
  <w:style w:type="numbering" w:customStyle="1" w:styleId="Sinlista122">
    <w:name w:val="Sin lista122"/>
    <w:next w:val="Sinlista"/>
    <w:uiPriority w:val="99"/>
    <w:semiHidden/>
    <w:unhideWhenUsed/>
    <w:rsid w:val="00495FE3"/>
  </w:style>
  <w:style w:type="table" w:customStyle="1" w:styleId="TableNormal12">
    <w:name w:val="Table Normal12"/>
    <w:uiPriority w:val="2"/>
    <w:semiHidden/>
    <w:unhideWhenUsed/>
    <w:qFormat/>
    <w:rsid w:val="00495FE3"/>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adelista3-nfasis4112">
    <w:name w:val="Tabla de lista 3 - Énfasis 4112"/>
    <w:basedOn w:val="Tablanormal"/>
    <w:next w:val="Tabladelista3-nfasis4"/>
    <w:uiPriority w:val="48"/>
    <w:rsid w:val="00495FE3"/>
    <w:rPr>
      <w:rFonts w:ascii="Calibri" w:eastAsia="Calibri" w:hAnsi="Calibri"/>
      <w:sz w:val="22"/>
      <w:szCs w:val="22"/>
      <w:lang w:val="es-CR" w:eastAsia="en-US"/>
    </w:rPr>
    <w:tblPr>
      <w:tblStyleRowBandSize w:val="1"/>
      <w:tblStyleColBandSize w:val="1"/>
      <w:tblBorders>
        <w:top w:val="single" w:sz="4" w:space="0" w:color="8064A2"/>
        <w:left w:val="single" w:sz="4" w:space="0" w:color="8064A2"/>
        <w:bottom w:val="single" w:sz="4" w:space="0" w:color="8064A2"/>
        <w:right w:val="single" w:sz="4" w:space="0" w:color="8064A2"/>
      </w:tblBorders>
    </w:tblPr>
    <w:tblStylePr w:type="firstRow">
      <w:rPr>
        <w:b/>
        <w:bCs/>
        <w:color w:val="FFFFFF"/>
      </w:rPr>
      <w:tblPr/>
      <w:tcPr>
        <w:shd w:val="clear" w:color="auto" w:fill="8064A2"/>
      </w:tcPr>
    </w:tblStylePr>
    <w:tblStylePr w:type="lastRow">
      <w:rPr>
        <w:b/>
        <w:bCs/>
      </w:rPr>
      <w:tblPr/>
      <w:tcPr>
        <w:tcBorders>
          <w:top w:val="double" w:sz="4" w:space="0" w:color="8064A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table" w:customStyle="1" w:styleId="Tabladelista3-nfasis1112">
    <w:name w:val="Tabla de lista 3 - Énfasis 1112"/>
    <w:basedOn w:val="Tablanormal"/>
    <w:next w:val="Tabladelista3-nfasis1"/>
    <w:uiPriority w:val="48"/>
    <w:rsid w:val="00495FE3"/>
    <w:pPr>
      <w:widowControl w:val="0"/>
      <w:autoSpaceDE w:val="0"/>
      <w:autoSpaceDN w:val="0"/>
    </w:pPr>
    <w:rPr>
      <w:rFonts w:ascii="Calibri" w:eastAsia="Calibri" w:hAnsi="Calibri"/>
      <w:sz w:val="22"/>
      <w:szCs w:val="22"/>
      <w:lang w:val="en-US"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Tabladelista3-nfasis3112">
    <w:name w:val="Tabla de lista 3 - Énfasis 3112"/>
    <w:basedOn w:val="Tablanormal"/>
    <w:next w:val="Tabladelista3-nfasis3"/>
    <w:uiPriority w:val="48"/>
    <w:rsid w:val="00495FE3"/>
    <w:pPr>
      <w:widowControl w:val="0"/>
      <w:autoSpaceDE w:val="0"/>
      <w:autoSpaceDN w:val="0"/>
    </w:pPr>
    <w:rPr>
      <w:rFonts w:ascii="Calibri" w:eastAsia="Calibri" w:hAnsi="Calibri"/>
      <w:sz w:val="22"/>
      <w:szCs w:val="22"/>
      <w:lang w:val="en-US" w:eastAsia="en-US"/>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customStyle="1" w:styleId="Tablaconcuadrcula72">
    <w:name w:val="Tabla con cuadrícula72"/>
    <w:basedOn w:val="Tablanormal"/>
    <w:next w:val="Tablaconcuadrcula"/>
    <w:uiPriority w:val="59"/>
    <w:rsid w:val="00495FE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basedOn w:val="Tablanormal"/>
    <w:next w:val="Tablaconcuadrcula"/>
    <w:uiPriority w:val="39"/>
    <w:rsid w:val="00495FE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basedOn w:val="Tablanormal"/>
    <w:next w:val="Tablaconcuadrcula"/>
    <w:uiPriority w:val="39"/>
    <w:rsid w:val="00495FE3"/>
    <w:pPr>
      <w:widowControl w:val="0"/>
      <w:autoSpaceDE w:val="0"/>
      <w:autoSpaceDN w:val="0"/>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3-nfasis433">
    <w:name w:val="Tabla de lista 3 - Énfasis 433"/>
    <w:basedOn w:val="Tablanormal"/>
    <w:next w:val="Tabladelista3-nfasis4"/>
    <w:uiPriority w:val="48"/>
    <w:rsid w:val="00495FE3"/>
    <w:rPr>
      <w:rFonts w:ascii="Calibri" w:eastAsia="Calibri" w:hAnsi="Calibri"/>
      <w:sz w:val="22"/>
      <w:szCs w:val="22"/>
      <w:lang w:val="es-CR"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ladelista3-nfasis133">
    <w:name w:val="Tabla de lista 3 - Énfasis 133"/>
    <w:basedOn w:val="Tablanormal"/>
    <w:next w:val="Tabladelista3-nfasis1"/>
    <w:uiPriority w:val="48"/>
    <w:rsid w:val="00495FE3"/>
    <w:rPr>
      <w:rFonts w:ascii="Calibri" w:eastAsia="Calibri" w:hAnsi="Calibri"/>
      <w:sz w:val="22"/>
      <w:szCs w:val="22"/>
      <w:lang w:val="es-CR" w:eastAsia="en-US"/>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Tabladelista3-nfasis333">
    <w:name w:val="Tabla de lista 3 - Énfasis 333"/>
    <w:basedOn w:val="Tablanormal"/>
    <w:next w:val="Tabladelista3-nfasis3"/>
    <w:uiPriority w:val="48"/>
    <w:rsid w:val="00495FE3"/>
    <w:rPr>
      <w:rFonts w:ascii="Calibri" w:eastAsia="Calibri" w:hAnsi="Calibri"/>
      <w:sz w:val="22"/>
      <w:szCs w:val="22"/>
      <w:lang w:val="es-CR"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laconcuadrcula213">
    <w:name w:val="Tabla con cuadrícula213"/>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2">
    <w:name w:val="Tabla con cuadrícula312"/>
    <w:basedOn w:val="Tablanormal"/>
    <w:next w:val="Tablaconcuadrcula"/>
    <w:uiPriority w:val="39"/>
    <w:rsid w:val="00495FE3"/>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2">
    <w:name w:val="Tabla con cuadrícula412"/>
    <w:basedOn w:val="Tablanormal"/>
    <w:next w:val="Tablaconcuadrcula"/>
    <w:uiPriority w:val="39"/>
    <w:rsid w:val="00495FE3"/>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112">
    <w:name w:val="Tabla normal 1112"/>
    <w:basedOn w:val="Tablanormal"/>
    <w:next w:val="Tablanormal1"/>
    <w:uiPriority w:val="41"/>
    <w:rsid w:val="00495FE3"/>
    <w:rPr>
      <w:rFonts w:ascii="Calibri" w:eastAsia="Calibri" w:hAnsi="Calibri"/>
      <w:sz w:val="24"/>
      <w:szCs w:val="24"/>
      <w:lang w:val="es-ES_tradnl"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32">
    <w:name w:val="Tabla normal 132"/>
    <w:basedOn w:val="Tablanormal"/>
    <w:next w:val="Tablanormal1"/>
    <w:uiPriority w:val="41"/>
    <w:rsid w:val="00495FE3"/>
    <w:rPr>
      <w:rFonts w:ascii="Calibri" w:eastAsia="Calibri" w:hAnsi="Calibri"/>
      <w:sz w:val="22"/>
      <w:szCs w:val="22"/>
      <w:lang w:val="es-CR"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212">
    <w:name w:val="Tabla con cuadrícula1212"/>
    <w:basedOn w:val="Tablanormal"/>
    <w:next w:val="Tablaconcuadrcula"/>
    <w:uiPriority w:val="59"/>
    <w:rsid w:val="00495FE3"/>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2">
    <w:name w:val="Sin lista212"/>
    <w:next w:val="Sinlista"/>
    <w:uiPriority w:val="99"/>
    <w:semiHidden/>
    <w:unhideWhenUsed/>
    <w:rsid w:val="00495FE3"/>
  </w:style>
  <w:style w:type="table" w:customStyle="1" w:styleId="Tablaconcuadrcula512">
    <w:name w:val="Tabla con cuadrícula512"/>
    <w:basedOn w:val="Tablanormal"/>
    <w:next w:val="Tablaconcuadrcula"/>
    <w:rsid w:val="00495FE3"/>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2">
    <w:name w:val="Tabla con cuadrícula612"/>
    <w:basedOn w:val="Tablanormal"/>
    <w:next w:val="Tablaconcuadrcula"/>
    <w:uiPriority w:val="39"/>
    <w:rsid w:val="00495FE3"/>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2">
    <w:name w:val="Tabla con cuadrícula522"/>
    <w:basedOn w:val="Tablanormal"/>
    <w:next w:val="Tablaconcuadrcula"/>
    <w:rsid w:val="00495FE3"/>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2">
    <w:name w:val="Tabla con cuadrícula142"/>
    <w:basedOn w:val="Tablanormal"/>
    <w:next w:val="Tablaconcuadrcula"/>
    <w:uiPriority w:val="39"/>
    <w:rsid w:val="00495FE3"/>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2">
    <w:name w:val="Mención sin resolver2"/>
    <w:basedOn w:val="Fuentedeprrafopredeter"/>
    <w:uiPriority w:val="99"/>
    <w:rsid w:val="00495FE3"/>
    <w:rPr>
      <w:color w:val="605E5C"/>
      <w:shd w:val="clear" w:color="auto" w:fill="E1DFDD"/>
    </w:rPr>
  </w:style>
  <w:style w:type="table" w:customStyle="1" w:styleId="Tabladelista4-nfasis312">
    <w:name w:val="Tabla de lista 4 - Énfasis 312"/>
    <w:basedOn w:val="Tablanormal"/>
    <w:next w:val="Tabladelista4-nfasis3"/>
    <w:uiPriority w:val="49"/>
    <w:rsid w:val="00495FE3"/>
    <w:rPr>
      <w:rFonts w:ascii="Calibri" w:eastAsia="Calibri" w:hAnsi="Calibri"/>
      <w:sz w:val="24"/>
      <w:szCs w:val="24"/>
      <w:lang w:val="es-ES_tradnl"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4-nfasis112">
    <w:name w:val="Tabla de lista 4 - Énfasis 112"/>
    <w:basedOn w:val="Tablanormal"/>
    <w:next w:val="Tabladelista4-nfasis1"/>
    <w:uiPriority w:val="49"/>
    <w:rsid w:val="00495FE3"/>
    <w:rPr>
      <w:rFonts w:ascii="Calibri" w:eastAsia="Calibri" w:hAnsi="Calibri"/>
      <w:sz w:val="24"/>
      <w:szCs w:val="24"/>
      <w:lang w:val="es-ES_tradnl"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lista4-nfasis512">
    <w:name w:val="Tabla de lista 4 - Énfasis 512"/>
    <w:basedOn w:val="Tablanormal"/>
    <w:next w:val="Tabladelista4-nfasis5"/>
    <w:uiPriority w:val="49"/>
    <w:rsid w:val="00495FE3"/>
    <w:rPr>
      <w:rFonts w:ascii="Calibri" w:eastAsia="Calibri" w:hAnsi="Calibri"/>
      <w:sz w:val="24"/>
      <w:szCs w:val="24"/>
      <w:lang w:val="es-ES_tradnl"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4-nfasis322">
    <w:name w:val="Tabla de lista 4 - Énfasis 322"/>
    <w:basedOn w:val="Tablanormal"/>
    <w:next w:val="Tabladelista4-nfasis3"/>
    <w:uiPriority w:val="49"/>
    <w:rsid w:val="00495FE3"/>
    <w:rPr>
      <w:rFonts w:ascii="Calibri" w:eastAsia="Calibri" w:hAnsi="Calibri"/>
      <w:sz w:val="22"/>
      <w:szCs w:val="22"/>
      <w:lang w:val="es-CR"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4-nfasis122">
    <w:name w:val="Tabla de lista 4 - Énfasis 122"/>
    <w:basedOn w:val="Tablanormal"/>
    <w:next w:val="Tabladelista4-nfasis1"/>
    <w:uiPriority w:val="49"/>
    <w:rsid w:val="00495FE3"/>
    <w:rPr>
      <w:rFonts w:ascii="Calibri" w:eastAsia="Calibri" w:hAnsi="Calibri"/>
      <w:sz w:val="22"/>
      <w:szCs w:val="22"/>
      <w:lang w:val="es-CR"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lista4-nfasis522">
    <w:name w:val="Tabla de lista 4 - Énfasis 522"/>
    <w:basedOn w:val="Tablanormal"/>
    <w:next w:val="Tabladelista4-nfasis5"/>
    <w:uiPriority w:val="49"/>
    <w:rsid w:val="00495FE3"/>
    <w:rPr>
      <w:rFonts w:ascii="Calibri" w:eastAsia="Calibri" w:hAnsi="Calibri"/>
      <w:sz w:val="22"/>
      <w:szCs w:val="22"/>
      <w:lang w:val="es-CR"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4-nfasis35">
    <w:name w:val="Tabla de lista 4 - Énfasis 35"/>
    <w:basedOn w:val="Tablanormal"/>
    <w:next w:val="Tabladelista4-nfasis3"/>
    <w:uiPriority w:val="49"/>
    <w:rsid w:val="00495FE3"/>
    <w:rPr>
      <w:lang w:val="es-CR" w:eastAsia="es-C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4-nfasis15">
    <w:name w:val="Tabla de lista 4 - Énfasis 15"/>
    <w:basedOn w:val="Tablanormal"/>
    <w:next w:val="Tabladelista4-nfasis1"/>
    <w:uiPriority w:val="49"/>
    <w:rsid w:val="00495FE3"/>
    <w:rPr>
      <w:lang w:val="es-CR" w:eastAsia="es-C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lista4-nfasis55">
    <w:name w:val="Tabla de lista 4 - Énfasis 55"/>
    <w:basedOn w:val="Tablanormal"/>
    <w:next w:val="Tabladelista4-nfasis5"/>
    <w:uiPriority w:val="49"/>
    <w:rsid w:val="00495FE3"/>
    <w:rPr>
      <w:lang w:val="es-CR" w:eastAsia="es-C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152">
    <w:name w:val="Tabla con cuadrícula152"/>
    <w:basedOn w:val="Tablanormal"/>
    <w:next w:val="Tablaconcuadrcula"/>
    <w:uiPriority w:val="39"/>
    <w:rsid w:val="00495FE3"/>
    <w:rPr>
      <w:lang w:val="es-CR"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2">
    <w:name w:val="Tabla con cuadrícula332"/>
    <w:basedOn w:val="Tablanormal"/>
    <w:next w:val="Tablaconcuadrcula"/>
    <w:uiPriority w:val="59"/>
    <w:rsid w:val="00495FE3"/>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moderna2">
    <w:name w:val="Tabla moderna2"/>
    <w:basedOn w:val="Tablanormal"/>
    <w:next w:val="Tablamoderna"/>
    <w:semiHidden/>
    <w:unhideWhenUsed/>
    <w:rsid w:val="00495FE3"/>
    <w:rPr>
      <w:lang w:val="es-CR" w:eastAsia="es-CR"/>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elegante2">
    <w:name w:val="Tabla elegante2"/>
    <w:basedOn w:val="Tablanormal"/>
    <w:next w:val="Tablaelegante"/>
    <w:semiHidden/>
    <w:unhideWhenUsed/>
    <w:rsid w:val="00495FE3"/>
    <w:rPr>
      <w:lang w:val="es-CR" w:eastAsia="es-CR"/>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aconcuadrcula232">
    <w:name w:val="Tabla con cuadrícula232"/>
    <w:basedOn w:val="Tablanormal"/>
    <w:next w:val="Tablaconcuadrcula"/>
    <w:uiPriority w:val="39"/>
    <w:rsid w:val="00495FE3"/>
    <w:rPr>
      <w:rFonts w:ascii="Arial" w:hAnsi="Arial" w:cs="Arial"/>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12">
    <w:name w:val="Tabla con cuadrícula 4 - Énfasis 112"/>
    <w:basedOn w:val="Tablanormal"/>
    <w:next w:val="Tablaconcuadrcula4-nfasis1"/>
    <w:uiPriority w:val="49"/>
    <w:rsid w:val="00495FE3"/>
    <w:rPr>
      <w:lang w:val="es-CR" w:eastAsia="es-CR"/>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5oscura-nfasis112">
    <w:name w:val="Tabla con cuadrícula 5 oscura - Énfasis 112"/>
    <w:basedOn w:val="Tablanormal"/>
    <w:next w:val="Tablaconcuadrcula5oscura-nfasis1"/>
    <w:uiPriority w:val="50"/>
    <w:rsid w:val="00495FE3"/>
    <w:rPr>
      <w:lang w:val="es-CR" w:eastAsia="es-CR"/>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5oscura-nfasis512">
    <w:name w:val="Tabla con cuadrícula 5 oscura - Énfasis 512"/>
    <w:basedOn w:val="Tablanormal"/>
    <w:next w:val="Tablaconcuadrcula5oscura-nfasis5"/>
    <w:uiPriority w:val="50"/>
    <w:rsid w:val="00495FE3"/>
    <w:rPr>
      <w:lang w:val="es-CR" w:eastAsia="es-CR"/>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lista3-nfasis142">
    <w:name w:val="Tabla de lista 3 - Énfasis 142"/>
    <w:basedOn w:val="Tablanormal"/>
    <w:next w:val="Tabladelista3-nfasis1"/>
    <w:uiPriority w:val="48"/>
    <w:rsid w:val="00495FE3"/>
    <w:rPr>
      <w:rFonts w:ascii="Calibri" w:eastAsia="Calibri" w:hAnsi="Calibri"/>
      <w:lang w:val="es-CR" w:eastAsia="es-CR"/>
    </w:r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concuadrcula2112">
    <w:name w:val="Tabla con cuadrícula2112"/>
    <w:basedOn w:val="Tablanormal"/>
    <w:rsid w:val="00495FE3"/>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4">
    <w:name w:val="Tabla con cuadrícula 4 - Énfasis 14"/>
    <w:basedOn w:val="Tablanormal"/>
    <w:next w:val="Tablaconcuadrcula4-nfasis1"/>
    <w:uiPriority w:val="49"/>
    <w:rsid w:val="00495FE3"/>
    <w:rPr>
      <w:lang w:val="es-CR" w:eastAsia="es-C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5oscura-nfasis14">
    <w:name w:val="Tabla con cuadrícula 5 oscura - Énfasis 14"/>
    <w:basedOn w:val="Tablanormal"/>
    <w:next w:val="Tablaconcuadrcula5oscura-nfasis1"/>
    <w:uiPriority w:val="50"/>
    <w:rsid w:val="00495FE3"/>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concuadrcula5oscura-nfasis54">
    <w:name w:val="Tabla con cuadrícula 5 oscura - Énfasis 54"/>
    <w:basedOn w:val="Tablanormal"/>
    <w:next w:val="Tablaconcuadrcula5oscura-nfasis5"/>
    <w:uiPriority w:val="50"/>
    <w:rsid w:val="00495FE3"/>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adecuadrcula43">
    <w:name w:val="Tabla de cuadrícula 43"/>
    <w:basedOn w:val="Tablanormal"/>
    <w:next w:val="Tabladecuadrcula4"/>
    <w:uiPriority w:val="49"/>
    <w:rsid w:val="00495FE3"/>
    <w:rPr>
      <w:rFonts w:ascii="Calibri" w:eastAsia="Calibri" w:hAnsi="Calibri"/>
      <w:sz w:val="22"/>
      <w:szCs w:val="22"/>
      <w:lang w:eastAsia="en-U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Normal0">
    <w:name w:val="[Normal]"/>
    <w:uiPriority w:val="99"/>
    <w:rsid w:val="00495FE3"/>
    <w:pPr>
      <w:widowControl w:val="0"/>
      <w:autoSpaceDE w:val="0"/>
      <w:autoSpaceDN w:val="0"/>
      <w:adjustRightInd w:val="0"/>
    </w:pPr>
    <w:rPr>
      <w:rFonts w:ascii="Arial" w:hAnsi="Arial" w:cs="Arial"/>
      <w:sz w:val="24"/>
      <w:szCs w:val="24"/>
      <w:lang w:val="x-none" w:eastAsia="es-CR"/>
    </w:rPr>
  </w:style>
  <w:style w:type="numbering" w:customStyle="1" w:styleId="WW8Num22">
    <w:name w:val="WW8Num22"/>
    <w:qFormat/>
    <w:rsid w:val="009073AA"/>
    <w:pPr>
      <w:numPr>
        <w:numId w:val="10"/>
      </w:numPr>
    </w:pPr>
  </w:style>
  <w:style w:type="table" w:customStyle="1" w:styleId="Tablaconcuadrcula431">
    <w:name w:val="Tabla con cuadrícula431"/>
    <w:basedOn w:val="Tablanormal"/>
    <w:next w:val="Tablaconcuadrcula"/>
    <w:uiPriority w:val="39"/>
    <w:rsid w:val="004B1D56"/>
    <w:rPr>
      <w:rFonts w:ascii="Calibri" w:eastAsia="Calibri" w:hAnsi="Calibri"/>
      <w:sz w:val="22"/>
      <w:szCs w:val="22"/>
      <w:lang w:val="es-CR"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connmeros2">
    <w:name w:val="List Number 2"/>
    <w:basedOn w:val="Normal"/>
    <w:uiPriority w:val="99"/>
    <w:unhideWhenUsed/>
    <w:qFormat/>
    <w:rsid w:val="00CE4422"/>
    <w:pPr>
      <w:numPr>
        <w:numId w:val="11"/>
      </w:numPr>
      <w:suppressAutoHyphens w:val="0"/>
      <w:autoSpaceDE w:val="0"/>
      <w:autoSpaceDN w:val="0"/>
      <w:ind w:left="1069"/>
    </w:pPr>
    <w:rPr>
      <w:rFonts w:ascii="Arial" w:eastAsia="Calibri" w:hAnsi="Arial" w:cs="Arial"/>
      <w:lang w:val="es-CR" w:eastAsia="es-ES"/>
    </w:rPr>
  </w:style>
  <w:style w:type="numbering" w:customStyle="1" w:styleId="Sinlista6">
    <w:name w:val="Sin lista6"/>
    <w:next w:val="Sinlista"/>
    <w:uiPriority w:val="99"/>
    <w:semiHidden/>
    <w:unhideWhenUsed/>
    <w:rsid w:val="00B94309"/>
  </w:style>
  <w:style w:type="table" w:customStyle="1" w:styleId="Tabladelista3-nfasis36">
    <w:name w:val="Tabla de lista 3 - Énfasis 36"/>
    <w:basedOn w:val="Tablanormal"/>
    <w:next w:val="Tabladelista3-nfasis3"/>
    <w:uiPriority w:val="48"/>
    <w:rsid w:val="00B94309"/>
    <w:rPr>
      <w:lang w:val="es-CR" w:eastAsia="es-CR"/>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character" w:customStyle="1" w:styleId="contentpasted0">
    <w:name w:val="contentpasted0"/>
    <w:basedOn w:val="Fuentedeprrafopredeter"/>
    <w:rsid w:val="00B94309"/>
  </w:style>
  <w:style w:type="numbering" w:customStyle="1" w:styleId="WWNum31">
    <w:name w:val="WWNum31"/>
    <w:basedOn w:val="Sinlista"/>
    <w:rsid w:val="00B94309"/>
  </w:style>
  <w:style w:type="table" w:customStyle="1" w:styleId="Tablaconcuadrcula18">
    <w:name w:val="Tabla con cuadrícula18"/>
    <w:basedOn w:val="Tablanormal"/>
    <w:next w:val="Tablaconcuadrcula"/>
    <w:uiPriority w:val="39"/>
    <w:rsid w:val="00B94309"/>
    <w:rPr>
      <w:lang w:val="es-CR"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dtulo1">
    <w:name w:val="Tíedtulo 1"/>
    <w:basedOn w:val="Normal"/>
    <w:next w:val="Normal"/>
    <w:uiPriority w:val="99"/>
    <w:rsid w:val="00B94309"/>
    <w:pPr>
      <w:keepNext/>
      <w:suppressAutoHyphens w:val="0"/>
      <w:autoSpaceDE w:val="0"/>
      <w:autoSpaceDN w:val="0"/>
      <w:adjustRightInd w:val="0"/>
      <w:spacing w:before="240" w:after="60"/>
      <w:outlineLvl w:val="0"/>
    </w:pPr>
    <w:rPr>
      <w:rFonts w:ascii="Arial" w:hAnsi="Arial" w:cs="Arial"/>
      <w:b/>
      <w:bCs/>
      <w:kern w:val="1"/>
      <w:sz w:val="32"/>
      <w:szCs w:val="32"/>
      <w:lang w:eastAsia="es-ES"/>
    </w:rPr>
  </w:style>
  <w:style w:type="table" w:customStyle="1" w:styleId="Tablaconcuadrcula26">
    <w:name w:val="Tabla con cuadrícula26"/>
    <w:basedOn w:val="Tablanormal"/>
    <w:next w:val="Tablaconcuadrcula"/>
    <w:rsid w:val="00B94309"/>
    <w:rPr>
      <w:rFonts w:ascii="Arial" w:hAnsi="Arial" w:cs="Arial"/>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3-nfasis17">
    <w:name w:val="Tabla de lista 3 - Énfasis 17"/>
    <w:basedOn w:val="Tablanormal"/>
    <w:next w:val="Tabladelista3-nfasis1"/>
    <w:uiPriority w:val="48"/>
    <w:rsid w:val="00B94309"/>
    <w:rPr>
      <w:rFonts w:ascii="Calibri" w:eastAsia="Calibri" w:hAnsi="Calibri"/>
      <w:lang w:val="es-CR" w:eastAsia="es-CR"/>
    </w:r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concuadrcula214">
    <w:name w:val="Tabla con cuadrícula214"/>
    <w:basedOn w:val="Tablanormal"/>
    <w:rsid w:val="00B94309"/>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15">
    <w:name w:val="Tabla con cuadrícula 4 - Énfasis 15"/>
    <w:basedOn w:val="Tablanormal"/>
    <w:next w:val="Tablaconcuadrcula4-nfasis1"/>
    <w:uiPriority w:val="49"/>
    <w:rsid w:val="00B94309"/>
    <w:rPr>
      <w:lang w:val="es-CR" w:eastAsia="es-CR"/>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5oscura-nfasis15">
    <w:name w:val="Tabla con cuadrícula 5 oscura - Énfasis 15"/>
    <w:basedOn w:val="Tablanormal"/>
    <w:next w:val="Tablaconcuadrcula5oscura-nfasis1"/>
    <w:uiPriority w:val="50"/>
    <w:rsid w:val="00B94309"/>
    <w:rPr>
      <w:lang w:val="es-CR" w:eastAsia="es-C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aconcuadrcula5oscura-nfasis55">
    <w:name w:val="Tabla con cuadrícula 5 oscura - Énfasis 55"/>
    <w:basedOn w:val="Tablanormal"/>
    <w:next w:val="Tablaconcuadrcula5oscura-nfasis5"/>
    <w:uiPriority w:val="50"/>
    <w:rsid w:val="00B94309"/>
    <w:rPr>
      <w:lang w:val="es-CR" w:eastAsia="es-C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Tabladecuadrcula411">
    <w:name w:val="Tabla de cuadrícula 411"/>
    <w:basedOn w:val="Tablanormal"/>
    <w:next w:val="Tabladecuadrcula4"/>
    <w:uiPriority w:val="49"/>
    <w:rsid w:val="00B94309"/>
    <w:rPr>
      <w:rFonts w:ascii="Calibri" w:eastAsia="Calibri" w:hAnsi="Calibri"/>
      <w:sz w:val="22"/>
      <w:szCs w:val="22"/>
      <w:lang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edtulo2">
    <w:name w:val="Tíedtulo 2"/>
    <w:basedOn w:val="Normal"/>
    <w:next w:val="Normal"/>
    <w:rsid w:val="00B94309"/>
    <w:pPr>
      <w:keepNext/>
      <w:numPr>
        <w:ilvl w:val="1"/>
      </w:numPr>
      <w:suppressAutoHyphens w:val="0"/>
      <w:autoSpaceDE w:val="0"/>
      <w:autoSpaceDN w:val="0"/>
      <w:adjustRightInd w:val="0"/>
      <w:spacing w:before="240" w:after="60"/>
      <w:outlineLvl w:val="1"/>
    </w:pPr>
    <w:rPr>
      <w:rFonts w:ascii="Arial" w:hAnsi="Arial" w:cs="Arial"/>
      <w:b/>
      <w:bCs/>
      <w:i/>
      <w:iCs/>
      <w:sz w:val="28"/>
      <w:szCs w:val="28"/>
      <w:lang w:eastAsia="es-ES"/>
    </w:rPr>
  </w:style>
  <w:style w:type="table" w:customStyle="1" w:styleId="Tablaconcuadrcula36">
    <w:name w:val="Tabla con cuadrícula36"/>
    <w:basedOn w:val="Tablanormal"/>
    <w:next w:val="Tablaconcuadrcula"/>
    <w:uiPriority w:val="39"/>
    <w:rsid w:val="00B94309"/>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nfasis1">
    <w:name w:val="Light Shading Accent 1"/>
    <w:basedOn w:val="Tablanormal"/>
    <w:uiPriority w:val="60"/>
    <w:rsid w:val="00B94309"/>
    <w:rPr>
      <w:color w:val="365F91"/>
      <w:lang w:val="es-CR" w:eastAsia="es-C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aelegante11">
    <w:name w:val="Tabla elegante11"/>
    <w:basedOn w:val="Tablanormal"/>
    <w:next w:val="Tablaelegante"/>
    <w:rsid w:val="00B94309"/>
    <w:pPr>
      <w:widowControl w:val="0"/>
      <w:jc w:val="both"/>
    </w:pPr>
    <w:rPr>
      <w:lang w:val="es-CR" w:eastAsia="es-C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moderna11">
    <w:name w:val="Tabla moderna11"/>
    <w:basedOn w:val="Tablanormal"/>
    <w:next w:val="Tablamoderna"/>
    <w:rsid w:val="00B94309"/>
    <w:pPr>
      <w:widowControl w:val="0"/>
      <w:jc w:val="both"/>
    </w:pPr>
    <w:rPr>
      <w:lang w:val="es-CR" w:eastAsia="es-C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clsica2">
    <w:name w:val="Table Classic 2"/>
    <w:basedOn w:val="Tablanormal"/>
    <w:rsid w:val="00B94309"/>
    <w:pPr>
      <w:widowControl w:val="0"/>
      <w:jc w:val="both"/>
    </w:pPr>
    <w:rPr>
      <w:lang w:val="es-CR" w:eastAsia="es-CR"/>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Listaclara-nfasis1">
    <w:name w:val="Light List Accent 1"/>
    <w:basedOn w:val="Tablanormal"/>
    <w:uiPriority w:val="61"/>
    <w:rsid w:val="00B94309"/>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
    <w:name w:val="Light List"/>
    <w:basedOn w:val="Tablanormal"/>
    <w:uiPriority w:val="61"/>
    <w:rsid w:val="00B94309"/>
    <w:rPr>
      <w:lang w:val="es-CR" w:eastAsia="es-C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Sombreadomedio2-nfasis1">
    <w:name w:val="Medium Shading 2 Accent 1"/>
    <w:basedOn w:val="Tablanormal"/>
    <w:uiPriority w:val="64"/>
    <w:rsid w:val="00B94309"/>
    <w:rPr>
      <w:lang w:val="es-CR" w:eastAsia="es-C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uadrculamedia3-nfasis1">
    <w:name w:val="Medium Grid 3 Accent 1"/>
    <w:basedOn w:val="Tablanormal"/>
    <w:uiPriority w:val="69"/>
    <w:rsid w:val="00B94309"/>
    <w:rPr>
      <w:lang w:val="es-CR" w:eastAsia="es-C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Cuadrculamedia2-nfasis1">
    <w:name w:val="Medium Grid 2 Accent 1"/>
    <w:basedOn w:val="Tablanormal"/>
    <w:uiPriority w:val="68"/>
    <w:rsid w:val="00B94309"/>
    <w:rPr>
      <w:rFonts w:ascii="Cambria" w:hAnsi="Cambria"/>
      <w:color w:val="000000"/>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character" w:styleId="Textodelmarcadordeposicin">
    <w:name w:val="Placeholder Text"/>
    <w:basedOn w:val="Fuentedeprrafopredeter"/>
    <w:uiPriority w:val="99"/>
    <w:semiHidden/>
    <w:rsid w:val="00B94309"/>
    <w:rPr>
      <w:color w:val="808080"/>
    </w:rPr>
  </w:style>
  <w:style w:type="paragraph" w:customStyle="1" w:styleId="app-page-detaildocumentany">
    <w:name w:val="app-page-detail_document_any"/>
    <w:basedOn w:val="Normal"/>
    <w:qFormat/>
    <w:rsid w:val="00B94309"/>
    <w:pPr>
      <w:widowControl w:val="0"/>
      <w:suppressAutoHyphens w:val="0"/>
      <w:spacing w:line="300" w:lineRule="atLeast"/>
    </w:pPr>
    <w:rPr>
      <w:rFonts w:ascii="Arial" w:hAnsi="Arial" w:cs="Arial"/>
      <w:color w:val="000000"/>
      <w:sz w:val="21"/>
      <w:szCs w:val="21"/>
      <w:lang w:val="es-CR" w:eastAsia="es-CR"/>
    </w:rPr>
  </w:style>
  <w:style w:type="character" w:customStyle="1" w:styleId="app-page-detaildocumentanyCharacter">
    <w:name w:val="app-page-detail_document_any Character"/>
    <w:basedOn w:val="Fuentedeprrafopredeter"/>
    <w:qFormat/>
    <w:rsid w:val="00B94309"/>
    <w:rPr>
      <w:rFonts w:ascii="Arial" w:eastAsia="Times New Roman" w:hAnsi="Arial" w:cs="Arial"/>
      <w:color w:val="000000"/>
      <w:sz w:val="21"/>
      <w:szCs w:val="21"/>
    </w:rPr>
  </w:style>
  <w:style w:type="character" w:customStyle="1" w:styleId="Piedepe1ginaCar">
    <w:name w:val="Pie de páe1gina Car"/>
    <w:basedOn w:val="Fuentedeprrafopredeter"/>
    <w:uiPriority w:val="99"/>
    <w:rsid w:val="00B94309"/>
  </w:style>
  <w:style w:type="character" w:customStyle="1" w:styleId="Tedtulo1Car">
    <w:name w:val="Tíedtulo 1 Car"/>
    <w:basedOn w:val="Fuentedeprrafopredeter"/>
    <w:uiPriority w:val="99"/>
    <w:rsid w:val="00B94309"/>
    <w:rPr>
      <w:rFonts w:ascii="Arial" w:eastAsia="Times New Roman" w:hAnsi="Arial" w:cs="Arial"/>
      <w:b/>
      <w:bCs/>
      <w:kern w:val="1"/>
      <w:sz w:val="32"/>
      <w:szCs w:val="32"/>
      <w:lang w:val="es-ES" w:eastAsia="es-ES"/>
    </w:rPr>
  </w:style>
  <w:style w:type="character" w:customStyle="1" w:styleId="Tedtulo2Car">
    <w:name w:val="Tíedtulo 2 Car"/>
    <w:basedOn w:val="Fuentedeprrafopredeter"/>
    <w:uiPriority w:val="99"/>
    <w:rsid w:val="00B94309"/>
    <w:rPr>
      <w:rFonts w:ascii="Arial" w:eastAsia="Times New Roman" w:hAnsi="Arial" w:cs="Arial"/>
      <w:b/>
      <w:bCs/>
      <w:i/>
      <w:iCs/>
      <w:sz w:val="28"/>
      <w:szCs w:val="28"/>
      <w:lang w:val="es-ES" w:eastAsia="es-ES"/>
    </w:rPr>
  </w:style>
  <w:style w:type="character" w:customStyle="1" w:styleId="Fuentedeprrafopredeter4">
    <w:name w:val="Fuente de párrafo predeter.4"/>
    <w:qFormat/>
    <w:rsid w:val="00B94309"/>
  </w:style>
  <w:style w:type="character" w:customStyle="1" w:styleId="WW8Num2z3">
    <w:name w:val="WW8Num2z3"/>
    <w:qFormat/>
    <w:rsid w:val="00B94309"/>
    <w:rPr>
      <w:rFonts w:ascii="Symbol" w:hAnsi="Symbol" w:cs="Symbol" w:hint="default"/>
    </w:rPr>
  </w:style>
  <w:style w:type="character" w:customStyle="1" w:styleId="WW8Num10z4">
    <w:name w:val="WW8Num10z4"/>
    <w:qFormat/>
    <w:rsid w:val="00B94309"/>
  </w:style>
  <w:style w:type="character" w:customStyle="1" w:styleId="WW8Num10z5">
    <w:name w:val="WW8Num10z5"/>
    <w:qFormat/>
    <w:rsid w:val="00B94309"/>
  </w:style>
  <w:style w:type="character" w:customStyle="1" w:styleId="WW8Num10z6">
    <w:name w:val="WW8Num10z6"/>
    <w:qFormat/>
    <w:rsid w:val="00B94309"/>
  </w:style>
  <w:style w:type="character" w:customStyle="1" w:styleId="WW8Num10z7">
    <w:name w:val="WW8Num10z7"/>
    <w:qFormat/>
    <w:rsid w:val="00B94309"/>
  </w:style>
  <w:style w:type="character" w:customStyle="1" w:styleId="WW8Num10z8">
    <w:name w:val="WW8Num10z8"/>
    <w:qFormat/>
    <w:rsid w:val="00B94309"/>
  </w:style>
  <w:style w:type="character" w:customStyle="1" w:styleId="WW8Num12z0">
    <w:name w:val="WW8Num12z0"/>
    <w:qFormat/>
    <w:rsid w:val="00B94309"/>
    <w:rPr>
      <w:rFonts w:ascii="Symbol" w:hAnsi="Symbol" w:cs="Symbol" w:hint="default"/>
    </w:rPr>
  </w:style>
  <w:style w:type="character" w:customStyle="1" w:styleId="WW8Num12z1">
    <w:name w:val="WW8Num12z1"/>
    <w:qFormat/>
    <w:rsid w:val="00B94309"/>
    <w:rPr>
      <w:rFonts w:ascii="Courier New" w:hAnsi="Courier New" w:cs="Courier New" w:hint="default"/>
    </w:rPr>
  </w:style>
  <w:style w:type="character" w:customStyle="1" w:styleId="WW8Num12z2">
    <w:name w:val="WW8Num12z2"/>
    <w:qFormat/>
    <w:rsid w:val="00B94309"/>
    <w:rPr>
      <w:rFonts w:ascii="Wingdings" w:hAnsi="Wingdings" w:cs="Wingdings" w:hint="default"/>
    </w:rPr>
  </w:style>
  <w:style w:type="character" w:customStyle="1" w:styleId="WW8Num13z1">
    <w:name w:val="WW8Num13z1"/>
    <w:qFormat/>
    <w:rsid w:val="00B94309"/>
    <w:rPr>
      <w:rFonts w:ascii="Courier New" w:hAnsi="Courier New" w:cs="Courier New" w:hint="default"/>
    </w:rPr>
  </w:style>
  <w:style w:type="character" w:customStyle="1" w:styleId="WW8Num13z2">
    <w:name w:val="WW8Num13z2"/>
    <w:qFormat/>
    <w:rsid w:val="00B94309"/>
    <w:rPr>
      <w:rFonts w:ascii="Wingdings" w:hAnsi="Wingdings" w:cs="Wingdings" w:hint="default"/>
    </w:rPr>
  </w:style>
  <w:style w:type="character" w:customStyle="1" w:styleId="WW8Num14z0">
    <w:name w:val="WW8Num14z0"/>
    <w:qFormat/>
    <w:rsid w:val="00B94309"/>
    <w:rPr>
      <w:rFonts w:ascii="STKaiti" w:eastAsia="STKaiti" w:hAnsi="STKaiti" w:cs="STKaiti" w:hint="eastAsia"/>
    </w:rPr>
  </w:style>
  <w:style w:type="character" w:customStyle="1" w:styleId="WW8Num14z1">
    <w:name w:val="WW8Num14z1"/>
    <w:qFormat/>
    <w:rsid w:val="00B94309"/>
    <w:rPr>
      <w:rFonts w:ascii="Courier New" w:hAnsi="Courier New" w:cs="Courier New" w:hint="default"/>
    </w:rPr>
  </w:style>
  <w:style w:type="character" w:customStyle="1" w:styleId="WW8Num14z2">
    <w:name w:val="WW8Num14z2"/>
    <w:qFormat/>
    <w:rsid w:val="00B94309"/>
    <w:rPr>
      <w:rFonts w:ascii="Wingdings" w:hAnsi="Wingdings" w:cs="Wingdings" w:hint="default"/>
    </w:rPr>
  </w:style>
  <w:style w:type="character" w:customStyle="1" w:styleId="WW8Num14z3">
    <w:name w:val="WW8Num14z3"/>
    <w:qFormat/>
    <w:rsid w:val="00B94309"/>
    <w:rPr>
      <w:rFonts w:ascii="Symbol" w:hAnsi="Symbol" w:cs="Symbol" w:hint="default"/>
    </w:rPr>
  </w:style>
  <w:style w:type="character" w:customStyle="1" w:styleId="WW8Num15z0">
    <w:name w:val="WW8Num15z0"/>
    <w:qFormat/>
    <w:rsid w:val="00B94309"/>
    <w:rPr>
      <w:rFonts w:hint="default"/>
    </w:rPr>
  </w:style>
  <w:style w:type="character" w:customStyle="1" w:styleId="WW8Num16z0">
    <w:name w:val="WW8Num16z0"/>
    <w:qFormat/>
    <w:rsid w:val="00B94309"/>
    <w:rPr>
      <w:rFonts w:ascii="Wingdings" w:hAnsi="Wingdings" w:cs="Wingdings" w:hint="default"/>
    </w:rPr>
  </w:style>
  <w:style w:type="character" w:customStyle="1" w:styleId="WW8Num17z0">
    <w:name w:val="WW8Num17z0"/>
    <w:qFormat/>
    <w:rsid w:val="00B94309"/>
  </w:style>
  <w:style w:type="character" w:customStyle="1" w:styleId="WW8Num17z1">
    <w:name w:val="WW8Num17z1"/>
    <w:qFormat/>
    <w:rsid w:val="00B94309"/>
  </w:style>
  <w:style w:type="character" w:customStyle="1" w:styleId="WW8Num17z2">
    <w:name w:val="WW8Num17z2"/>
    <w:qFormat/>
    <w:rsid w:val="00B94309"/>
  </w:style>
  <w:style w:type="character" w:customStyle="1" w:styleId="WW8Num17z3">
    <w:name w:val="WW8Num17z3"/>
    <w:rsid w:val="00B94309"/>
  </w:style>
  <w:style w:type="character" w:customStyle="1" w:styleId="WW8Num17z4">
    <w:name w:val="WW8Num17z4"/>
    <w:rsid w:val="00B94309"/>
  </w:style>
  <w:style w:type="character" w:customStyle="1" w:styleId="WW8Num17z5">
    <w:name w:val="WW8Num17z5"/>
    <w:rsid w:val="00B94309"/>
  </w:style>
  <w:style w:type="character" w:customStyle="1" w:styleId="WW8Num17z6">
    <w:name w:val="WW8Num17z6"/>
    <w:rsid w:val="00B94309"/>
  </w:style>
  <w:style w:type="character" w:customStyle="1" w:styleId="WW8Num17z7">
    <w:name w:val="WW8Num17z7"/>
    <w:rsid w:val="00B94309"/>
  </w:style>
  <w:style w:type="character" w:customStyle="1" w:styleId="WW8Num17z8">
    <w:name w:val="WW8Num17z8"/>
    <w:rsid w:val="00B94309"/>
  </w:style>
  <w:style w:type="character" w:customStyle="1" w:styleId="WW8Num18z0">
    <w:name w:val="WW8Num18z0"/>
    <w:qFormat/>
    <w:rsid w:val="00B94309"/>
  </w:style>
  <w:style w:type="character" w:customStyle="1" w:styleId="WW8Num18z1">
    <w:name w:val="WW8Num18z1"/>
    <w:qFormat/>
    <w:rsid w:val="00B94309"/>
  </w:style>
  <w:style w:type="character" w:customStyle="1" w:styleId="WW8Num18z2">
    <w:name w:val="WW8Num18z2"/>
    <w:qFormat/>
    <w:rsid w:val="00B94309"/>
  </w:style>
  <w:style w:type="character" w:customStyle="1" w:styleId="WW8Num18z3">
    <w:name w:val="WW8Num18z3"/>
    <w:rsid w:val="00B94309"/>
  </w:style>
  <w:style w:type="character" w:customStyle="1" w:styleId="WW8Num18z4">
    <w:name w:val="WW8Num18z4"/>
    <w:rsid w:val="00B94309"/>
  </w:style>
  <w:style w:type="character" w:customStyle="1" w:styleId="WW8Num18z5">
    <w:name w:val="WW8Num18z5"/>
    <w:rsid w:val="00B94309"/>
  </w:style>
  <w:style w:type="character" w:customStyle="1" w:styleId="WW8Num18z6">
    <w:name w:val="WW8Num18z6"/>
    <w:rsid w:val="00B94309"/>
  </w:style>
  <w:style w:type="character" w:customStyle="1" w:styleId="WW8Num18z7">
    <w:name w:val="WW8Num18z7"/>
    <w:rsid w:val="00B94309"/>
  </w:style>
  <w:style w:type="character" w:customStyle="1" w:styleId="WW8Num18z8">
    <w:name w:val="WW8Num18z8"/>
    <w:rsid w:val="00B94309"/>
  </w:style>
  <w:style w:type="character" w:customStyle="1" w:styleId="WW8Num19z0">
    <w:name w:val="WW8Num19z0"/>
    <w:qFormat/>
    <w:rsid w:val="00B94309"/>
    <w:rPr>
      <w:rFonts w:hint="default"/>
    </w:rPr>
  </w:style>
  <w:style w:type="character" w:customStyle="1" w:styleId="WW8Num20z0">
    <w:name w:val="WW8Num20z0"/>
    <w:qFormat/>
    <w:rsid w:val="00B94309"/>
    <w:rPr>
      <w:rFonts w:hint="default"/>
      <w:sz w:val="20"/>
    </w:rPr>
  </w:style>
  <w:style w:type="character" w:customStyle="1" w:styleId="WW8Num20z1">
    <w:name w:val="WW8Num20z1"/>
    <w:qFormat/>
    <w:rsid w:val="00B94309"/>
    <w:rPr>
      <w:rFonts w:ascii="Symbol" w:hAnsi="Symbol" w:cs="Symbol" w:hint="default"/>
      <w:sz w:val="20"/>
    </w:rPr>
  </w:style>
  <w:style w:type="character" w:customStyle="1" w:styleId="WW8Num21z0">
    <w:name w:val="WW8Num21z0"/>
    <w:qFormat/>
    <w:rsid w:val="00B94309"/>
    <w:rPr>
      <w:rFonts w:cs="Arial" w:hint="default"/>
      <w:lang w:val="es-ES"/>
    </w:rPr>
  </w:style>
  <w:style w:type="character" w:customStyle="1" w:styleId="WW8Num21z1">
    <w:name w:val="WW8Num21z1"/>
    <w:qFormat/>
    <w:rsid w:val="00B94309"/>
  </w:style>
  <w:style w:type="character" w:customStyle="1" w:styleId="WW8Num21z2">
    <w:name w:val="WW8Num21z2"/>
    <w:qFormat/>
    <w:rsid w:val="00B94309"/>
  </w:style>
  <w:style w:type="character" w:customStyle="1" w:styleId="WW8Num21z3">
    <w:name w:val="WW8Num21z3"/>
    <w:qFormat/>
    <w:rsid w:val="00B94309"/>
  </w:style>
  <w:style w:type="character" w:customStyle="1" w:styleId="WW8Num21z4">
    <w:name w:val="WW8Num21z4"/>
    <w:qFormat/>
    <w:rsid w:val="00B94309"/>
  </w:style>
  <w:style w:type="character" w:customStyle="1" w:styleId="WW8Num21z5">
    <w:name w:val="WW8Num21z5"/>
    <w:qFormat/>
    <w:rsid w:val="00B94309"/>
  </w:style>
  <w:style w:type="character" w:customStyle="1" w:styleId="WW8Num21z6">
    <w:name w:val="WW8Num21z6"/>
    <w:qFormat/>
    <w:rsid w:val="00B94309"/>
  </w:style>
  <w:style w:type="character" w:customStyle="1" w:styleId="WW8Num21z7">
    <w:name w:val="WW8Num21z7"/>
    <w:qFormat/>
    <w:rsid w:val="00B94309"/>
  </w:style>
  <w:style w:type="character" w:customStyle="1" w:styleId="WW8Num21z8">
    <w:name w:val="WW8Num21z8"/>
    <w:qFormat/>
    <w:rsid w:val="00B94309"/>
  </w:style>
  <w:style w:type="character" w:customStyle="1" w:styleId="WW8Num22z0">
    <w:name w:val="WW8Num22z0"/>
    <w:qFormat/>
    <w:rsid w:val="00B94309"/>
    <w:rPr>
      <w:rFonts w:hint="default"/>
    </w:rPr>
  </w:style>
  <w:style w:type="character" w:customStyle="1" w:styleId="WW8Num22z1">
    <w:name w:val="WW8Num22z1"/>
    <w:qFormat/>
    <w:rsid w:val="00B94309"/>
  </w:style>
  <w:style w:type="character" w:customStyle="1" w:styleId="WW8Num22z2">
    <w:name w:val="WW8Num22z2"/>
    <w:qFormat/>
    <w:rsid w:val="00B94309"/>
  </w:style>
  <w:style w:type="character" w:customStyle="1" w:styleId="WW8Num22z3">
    <w:name w:val="WW8Num22z3"/>
    <w:qFormat/>
    <w:rsid w:val="00B94309"/>
  </w:style>
  <w:style w:type="character" w:customStyle="1" w:styleId="WW8Num22z4">
    <w:name w:val="WW8Num22z4"/>
    <w:qFormat/>
    <w:rsid w:val="00B94309"/>
  </w:style>
  <w:style w:type="character" w:customStyle="1" w:styleId="WW8Num22z5">
    <w:name w:val="WW8Num22z5"/>
    <w:qFormat/>
    <w:rsid w:val="00B94309"/>
  </w:style>
  <w:style w:type="character" w:customStyle="1" w:styleId="WW8Num22z6">
    <w:name w:val="WW8Num22z6"/>
    <w:qFormat/>
    <w:rsid w:val="00B94309"/>
  </w:style>
  <w:style w:type="character" w:customStyle="1" w:styleId="WW8Num22z7">
    <w:name w:val="WW8Num22z7"/>
    <w:qFormat/>
    <w:rsid w:val="00B94309"/>
  </w:style>
  <w:style w:type="character" w:customStyle="1" w:styleId="WW8Num22z8">
    <w:name w:val="WW8Num22z8"/>
    <w:qFormat/>
    <w:rsid w:val="00B94309"/>
  </w:style>
  <w:style w:type="character" w:customStyle="1" w:styleId="WW8Num23z1">
    <w:name w:val="WW8Num23z1"/>
    <w:qFormat/>
    <w:rsid w:val="00B94309"/>
  </w:style>
  <w:style w:type="character" w:customStyle="1" w:styleId="WW8Num23z2">
    <w:name w:val="WW8Num23z2"/>
    <w:qFormat/>
    <w:rsid w:val="00B94309"/>
  </w:style>
  <w:style w:type="character" w:customStyle="1" w:styleId="WW8Num23z3">
    <w:name w:val="WW8Num23z3"/>
    <w:qFormat/>
    <w:rsid w:val="00B94309"/>
  </w:style>
  <w:style w:type="character" w:customStyle="1" w:styleId="WW8Num23z4">
    <w:name w:val="WW8Num23z4"/>
    <w:qFormat/>
    <w:rsid w:val="00B94309"/>
  </w:style>
  <w:style w:type="character" w:customStyle="1" w:styleId="WW8Num23z5">
    <w:name w:val="WW8Num23z5"/>
    <w:qFormat/>
    <w:rsid w:val="00B94309"/>
  </w:style>
  <w:style w:type="character" w:customStyle="1" w:styleId="WW8Num23z6">
    <w:name w:val="WW8Num23z6"/>
    <w:qFormat/>
    <w:rsid w:val="00B94309"/>
  </w:style>
  <w:style w:type="character" w:customStyle="1" w:styleId="WW8Num23z7">
    <w:name w:val="WW8Num23z7"/>
    <w:qFormat/>
    <w:rsid w:val="00B94309"/>
  </w:style>
  <w:style w:type="character" w:customStyle="1" w:styleId="WW8Num23z8">
    <w:name w:val="WW8Num23z8"/>
    <w:qFormat/>
    <w:rsid w:val="00B94309"/>
  </w:style>
  <w:style w:type="character" w:customStyle="1" w:styleId="WW8Num24z0">
    <w:name w:val="WW8Num24z0"/>
    <w:qFormat/>
    <w:rsid w:val="00B94309"/>
    <w:rPr>
      <w:rFonts w:hint="default"/>
    </w:rPr>
  </w:style>
  <w:style w:type="character" w:customStyle="1" w:styleId="WW8Num24z1">
    <w:name w:val="WW8Num24z1"/>
    <w:qFormat/>
    <w:rsid w:val="00B94309"/>
  </w:style>
  <w:style w:type="character" w:customStyle="1" w:styleId="WW8Num24z2">
    <w:name w:val="WW8Num24z2"/>
    <w:qFormat/>
    <w:rsid w:val="00B94309"/>
  </w:style>
  <w:style w:type="character" w:customStyle="1" w:styleId="WW8Num24z3">
    <w:name w:val="WW8Num24z3"/>
    <w:qFormat/>
    <w:rsid w:val="00B94309"/>
  </w:style>
  <w:style w:type="character" w:customStyle="1" w:styleId="WW8Num24z4">
    <w:name w:val="WW8Num24z4"/>
    <w:qFormat/>
    <w:rsid w:val="00B94309"/>
  </w:style>
  <w:style w:type="character" w:customStyle="1" w:styleId="WW8Num24z5">
    <w:name w:val="WW8Num24z5"/>
    <w:qFormat/>
    <w:rsid w:val="00B94309"/>
  </w:style>
  <w:style w:type="character" w:customStyle="1" w:styleId="WW8Num24z6">
    <w:name w:val="WW8Num24z6"/>
    <w:qFormat/>
    <w:rsid w:val="00B94309"/>
  </w:style>
  <w:style w:type="character" w:customStyle="1" w:styleId="WW8Num24z7">
    <w:name w:val="WW8Num24z7"/>
    <w:qFormat/>
    <w:rsid w:val="00B94309"/>
  </w:style>
  <w:style w:type="character" w:customStyle="1" w:styleId="WW8Num24z8">
    <w:name w:val="WW8Num24z8"/>
    <w:qFormat/>
    <w:rsid w:val="00B94309"/>
  </w:style>
  <w:style w:type="character" w:customStyle="1" w:styleId="WW8Num25z1">
    <w:name w:val="WW8Num25z1"/>
    <w:qFormat/>
    <w:rsid w:val="00B94309"/>
    <w:rPr>
      <w:rFonts w:ascii="Courier New" w:hAnsi="Courier New" w:cs="Courier New" w:hint="default"/>
    </w:rPr>
  </w:style>
  <w:style w:type="character" w:customStyle="1" w:styleId="WW8Num25z2">
    <w:name w:val="WW8Num25z2"/>
    <w:qFormat/>
    <w:rsid w:val="00B94309"/>
    <w:rPr>
      <w:rFonts w:ascii="Wingdings" w:hAnsi="Wingdings" w:cs="Wingdings" w:hint="default"/>
    </w:rPr>
  </w:style>
  <w:style w:type="character" w:customStyle="1" w:styleId="WW8Num26z0">
    <w:name w:val="WW8Num26z0"/>
    <w:qFormat/>
    <w:rsid w:val="00B94309"/>
    <w:rPr>
      <w:rFonts w:hint="default"/>
      <w:sz w:val="22"/>
      <w:szCs w:val="22"/>
    </w:rPr>
  </w:style>
  <w:style w:type="character" w:customStyle="1" w:styleId="WW8Num26z1">
    <w:name w:val="WW8Num26z1"/>
    <w:qFormat/>
    <w:rsid w:val="00B94309"/>
  </w:style>
  <w:style w:type="character" w:customStyle="1" w:styleId="WW8Num26z2">
    <w:name w:val="WW8Num26z2"/>
    <w:qFormat/>
    <w:rsid w:val="00B94309"/>
  </w:style>
  <w:style w:type="character" w:customStyle="1" w:styleId="WW8Num26z3">
    <w:name w:val="WW8Num26z3"/>
    <w:qFormat/>
    <w:rsid w:val="00B94309"/>
  </w:style>
  <w:style w:type="character" w:customStyle="1" w:styleId="WW8Num26z4">
    <w:name w:val="WW8Num26z4"/>
    <w:qFormat/>
    <w:rsid w:val="00B94309"/>
  </w:style>
  <w:style w:type="character" w:customStyle="1" w:styleId="WW8Num26z5">
    <w:name w:val="WW8Num26z5"/>
    <w:qFormat/>
    <w:rsid w:val="00B94309"/>
  </w:style>
  <w:style w:type="character" w:customStyle="1" w:styleId="WW8Num26z6">
    <w:name w:val="WW8Num26z6"/>
    <w:qFormat/>
    <w:rsid w:val="00B94309"/>
  </w:style>
  <w:style w:type="character" w:customStyle="1" w:styleId="WW8Num26z7">
    <w:name w:val="WW8Num26z7"/>
    <w:qFormat/>
    <w:rsid w:val="00B94309"/>
  </w:style>
  <w:style w:type="character" w:customStyle="1" w:styleId="WW8Num26z8">
    <w:name w:val="WW8Num26z8"/>
    <w:qFormat/>
    <w:rsid w:val="00B94309"/>
  </w:style>
  <w:style w:type="character" w:customStyle="1" w:styleId="WW8Num27z0">
    <w:name w:val="WW8Num27z0"/>
    <w:qFormat/>
    <w:rsid w:val="00B94309"/>
    <w:rPr>
      <w:rFonts w:hint="default"/>
    </w:rPr>
  </w:style>
  <w:style w:type="character" w:customStyle="1" w:styleId="WW8Num27z1">
    <w:name w:val="WW8Num27z1"/>
    <w:qFormat/>
    <w:rsid w:val="00B94309"/>
  </w:style>
  <w:style w:type="character" w:customStyle="1" w:styleId="WW8Num27z2">
    <w:name w:val="WW8Num27z2"/>
    <w:qFormat/>
    <w:rsid w:val="00B94309"/>
  </w:style>
  <w:style w:type="character" w:customStyle="1" w:styleId="WW8Num27z3">
    <w:name w:val="WW8Num27z3"/>
    <w:qFormat/>
    <w:rsid w:val="00B94309"/>
  </w:style>
  <w:style w:type="character" w:customStyle="1" w:styleId="WW8Num27z4">
    <w:name w:val="WW8Num27z4"/>
    <w:qFormat/>
    <w:rsid w:val="00B94309"/>
  </w:style>
  <w:style w:type="character" w:customStyle="1" w:styleId="WW8Num27z5">
    <w:name w:val="WW8Num27z5"/>
    <w:qFormat/>
    <w:rsid w:val="00B94309"/>
  </w:style>
  <w:style w:type="character" w:customStyle="1" w:styleId="WW8Num27z6">
    <w:name w:val="WW8Num27z6"/>
    <w:qFormat/>
    <w:rsid w:val="00B94309"/>
  </w:style>
  <w:style w:type="character" w:customStyle="1" w:styleId="WW8Num27z7">
    <w:name w:val="WW8Num27z7"/>
    <w:qFormat/>
    <w:rsid w:val="00B94309"/>
  </w:style>
  <w:style w:type="character" w:customStyle="1" w:styleId="WW8Num27z8">
    <w:name w:val="WW8Num27z8"/>
    <w:qFormat/>
    <w:rsid w:val="00B94309"/>
  </w:style>
  <w:style w:type="character" w:customStyle="1" w:styleId="WW8Num28z0">
    <w:name w:val="WW8Num28z0"/>
    <w:qFormat/>
    <w:rsid w:val="00B94309"/>
    <w:rPr>
      <w:rFonts w:ascii="Symbol" w:hAnsi="Symbol" w:cs="Symbol" w:hint="default"/>
    </w:rPr>
  </w:style>
  <w:style w:type="character" w:customStyle="1" w:styleId="WW8Num28z1">
    <w:name w:val="WW8Num28z1"/>
    <w:qFormat/>
    <w:rsid w:val="00B94309"/>
    <w:rPr>
      <w:rFonts w:ascii="Courier New" w:hAnsi="Courier New" w:cs="Courier New" w:hint="default"/>
    </w:rPr>
  </w:style>
  <w:style w:type="character" w:customStyle="1" w:styleId="WW8Num28z2">
    <w:name w:val="WW8Num28z2"/>
    <w:qFormat/>
    <w:rsid w:val="00B94309"/>
    <w:rPr>
      <w:rFonts w:ascii="Wingdings" w:hAnsi="Wingdings" w:cs="Wingdings" w:hint="default"/>
    </w:rPr>
  </w:style>
  <w:style w:type="character" w:customStyle="1" w:styleId="WW8Num29z0">
    <w:name w:val="WW8Num29z0"/>
    <w:qFormat/>
    <w:rsid w:val="00B94309"/>
    <w:rPr>
      <w:rFonts w:hint="default"/>
    </w:rPr>
  </w:style>
  <w:style w:type="character" w:customStyle="1" w:styleId="WW8Num30z0">
    <w:name w:val="WW8Num30z0"/>
    <w:qFormat/>
    <w:rsid w:val="00B94309"/>
  </w:style>
  <w:style w:type="character" w:customStyle="1" w:styleId="WW8Num30z1">
    <w:name w:val="WW8Num30z1"/>
    <w:qFormat/>
    <w:rsid w:val="00B94309"/>
  </w:style>
  <w:style w:type="character" w:customStyle="1" w:styleId="WW8Num30z2">
    <w:name w:val="WW8Num30z2"/>
    <w:qFormat/>
    <w:rsid w:val="00B94309"/>
  </w:style>
  <w:style w:type="character" w:customStyle="1" w:styleId="WW8Num30z3">
    <w:name w:val="WW8Num30z3"/>
    <w:qFormat/>
    <w:rsid w:val="00B94309"/>
  </w:style>
  <w:style w:type="character" w:customStyle="1" w:styleId="WW8Num30z4">
    <w:name w:val="WW8Num30z4"/>
    <w:qFormat/>
    <w:rsid w:val="00B94309"/>
  </w:style>
  <w:style w:type="character" w:customStyle="1" w:styleId="WW8Num30z5">
    <w:name w:val="WW8Num30z5"/>
    <w:qFormat/>
    <w:rsid w:val="00B94309"/>
  </w:style>
  <w:style w:type="character" w:customStyle="1" w:styleId="WW8Num30z6">
    <w:name w:val="WW8Num30z6"/>
    <w:qFormat/>
    <w:rsid w:val="00B94309"/>
  </w:style>
  <w:style w:type="character" w:customStyle="1" w:styleId="WW8Num30z7">
    <w:name w:val="WW8Num30z7"/>
    <w:qFormat/>
    <w:rsid w:val="00B94309"/>
  </w:style>
  <w:style w:type="character" w:customStyle="1" w:styleId="WW8Num30z8">
    <w:name w:val="WW8Num30z8"/>
    <w:qFormat/>
    <w:rsid w:val="00B94309"/>
  </w:style>
  <w:style w:type="character" w:customStyle="1" w:styleId="WW8Num31z0">
    <w:name w:val="WW8Num31z0"/>
    <w:qFormat/>
    <w:rsid w:val="00B94309"/>
    <w:rPr>
      <w:rFonts w:hint="default"/>
      <w:b/>
    </w:rPr>
  </w:style>
  <w:style w:type="character" w:customStyle="1" w:styleId="WW8Num31z1">
    <w:name w:val="WW8Num31z1"/>
    <w:qFormat/>
    <w:rsid w:val="00B94309"/>
    <w:rPr>
      <w:rFonts w:hint="default"/>
    </w:rPr>
  </w:style>
  <w:style w:type="character" w:customStyle="1" w:styleId="WW8Num32z0">
    <w:name w:val="WW8Num32z0"/>
    <w:qFormat/>
    <w:rsid w:val="00B94309"/>
    <w:rPr>
      <w:rFonts w:hint="default"/>
    </w:rPr>
  </w:style>
  <w:style w:type="character" w:customStyle="1" w:styleId="WW8Num33z0">
    <w:name w:val="WW8Num33z0"/>
    <w:qFormat/>
    <w:rsid w:val="00B94309"/>
    <w:rPr>
      <w:rFonts w:hint="default"/>
    </w:rPr>
  </w:style>
  <w:style w:type="character" w:customStyle="1" w:styleId="WW8Num34z0">
    <w:name w:val="WW8Num34z0"/>
    <w:qFormat/>
    <w:rsid w:val="00B94309"/>
    <w:rPr>
      <w:rFonts w:hint="default"/>
    </w:rPr>
  </w:style>
  <w:style w:type="character" w:customStyle="1" w:styleId="WW8Num34z1">
    <w:name w:val="WW8Num34z1"/>
    <w:qFormat/>
    <w:rsid w:val="00B94309"/>
  </w:style>
  <w:style w:type="character" w:customStyle="1" w:styleId="WW8Num34z2">
    <w:name w:val="WW8Num34z2"/>
    <w:qFormat/>
    <w:rsid w:val="00B94309"/>
  </w:style>
  <w:style w:type="character" w:customStyle="1" w:styleId="WW8Num34z3">
    <w:name w:val="WW8Num34z3"/>
    <w:qFormat/>
    <w:rsid w:val="00B94309"/>
  </w:style>
  <w:style w:type="character" w:customStyle="1" w:styleId="WW8Num34z4">
    <w:name w:val="WW8Num34z4"/>
    <w:qFormat/>
    <w:rsid w:val="00B94309"/>
  </w:style>
  <w:style w:type="character" w:customStyle="1" w:styleId="WW8Num34z5">
    <w:name w:val="WW8Num34z5"/>
    <w:qFormat/>
    <w:rsid w:val="00B94309"/>
  </w:style>
  <w:style w:type="character" w:customStyle="1" w:styleId="WW8Num34z6">
    <w:name w:val="WW8Num34z6"/>
    <w:qFormat/>
    <w:rsid w:val="00B94309"/>
  </w:style>
  <w:style w:type="character" w:customStyle="1" w:styleId="WW8Num34z7">
    <w:name w:val="WW8Num34z7"/>
    <w:qFormat/>
    <w:rsid w:val="00B94309"/>
  </w:style>
  <w:style w:type="character" w:customStyle="1" w:styleId="WW8Num34z8">
    <w:name w:val="WW8Num34z8"/>
    <w:qFormat/>
    <w:rsid w:val="00B94309"/>
  </w:style>
  <w:style w:type="character" w:customStyle="1" w:styleId="WW8Num35z0">
    <w:name w:val="WW8Num35z0"/>
    <w:qFormat/>
    <w:rsid w:val="00B94309"/>
    <w:rPr>
      <w:rFonts w:hint="default"/>
      <w:sz w:val="22"/>
      <w:szCs w:val="22"/>
    </w:rPr>
  </w:style>
  <w:style w:type="character" w:customStyle="1" w:styleId="WW8Num35z1">
    <w:name w:val="WW8Num35z1"/>
    <w:qFormat/>
    <w:rsid w:val="00B94309"/>
  </w:style>
  <w:style w:type="character" w:customStyle="1" w:styleId="WW8Num35z2">
    <w:name w:val="WW8Num35z2"/>
    <w:qFormat/>
    <w:rsid w:val="00B94309"/>
  </w:style>
  <w:style w:type="character" w:customStyle="1" w:styleId="WW8Num35z3">
    <w:name w:val="WW8Num35z3"/>
    <w:qFormat/>
    <w:rsid w:val="00B94309"/>
  </w:style>
  <w:style w:type="character" w:customStyle="1" w:styleId="WW8Num35z4">
    <w:name w:val="WW8Num35z4"/>
    <w:qFormat/>
    <w:rsid w:val="00B94309"/>
  </w:style>
  <w:style w:type="character" w:customStyle="1" w:styleId="WW8Num35z5">
    <w:name w:val="WW8Num35z5"/>
    <w:qFormat/>
    <w:rsid w:val="00B94309"/>
  </w:style>
  <w:style w:type="character" w:customStyle="1" w:styleId="WW8Num35z6">
    <w:name w:val="WW8Num35z6"/>
    <w:qFormat/>
    <w:rsid w:val="00B94309"/>
  </w:style>
  <w:style w:type="character" w:customStyle="1" w:styleId="WW8Num35z7">
    <w:name w:val="WW8Num35z7"/>
    <w:qFormat/>
    <w:rsid w:val="00B94309"/>
  </w:style>
  <w:style w:type="character" w:customStyle="1" w:styleId="WW8Num35z8">
    <w:name w:val="WW8Num35z8"/>
    <w:qFormat/>
    <w:rsid w:val="00B94309"/>
  </w:style>
  <w:style w:type="character" w:customStyle="1" w:styleId="WW8Num36z0">
    <w:name w:val="WW8Num36z0"/>
    <w:qFormat/>
    <w:rsid w:val="00B94309"/>
    <w:rPr>
      <w:rFonts w:hint="default"/>
    </w:rPr>
  </w:style>
  <w:style w:type="character" w:customStyle="1" w:styleId="WW8Num36z1">
    <w:name w:val="WW8Num36z1"/>
    <w:qFormat/>
    <w:rsid w:val="00B94309"/>
  </w:style>
  <w:style w:type="character" w:customStyle="1" w:styleId="WW8Num36z2">
    <w:name w:val="WW8Num36z2"/>
    <w:qFormat/>
    <w:rsid w:val="00B94309"/>
  </w:style>
  <w:style w:type="character" w:customStyle="1" w:styleId="WW8Num36z3">
    <w:name w:val="WW8Num36z3"/>
    <w:qFormat/>
    <w:rsid w:val="00B94309"/>
  </w:style>
  <w:style w:type="character" w:customStyle="1" w:styleId="WW8Num36z4">
    <w:name w:val="WW8Num36z4"/>
    <w:qFormat/>
    <w:rsid w:val="00B94309"/>
  </w:style>
  <w:style w:type="character" w:customStyle="1" w:styleId="WW8Num36z5">
    <w:name w:val="WW8Num36z5"/>
    <w:qFormat/>
    <w:rsid w:val="00B94309"/>
  </w:style>
  <w:style w:type="character" w:customStyle="1" w:styleId="WW8Num36z6">
    <w:name w:val="WW8Num36z6"/>
    <w:qFormat/>
    <w:rsid w:val="00B94309"/>
  </w:style>
  <w:style w:type="character" w:customStyle="1" w:styleId="WW8Num36z7">
    <w:name w:val="WW8Num36z7"/>
    <w:qFormat/>
    <w:rsid w:val="00B94309"/>
  </w:style>
  <w:style w:type="character" w:customStyle="1" w:styleId="WW8Num36z8">
    <w:name w:val="WW8Num36z8"/>
    <w:qFormat/>
    <w:rsid w:val="00B94309"/>
  </w:style>
  <w:style w:type="character" w:customStyle="1" w:styleId="WW8Num37z0">
    <w:name w:val="WW8Num37z0"/>
    <w:qFormat/>
    <w:rsid w:val="00B94309"/>
    <w:rPr>
      <w:rFonts w:hint="default"/>
    </w:rPr>
  </w:style>
  <w:style w:type="character" w:customStyle="1" w:styleId="WW8Num37z1">
    <w:name w:val="WW8Num37z1"/>
    <w:qFormat/>
    <w:rsid w:val="00B94309"/>
  </w:style>
  <w:style w:type="character" w:customStyle="1" w:styleId="WW8Num37z2">
    <w:name w:val="WW8Num37z2"/>
    <w:qFormat/>
    <w:rsid w:val="00B94309"/>
  </w:style>
  <w:style w:type="character" w:customStyle="1" w:styleId="WW8Num37z3">
    <w:name w:val="WW8Num37z3"/>
    <w:qFormat/>
    <w:rsid w:val="00B94309"/>
  </w:style>
  <w:style w:type="character" w:customStyle="1" w:styleId="WW8Num37z4">
    <w:name w:val="WW8Num37z4"/>
    <w:qFormat/>
    <w:rsid w:val="00B94309"/>
  </w:style>
  <w:style w:type="character" w:customStyle="1" w:styleId="WW8Num37z5">
    <w:name w:val="WW8Num37z5"/>
    <w:qFormat/>
    <w:rsid w:val="00B94309"/>
  </w:style>
  <w:style w:type="character" w:customStyle="1" w:styleId="WW8Num37z6">
    <w:name w:val="WW8Num37z6"/>
    <w:qFormat/>
    <w:rsid w:val="00B94309"/>
  </w:style>
  <w:style w:type="character" w:customStyle="1" w:styleId="WW8Num37z7">
    <w:name w:val="WW8Num37z7"/>
    <w:qFormat/>
    <w:rsid w:val="00B94309"/>
  </w:style>
  <w:style w:type="character" w:customStyle="1" w:styleId="WW8Num37z8">
    <w:name w:val="WW8Num37z8"/>
    <w:qFormat/>
    <w:rsid w:val="00B94309"/>
  </w:style>
  <w:style w:type="character" w:customStyle="1" w:styleId="WW8Num38z0">
    <w:name w:val="WW8Num38z0"/>
    <w:qFormat/>
    <w:rsid w:val="00B94309"/>
    <w:rPr>
      <w:rFonts w:hint="default"/>
    </w:rPr>
  </w:style>
  <w:style w:type="character" w:customStyle="1" w:styleId="WW8Num38z1">
    <w:name w:val="WW8Num38z1"/>
    <w:qFormat/>
    <w:rsid w:val="00B94309"/>
  </w:style>
  <w:style w:type="character" w:customStyle="1" w:styleId="WW8Num38z2">
    <w:name w:val="WW8Num38z2"/>
    <w:qFormat/>
    <w:rsid w:val="00B94309"/>
  </w:style>
  <w:style w:type="character" w:customStyle="1" w:styleId="WW8Num38z3">
    <w:name w:val="WW8Num38z3"/>
    <w:qFormat/>
    <w:rsid w:val="00B94309"/>
  </w:style>
  <w:style w:type="character" w:customStyle="1" w:styleId="WW8Num38z4">
    <w:name w:val="WW8Num38z4"/>
    <w:qFormat/>
    <w:rsid w:val="00B94309"/>
  </w:style>
  <w:style w:type="character" w:customStyle="1" w:styleId="WW8Num38z5">
    <w:name w:val="WW8Num38z5"/>
    <w:qFormat/>
    <w:rsid w:val="00B94309"/>
  </w:style>
  <w:style w:type="character" w:customStyle="1" w:styleId="WW8Num38z6">
    <w:name w:val="WW8Num38z6"/>
    <w:qFormat/>
    <w:rsid w:val="00B94309"/>
  </w:style>
  <w:style w:type="character" w:customStyle="1" w:styleId="WW8Num38z7">
    <w:name w:val="WW8Num38z7"/>
    <w:qFormat/>
    <w:rsid w:val="00B94309"/>
  </w:style>
  <w:style w:type="character" w:customStyle="1" w:styleId="WW8Num38z8">
    <w:name w:val="WW8Num38z8"/>
    <w:qFormat/>
    <w:rsid w:val="00B94309"/>
  </w:style>
  <w:style w:type="character" w:customStyle="1" w:styleId="WW8Num39z0">
    <w:name w:val="WW8Num39z0"/>
    <w:qFormat/>
    <w:rsid w:val="00B94309"/>
  </w:style>
  <w:style w:type="character" w:customStyle="1" w:styleId="WW8Num39z1">
    <w:name w:val="WW8Num39z1"/>
    <w:qFormat/>
    <w:rsid w:val="00B94309"/>
  </w:style>
  <w:style w:type="character" w:customStyle="1" w:styleId="WW8Num39z2">
    <w:name w:val="WW8Num39z2"/>
    <w:qFormat/>
    <w:rsid w:val="00B94309"/>
  </w:style>
  <w:style w:type="character" w:customStyle="1" w:styleId="WW8Num39z3">
    <w:name w:val="WW8Num39z3"/>
    <w:qFormat/>
    <w:rsid w:val="00B94309"/>
  </w:style>
  <w:style w:type="character" w:customStyle="1" w:styleId="WW8Num39z4">
    <w:name w:val="WW8Num39z4"/>
    <w:qFormat/>
    <w:rsid w:val="00B94309"/>
  </w:style>
  <w:style w:type="character" w:customStyle="1" w:styleId="WW8Num39z5">
    <w:name w:val="WW8Num39z5"/>
    <w:qFormat/>
    <w:rsid w:val="00B94309"/>
  </w:style>
  <w:style w:type="character" w:customStyle="1" w:styleId="WW8Num39z6">
    <w:name w:val="WW8Num39z6"/>
    <w:qFormat/>
    <w:rsid w:val="00B94309"/>
  </w:style>
  <w:style w:type="character" w:customStyle="1" w:styleId="WW8Num39z7">
    <w:name w:val="WW8Num39z7"/>
    <w:qFormat/>
    <w:rsid w:val="00B94309"/>
  </w:style>
  <w:style w:type="character" w:customStyle="1" w:styleId="WW8Num39z8">
    <w:name w:val="WW8Num39z8"/>
    <w:qFormat/>
    <w:rsid w:val="00B94309"/>
  </w:style>
  <w:style w:type="character" w:customStyle="1" w:styleId="WW8Num40z0">
    <w:name w:val="WW8Num40z0"/>
    <w:qFormat/>
    <w:rsid w:val="00B94309"/>
  </w:style>
  <w:style w:type="character" w:customStyle="1" w:styleId="WW8Num40z1">
    <w:name w:val="WW8Num40z1"/>
    <w:qFormat/>
    <w:rsid w:val="00B94309"/>
  </w:style>
  <w:style w:type="character" w:customStyle="1" w:styleId="WW8Num40z2">
    <w:name w:val="WW8Num40z2"/>
    <w:qFormat/>
    <w:rsid w:val="00B94309"/>
  </w:style>
  <w:style w:type="character" w:customStyle="1" w:styleId="WW8Num40z3">
    <w:name w:val="WW8Num40z3"/>
    <w:qFormat/>
    <w:rsid w:val="00B94309"/>
  </w:style>
  <w:style w:type="character" w:customStyle="1" w:styleId="WW8Num40z4">
    <w:name w:val="WW8Num40z4"/>
    <w:qFormat/>
    <w:rsid w:val="00B94309"/>
  </w:style>
  <w:style w:type="character" w:customStyle="1" w:styleId="WW8Num40z5">
    <w:name w:val="WW8Num40z5"/>
    <w:qFormat/>
    <w:rsid w:val="00B94309"/>
  </w:style>
  <w:style w:type="character" w:customStyle="1" w:styleId="WW8Num40z6">
    <w:name w:val="WW8Num40z6"/>
    <w:qFormat/>
    <w:rsid w:val="00B94309"/>
  </w:style>
  <w:style w:type="character" w:customStyle="1" w:styleId="WW8Num40z7">
    <w:name w:val="WW8Num40z7"/>
    <w:qFormat/>
    <w:rsid w:val="00B94309"/>
  </w:style>
  <w:style w:type="character" w:customStyle="1" w:styleId="WW8Num40z8">
    <w:name w:val="WW8Num40z8"/>
    <w:qFormat/>
    <w:rsid w:val="00B94309"/>
  </w:style>
  <w:style w:type="character" w:customStyle="1" w:styleId="WW8Num41z0">
    <w:name w:val="WW8Num41z0"/>
    <w:qFormat/>
    <w:rsid w:val="00B94309"/>
    <w:rPr>
      <w:rFonts w:hint="default"/>
    </w:rPr>
  </w:style>
  <w:style w:type="character" w:customStyle="1" w:styleId="WW8Num41z1">
    <w:name w:val="WW8Num41z1"/>
    <w:qFormat/>
    <w:rsid w:val="00B94309"/>
  </w:style>
  <w:style w:type="character" w:customStyle="1" w:styleId="WW8Num41z2">
    <w:name w:val="WW8Num41z2"/>
    <w:qFormat/>
    <w:rsid w:val="00B94309"/>
  </w:style>
  <w:style w:type="character" w:customStyle="1" w:styleId="WW8Num41z3">
    <w:name w:val="WW8Num41z3"/>
    <w:qFormat/>
    <w:rsid w:val="00B94309"/>
  </w:style>
  <w:style w:type="character" w:customStyle="1" w:styleId="WW8Num41z4">
    <w:name w:val="WW8Num41z4"/>
    <w:qFormat/>
    <w:rsid w:val="00B94309"/>
  </w:style>
  <w:style w:type="character" w:customStyle="1" w:styleId="WW8Num41z5">
    <w:name w:val="WW8Num41z5"/>
    <w:qFormat/>
    <w:rsid w:val="00B94309"/>
  </w:style>
  <w:style w:type="character" w:customStyle="1" w:styleId="WW8Num41z6">
    <w:name w:val="WW8Num41z6"/>
    <w:qFormat/>
    <w:rsid w:val="00B94309"/>
  </w:style>
  <w:style w:type="character" w:customStyle="1" w:styleId="WW8Num41z7">
    <w:name w:val="WW8Num41z7"/>
    <w:qFormat/>
    <w:rsid w:val="00B94309"/>
  </w:style>
  <w:style w:type="character" w:customStyle="1" w:styleId="WW8Num41z8">
    <w:name w:val="WW8Num41z8"/>
    <w:qFormat/>
    <w:rsid w:val="00B94309"/>
  </w:style>
  <w:style w:type="character" w:customStyle="1" w:styleId="WW8Num42z0">
    <w:name w:val="WW8Num42z0"/>
    <w:qFormat/>
    <w:rsid w:val="00B94309"/>
    <w:rPr>
      <w:rFonts w:hint="default"/>
    </w:rPr>
  </w:style>
  <w:style w:type="character" w:customStyle="1" w:styleId="WW8Num42z1">
    <w:name w:val="WW8Num42z1"/>
    <w:qFormat/>
    <w:rsid w:val="00B94309"/>
  </w:style>
  <w:style w:type="character" w:customStyle="1" w:styleId="WW8Num42z2">
    <w:name w:val="WW8Num42z2"/>
    <w:qFormat/>
    <w:rsid w:val="00B94309"/>
  </w:style>
  <w:style w:type="character" w:customStyle="1" w:styleId="WW8Num42z3">
    <w:name w:val="WW8Num42z3"/>
    <w:qFormat/>
    <w:rsid w:val="00B94309"/>
  </w:style>
  <w:style w:type="character" w:customStyle="1" w:styleId="WW8Num42z4">
    <w:name w:val="WW8Num42z4"/>
    <w:qFormat/>
    <w:rsid w:val="00B94309"/>
  </w:style>
  <w:style w:type="character" w:customStyle="1" w:styleId="WW8Num42z5">
    <w:name w:val="WW8Num42z5"/>
    <w:qFormat/>
    <w:rsid w:val="00B94309"/>
  </w:style>
  <w:style w:type="character" w:customStyle="1" w:styleId="WW8Num42z6">
    <w:name w:val="WW8Num42z6"/>
    <w:qFormat/>
    <w:rsid w:val="00B94309"/>
  </w:style>
  <w:style w:type="character" w:customStyle="1" w:styleId="WW8Num42z7">
    <w:name w:val="WW8Num42z7"/>
    <w:qFormat/>
    <w:rsid w:val="00B94309"/>
  </w:style>
  <w:style w:type="character" w:customStyle="1" w:styleId="WW8Num42z8">
    <w:name w:val="WW8Num42z8"/>
    <w:qFormat/>
    <w:rsid w:val="00B94309"/>
  </w:style>
  <w:style w:type="character" w:styleId="CitaHTML">
    <w:name w:val="HTML Cite"/>
    <w:uiPriority w:val="99"/>
    <w:rsid w:val="00B94309"/>
    <w:rPr>
      <w:i/>
      <w:iCs/>
    </w:rPr>
  </w:style>
  <w:style w:type="character" w:customStyle="1" w:styleId="Fuentedeprrafopredeter5">
    <w:name w:val="Fuente de párrafo predeter.5"/>
    <w:qFormat/>
    <w:rsid w:val="00B94309"/>
  </w:style>
  <w:style w:type="character" w:customStyle="1" w:styleId="Smbolosdenumeracin">
    <w:name w:val="Símbolos de numeración"/>
    <w:qFormat/>
    <w:rsid w:val="00B94309"/>
  </w:style>
  <w:style w:type="paragraph" w:customStyle="1" w:styleId="Ttulo40">
    <w:name w:val="Título4"/>
    <w:basedOn w:val="Normal"/>
    <w:next w:val="Textoindependiente"/>
    <w:rsid w:val="00B94309"/>
    <w:pPr>
      <w:keepNext/>
      <w:widowControl w:val="0"/>
      <w:spacing w:before="240" w:after="120"/>
    </w:pPr>
    <w:rPr>
      <w:rFonts w:ascii="Liberation Sans" w:eastAsia="Microsoft YaHei" w:hAnsi="Liberation Sans" w:cs="Arial"/>
      <w:sz w:val="28"/>
      <w:szCs w:val="28"/>
      <w:lang w:val="es-ES_tradnl" w:eastAsia="zh-CN"/>
    </w:rPr>
  </w:style>
  <w:style w:type="paragraph" w:customStyle="1" w:styleId="TIT2">
    <w:name w:val="TIT2"/>
    <w:basedOn w:val="Normal"/>
    <w:next w:val="Normal"/>
    <w:rsid w:val="00B94309"/>
    <w:pPr>
      <w:widowControl w:val="0"/>
      <w:spacing w:before="240" w:after="240"/>
      <w:ind w:left="709" w:hanging="709"/>
      <w:jc w:val="both"/>
    </w:pPr>
    <w:rPr>
      <w:b/>
      <w:sz w:val="28"/>
      <w:szCs w:val="20"/>
      <w:lang w:val="es-ES_tradnl" w:eastAsia="zh-CN"/>
    </w:rPr>
  </w:style>
  <w:style w:type="paragraph" w:customStyle="1" w:styleId="TIT1">
    <w:name w:val="TIT1"/>
    <w:basedOn w:val="Normal"/>
    <w:rsid w:val="00B94309"/>
    <w:pPr>
      <w:widowControl w:val="0"/>
      <w:spacing w:before="240" w:after="240"/>
      <w:jc w:val="center"/>
    </w:pPr>
    <w:rPr>
      <w:b/>
      <w:i/>
      <w:sz w:val="32"/>
      <w:szCs w:val="20"/>
      <w:u w:val="words"/>
      <w:lang w:val="es-ES_tradnl" w:eastAsia="zh-CN"/>
    </w:rPr>
  </w:style>
  <w:style w:type="paragraph" w:customStyle="1" w:styleId="TIT3">
    <w:name w:val="TIT3"/>
    <w:basedOn w:val="Normal"/>
    <w:rsid w:val="00B94309"/>
    <w:pPr>
      <w:widowControl w:val="0"/>
      <w:spacing w:before="240" w:after="240"/>
      <w:jc w:val="both"/>
    </w:pPr>
    <w:rPr>
      <w:rFonts w:ascii="Arial" w:hAnsi="Arial" w:cs="Arial"/>
      <w:b/>
      <w:i/>
      <w:smallCaps/>
      <w:szCs w:val="20"/>
      <w:u w:val="double"/>
      <w:lang w:val="es-ES_tradnl" w:eastAsia="zh-CN"/>
    </w:rPr>
  </w:style>
  <w:style w:type="paragraph" w:customStyle="1" w:styleId="xxmsolistparagraph">
    <w:name w:val="x_x_msolistparagraph"/>
    <w:basedOn w:val="Normal"/>
    <w:uiPriority w:val="99"/>
    <w:rsid w:val="00B94309"/>
    <w:pPr>
      <w:spacing w:before="280" w:after="280"/>
    </w:pPr>
    <w:rPr>
      <w:lang w:eastAsia="zh-CN"/>
    </w:rPr>
  </w:style>
  <w:style w:type="paragraph" w:customStyle="1" w:styleId="xxmsolistparagraph0">
    <w:name w:val="x_xmsolistparagraph"/>
    <w:basedOn w:val="Normal"/>
    <w:rsid w:val="00B94309"/>
    <w:pPr>
      <w:spacing w:before="280" w:after="280"/>
    </w:pPr>
    <w:rPr>
      <w:lang w:eastAsia="zh-CN"/>
    </w:rPr>
  </w:style>
  <w:style w:type="paragraph" w:customStyle="1" w:styleId="xxmsonormal0">
    <w:name w:val="x_xmsonormal"/>
    <w:basedOn w:val="Normal"/>
    <w:uiPriority w:val="99"/>
    <w:rsid w:val="00B94309"/>
    <w:pPr>
      <w:spacing w:before="280" w:after="280"/>
    </w:pPr>
    <w:rPr>
      <w:lang w:eastAsia="zh-CN"/>
    </w:rPr>
  </w:style>
  <w:style w:type="paragraph" w:customStyle="1" w:styleId="xxmsonospacing">
    <w:name w:val="x_xmsonospacing"/>
    <w:basedOn w:val="Normal"/>
    <w:rsid w:val="00B94309"/>
    <w:rPr>
      <w:rFonts w:ascii="Calibri" w:hAnsi="Calibri" w:cs="Calibri"/>
      <w:sz w:val="22"/>
      <w:szCs w:val="22"/>
      <w:lang w:val="es-CR" w:eastAsia="zh-CN"/>
    </w:rPr>
  </w:style>
  <w:style w:type="paragraph" w:customStyle="1" w:styleId="section1">
    <w:name w:val="section1"/>
    <w:basedOn w:val="Normal"/>
    <w:uiPriority w:val="99"/>
    <w:rsid w:val="00B94309"/>
    <w:pPr>
      <w:spacing w:before="280" w:after="280"/>
    </w:pPr>
    <w:rPr>
      <w:rFonts w:eastAsia="Calibri"/>
      <w:lang w:val="es-CR" w:eastAsia="zh-CN"/>
    </w:rPr>
  </w:style>
  <w:style w:type="paragraph" w:customStyle="1" w:styleId="trt0xe">
    <w:name w:val="trt0xe"/>
    <w:basedOn w:val="Normal"/>
    <w:qFormat/>
    <w:rsid w:val="00B94309"/>
    <w:pPr>
      <w:suppressAutoHyphens w:val="0"/>
      <w:spacing w:before="280" w:after="280"/>
    </w:pPr>
    <w:rPr>
      <w:lang w:val="es-CR" w:eastAsia="zh-CN"/>
    </w:rPr>
  </w:style>
  <w:style w:type="paragraph" w:customStyle="1" w:styleId="app-page-wrapperapp-page-detail">
    <w:name w:val="app-page-wrapper_app-page-detail"/>
    <w:rsid w:val="00B94309"/>
    <w:pPr>
      <w:widowControl w:val="0"/>
      <w:shd w:val="clear" w:color="auto" w:fill="E6E6E6"/>
      <w:suppressAutoHyphens/>
    </w:pPr>
    <w:rPr>
      <w:rFonts w:ascii="Arial" w:eastAsia="Arial" w:hAnsi="Arial" w:cs="Arial"/>
      <w:color w:val="000000"/>
      <w:sz w:val="24"/>
      <w:szCs w:val="24"/>
      <w:lang w:val="es-CR" w:eastAsia="zh-CN" w:bidi="hi-IN"/>
    </w:rPr>
  </w:style>
  <w:style w:type="paragraph" w:customStyle="1" w:styleId="app-page-detailapp-content-wrapper">
    <w:name w:val="app-page-detail_app-content-wrapper"/>
    <w:rsid w:val="00B94309"/>
    <w:pPr>
      <w:widowControl w:val="0"/>
      <w:suppressAutoHyphens/>
    </w:pPr>
    <w:rPr>
      <w:rFonts w:eastAsia="Arial" w:cs="Arial"/>
      <w:sz w:val="24"/>
      <w:szCs w:val="24"/>
      <w:lang w:val="es-CR" w:eastAsia="zh-CN" w:bidi="hi-IN"/>
    </w:rPr>
  </w:style>
  <w:style w:type="paragraph" w:customStyle="1" w:styleId="app-page-detailmain-content">
    <w:name w:val="app-page-detail_main-content"/>
    <w:rsid w:val="00B94309"/>
    <w:pPr>
      <w:widowControl w:val="0"/>
      <w:pBdr>
        <w:top w:val="single" w:sz="12" w:space="0" w:color="85B336"/>
        <w:left w:val="single" w:sz="12" w:space="0" w:color="85B336"/>
        <w:bottom w:val="single" w:sz="12" w:space="0" w:color="85B336"/>
        <w:right w:val="single" w:sz="12" w:space="0" w:color="85B336"/>
      </w:pBdr>
      <w:shd w:val="clear" w:color="auto" w:fill="FFFFFF"/>
      <w:suppressAutoHyphens/>
    </w:pPr>
    <w:rPr>
      <w:rFonts w:eastAsia="Arial" w:cs="Arial"/>
      <w:sz w:val="24"/>
      <w:szCs w:val="24"/>
      <w:lang w:val="es-CR" w:eastAsia="zh-CN" w:bidi="hi-IN"/>
    </w:rPr>
  </w:style>
  <w:style w:type="paragraph" w:customStyle="1" w:styleId="app-page-wrapperapp-page-detaildocumenttitulo-contenido">
    <w:name w:val="app-page-wrapper_app-page-detail_document_titulo-contenido"/>
    <w:rsid w:val="00B94309"/>
    <w:pPr>
      <w:widowControl w:val="0"/>
      <w:suppressAutoHyphens/>
      <w:jc w:val="center"/>
    </w:pPr>
    <w:rPr>
      <w:rFonts w:eastAsia="Arial" w:cs="Arial"/>
      <w:sz w:val="33"/>
      <w:szCs w:val="24"/>
      <w:lang w:val="es-CR" w:eastAsia="zh-CN" w:bidi="hi-IN"/>
    </w:rPr>
  </w:style>
  <w:style w:type="table" w:customStyle="1" w:styleId="Tablaconcuadrcula45">
    <w:name w:val="Tabla con cuadrícula45"/>
    <w:basedOn w:val="Tablanormal"/>
    <w:next w:val="Tablaconcuadrcula"/>
    <w:uiPriority w:val="39"/>
    <w:rsid w:val="00B94309"/>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5">
    <w:name w:val="Tabla con cuadrícula55"/>
    <w:basedOn w:val="Tablanormal"/>
    <w:next w:val="Tablaconcuadrcula"/>
    <w:uiPriority w:val="39"/>
    <w:rsid w:val="00B94309"/>
    <w:rPr>
      <w:rFonts w:ascii="Calibri" w:eastAsia="Calibri" w:hAnsi="Calibri"/>
      <w:sz w:val="22"/>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5">
    <w:name w:val="Tabla con cuadrícula65"/>
    <w:basedOn w:val="Tablanormal"/>
    <w:next w:val="Tablaconcuadrcula"/>
    <w:uiPriority w:val="59"/>
    <w:rsid w:val="00B94309"/>
    <w:rPr>
      <w:rFonts w:ascii="Calibri" w:eastAsia="Calibri" w:hAnsi="Calibri"/>
      <w:lang w:val="es-CR"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Pe1rrafodelistaCar">
    <w:name w:val="Páe1rrafo de lista Car"/>
    <w:uiPriority w:val="99"/>
    <w:rsid w:val="00B94309"/>
    <w:rPr>
      <w:rFonts w:eastAsia="Times New Roman"/>
      <w:sz w:val="22"/>
      <w:szCs w:val="22"/>
    </w:rPr>
  </w:style>
  <w:style w:type="character" w:customStyle="1" w:styleId="A3">
    <w:name w:val="A3"/>
    <w:rsid w:val="00B94309"/>
    <w:rPr>
      <w:rFonts w:cs="Montserrat"/>
      <w:color w:val="000000"/>
      <w:sz w:val="22"/>
      <w:szCs w:val="22"/>
    </w:rPr>
  </w:style>
  <w:style w:type="character" w:customStyle="1" w:styleId="ListLabel10">
    <w:name w:val="ListLabel 10"/>
    <w:qFormat/>
    <w:rsid w:val="00B94309"/>
    <w:rPr>
      <w:rFonts w:cs="Courier New"/>
    </w:rPr>
  </w:style>
  <w:style w:type="character" w:customStyle="1" w:styleId="ListLabel11">
    <w:name w:val="ListLabel 11"/>
    <w:qFormat/>
    <w:rsid w:val="00B94309"/>
    <w:rPr>
      <w:rFonts w:eastAsia="Times New Roman" w:cs="Times New Roman"/>
    </w:rPr>
  </w:style>
  <w:style w:type="character" w:customStyle="1" w:styleId="ListLabel12">
    <w:name w:val="ListLabel 12"/>
    <w:qFormat/>
    <w:rsid w:val="00B94309"/>
    <w:rPr>
      <w:rFonts w:cs="Courier New"/>
    </w:rPr>
  </w:style>
  <w:style w:type="character" w:customStyle="1" w:styleId="ListLabel13">
    <w:name w:val="ListLabel 13"/>
    <w:qFormat/>
    <w:rsid w:val="00B94309"/>
    <w:rPr>
      <w:rFonts w:cs="Courier New"/>
    </w:rPr>
  </w:style>
  <w:style w:type="character" w:customStyle="1" w:styleId="ListLabel14">
    <w:name w:val="ListLabel 14"/>
    <w:qFormat/>
    <w:rsid w:val="00B94309"/>
    <w:rPr>
      <w:rFonts w:cs="Courier New"/>
    </w:rPr>
  </w:style>
  <w:style w:type="character" w:customStyle="1" w:styleId="ListLabel15">
    <w:name w:val="ListLabel 15"/>
    <w:qFormat/>
    <w:rsid w:val="00B94309"/>
    <w:rPr>
      <w:rFonts w:eastAsia="MS Mincho" w:cs="Arial"/>
    </w:rPr>
  </w:style>
  <w:style w:type="character" w:customStyle="1" w:styleId="ListLabel16">
    <w:name w:val="ListLabel 16"/>
    <w:qFormat/>
    <w:rsid w:val="00B94309"/>
    <w:rPr>
      <w:rFonts w:cs="Courier New"/>
    </w:rPr>
  </w:style>
  <w:style w:type="character" w:customStyle="1" w:styleId="ListLabel17">
    <w:name w:val="ListLabel 17"/>
    <w:rsid w:val="00B94309"/>
    <w:rPr>
      <w:rFonts w:cs="Courier New"/>
    </w:rPr>
  </w:style>
  <w:style w:type="character" w:customStyle="1" w:styleId="ListLabel18">
    <w:name w:val="ListLabel 18"/>
    <w:rsid w:val="00B94309"/>
    <w:rPr>
      <w:rFonts w:cs="Courier New"/>
    </w:rPr>
  </w:style>
  <w:style w:type="character" w:customStyle="1" w:styleId="ListLabel19">
    <w:name w:val="ListLabel 19"/>
    <w:rsid w:val="00B94309"/>
    <w:rPr>
      <w:rFonts w:eastAsia="MS Mincho" w:cs="Arial"/>
    </w:rPr>
  </w:style>
  <w:style w:type="character" w:customStyle="1" w:styleId="ListLabel20">
    <w:name w:val="ListLabel 20"/>
    <w:rsid w:val="00B94309"/>
    <w:rPr>
      <w:rFonts w:cs="Courier New"/>
    </w:rPr>
  </w:style>
  <w:style w:type="character" w:customStyle="1" w:styleId="ListLabel21">
    <w:name w:val="ListLabel 21"/>
    <w:rsid w:val="00B94309"/>
    <w:rPr>
      <w:rFonts w:cs="Courier New"/>
    </w:rPr>
  </w:style>
  <w:style w:type="character" w:customStyle="1" w:styleId="ListLabel22">
    <w:name w:val="ListLabel 22"/>
    <w:rsid w:val="00B94309"/>
    <w:rPr>
      <w:rFonts w:cs="Courier New"/>
    </w:rPr>
  </w:style>
  <w:style w:type="character" w:customStyle="1" w:styleId="ListLabel23">
    <w:name w:val="ListLabel 23"/>
    <w:rsid w:val="00B94309"/>
    <w:rPr>
      <w:rFonts w:eastAsia="Times New Roman" w:cs="Arial"/>
    </w:rPr>
  </w:style>
  <w:style w:type="character" w:customStyle="1" w:styleId="ListLabel24">
    <w:name w:val="ListLabel 24"/>
    <w:rsid w:val="00B94309"/>
    <w:rPr>
      <w:rFonts w:cs="Courier New"/>
    </w:rPr>
  </w:style>
  <w:style w:type="character" w:customStyle="1" w:styleId="ListLabel25">
    <w:name w:val="ListLabel 25"/>
    <w:rsid w:val="00B94309"/>
    <w:rPr>
      <w:rFonts w:cs="Courier New"/>
    </w:rPr>
  </w:style>
  <w:style w:type="character" w:customStyle="1" w:styleId="ListLabel26">
    <w:name w:val="ListLabel 26"/>
    <w:rsid w:val="00B94309"/>
    <w:rPr>
      <w:rFonts w:cs="Courier New"/>
    </w:rPr>
  </w:style>
  <w:style w:type="character" w:customStyle="1" w:styleId="ListLabel27">
    <w:name w:val="ListLabel 27"/>
    <w:rsid w:val="00B94309"/>
    <w:rPr>
      <w:rFonts w:eastAsia="Times New Roman" w:cs="Arial"/>
      <w:color w:val="000000"/>
    </w:rPr>
  </w:style>
  <w:style w:type="character" w:customStyle="1" w:styleId="ListLabel28">
    <w:name w:val="ListLabel 28"/>
    <w:rsid w:val="00B94309"/>
    <w:rPr>
      <w:rFonts w:cs="Courier New"/>
    </w:rPr>
  </w:style>
  <w:style w:type="character" w:customStyle="1" w:styleId="ListLabel29">
    <w:name w:val="ListLabel 29"/>
    <w:rsid w:val="00B94309"/>
    <w:rPr>
      <w:rFonts w:cs="Courier New"/>
    </w:rPr>
  </w:style>
  <w:style w:type="character" w:customStyle="1" w:styleId="ListLabel30">
    <w:name w:val="ListLabel 30"/>
    <w:rsid w:val="00B94309"/>
    <w:rPr>
      <w:rFonts w:cs="Courier New"/>
    </w:rPr>
  </w:style>
  <w:style w:type="character" w:customStyle="1" w:styleId="ListLabel31">
    <w:name w:val="ListLabel 31"/>
    <w:rsid w:val="00B94309"/>
  </w:style>
  <w:style w:type="character" w:customStyle="1" w:styleId="ListLabel32">
    <w:name w:val="ListLabel 32"/>
    <w:rsid w:val="00B94309"/>
    <w:rPr>
      <w:rFonts w:ascii="Arial" w:eastAsia="Times New Roman" w:cs="Arial"/>
      <w:i/>
    </w:rPr>
  </w:style>
  <w:style w:type="character" w:customStyle="1" w:styleId="ListLabel33">
    <w:name w:val="ListLabel 33"/>
    <w:rsid w:val="00B94309"/>
    <w:rPr>
      <w:rFonts w:cs="Courier New"/>
    </w:rPr>
  </w:style>
  <w:style w:type="character" w:customStyle="1" w:styleId="ListLabel34">
    <w:name w:val="ListLabel 34"/>
    <w:rsid w:val="00B94309"/>
    <w:rPr>
      <w:rFonts w:cs="Courier New"/>
    </w:rPr>
  </w:style>
  <w:style w:type="character" w:customStyle="1" w:styleId="ListLabel35">
    <w:name w:val="ListLabel 35"/>
    <w:rsid w:val="00B94309"/>
    <w:rPr>
      <w:rFonts w:cs="Courier New"/>
    </w:rPr>
  </w:style>
  <w:style w:type="character" w:customStyle="1" w:styleId="ListLabel36">
    <w:name w:val="ListLabel 36"/>
    <w:rsid w:val="00B94309"/>
    <w:rPr>
      <w:rFonts w:cs="Courier New"/>
    </w:rPr>
  </w:style>
  <w:style w:type="character" w:customStyle="1" w:styleId="ListLabel37">
    <w:name w:val="ListLabel 37"/>
    <w:rsid w:val="00B94309"/>
    <w:rPr>
      <w:rFonts w:cs="Courier New"/>
    </w:rPr>
  </w:style>
  <w:style w:type="character" w:customStyle="1" w:styleId="ListLabel38">
    <w:name w:val="ListLabel 38"/>
    <w:rsid w:val="00B94309"/>
    <w:rPr>
      <w:rFonts w:cs="Courier New"/>
    </w:rPr>
  </w:style>
  <w:style w:type="character" w:customStyle="1" w:styleId="ListLabel39">
    <w:name w:val="ListLabel 39"/>
    <w:rsid w:val="00B94309"/>
    <w:rPr>
      <w:rFonts w:eastAsia="Times New Roman" w:cs="Arial"/>
      <w:i/>
    </w:rPr>
  </w:style>
  <w:style w:type="character" w:customStyle="1" w:styleId="ListLabel40">
    <w:name w:val="ListLabel 40"/>
    <w:rsid w:val="00B94309"/>
    <w:rPr>
      <w:rFonts w:cs="Courier New"/>
    </w:rPr>
  </w:style>
  <w:style w:type="character" w:customStyle="1" w:styleId="ListLabel41">
    <w:name w:val="ListLabel 41"/>
    <w:rsid w:val="00B94309"/>
    <w:rPr>
      <w:rFonts w:cs="Courier New"/>
    </w:rPr>
  </w:style>
  <w:style w:type="character" w:customStyle="1" w:styleId="ListLabel42">
    <w:name w:val="ListLabel 42"/>
    <w:rsid w:val="00B94309"/>
    <w:rPr>
      <w:rFonts w:cs="Courier New"/>
    </w:rPr>
  </w:style>
  <w:style w:type="character" w:customStyle="1" w:styleId="ListLabel43">
    <w:name w:val="ListLabel 43"/>
    <w:rsid w:val="00B94309"/>
    <w:rPr>
      <w:rFonts w:ascii="Arial" w:hAnsi="Arial" w:cs="Arial"/>
      <w:i/>
    </w:rPr>
  </w:style>
  <w:style w:type="character" w:customStyle="1" w:styleId="ListLabel44">
    <w:name w:val="ListLabel 44"/>
    <w:rsid w:val="00B94309"/>
    <w:rPr>
      <w:rFonts w:eastAsia="Times New Roman" w:cs="Times New Roman"/>
    </w:rPr>
  </w:style>
  <w:style w:type="character" w:customStyle="1" w:styleId="ListLabel45">
    <w:name w:val="ListLabel 45"/>
    <w:rsid w:val="00B94309"/>
    <w:rPr>
      <w:rFonts w:cs="Courier New"/>
    </w:rPr>
  </w:style>
  <w:style w:type="character" w:customStyle="1" w:styleId="ListLabel46">
    <w:name w:val="ListLabel 46"/>
    <w:rsid w:val="00B94309"/>
    <w:rPr>
      <w:rFonts w:cs="Courier New"/>
    </w:rPr>
  </w:style>
  <w:style w:type="character" w:customStyle="1" w:styleId="ListLabel47">
    <w:name w:val="ListLabel 47"/>
    <w:rsid w:val="00B94309"/>
    <w:rPr>
      <w:rFonts w:cs="Courier New"/>
    </w:rPr>
  </w:style>
  <w:style w:type="character" w:customStyle="1" w:styleId="ListLabel48">
    <w:name w:val="ListLabel 48"/>
    <w:rsid w:val="00B94309"/>
    <w:rPr>
      <w:rFonts w:cs="Courier New"/>
    </w:rPr>
  </w:style>
  <w:style w:type="character" w:customStyle="1" w:styleId="ListLabel49">
    <w:name w:val="ListLabel 49"/>
    <w:rsid w:val="00B94309"/>
    <w:rPr>
      <w:rFonts w:cs="Courier New"/>
    </w:rPr>
  </w:style>
  <w:style w:type="paragraph" w:customStyle="1" w:styleId="Tedtulo">
    <w:name w:val="Tíedtulo"/>
    <w:basedOn w:val="Normal"/>
    <w:next w:val="Cuerpodetexto"/>
    <w:uiPriority w:val="99"/>
    <w:rsid w:val="00B94309"/>
    <w:pPr>
      <w:keepNext/>
      <w:suppressAutoHyphens w:val="0"/>
      <w:autoSpaceDE w:val="0"/>
      <w:autoSpaceDN w:val="0"/>
      <w:adjustRightInd w:val="0"/>
      <w:spacing w:before="240" w:after="120"/>
    </w:pPr>
    <w:rPr>
      <w:rFonts w:ascii="Liberation Sans" w:eastAsia="Microsoft YaHei" w:hAnsi="Liberation Sans" w:cs="Lucida Sans"/>
      <w:sz w:val="28"/>
      <w:szCs w:val="28"/>
      <w:lang w:val="es-CR" w:eastAsia="es-CR"/>
    </w:rPr>
  </w:style>
  <w:style w:type="paragraph" w:customStyle="1" w:styleId="cdndice">
    <w:name w:val="Ícdndice"/>
    <w:basedOn w:val="Normal"/>
    <w:uiPriority w:val="99"/>
    <w:rsid w:val="00B94309"/>
    <w:pPr>
      <w:suppressLineNumbers/>
      <w:suppressAutoHyphens w:val="0"/>
      <w:autoSpaceDE w:val="0"/>
      <w:autoSpaceDN w:val="0"/>
      <w:adjustRightInd w:val="0"/>
    </w:pPr>
    <w:rPr>
      <w:rFonts w:ascii="Lucida Sans" w:hAnsi="Calibri" w:cs="Lucida Sans"/>
      <w:lang w:val="es-CR" w:eastAsia="en-US"/>
    </w:rPr>
  </w:style>
  <w:style w:type="paragraph" w:customStyle="1" w:styleId="Piedepe1gina">
    <w:name w:val="Pie de páe1gina"/>
    <w:basedOn w:val="Normal"/>
    <w:uiPriority w:val="99"/>
    <w:rsid w:val="00B94309"/>
    <w:pPr>
      <w:tabs>
        <w:tab w:val="center" w:pos="4419"/>
        <w:tab w:val="right" w:pos="8838"/>
      </w:tabs>
      <w:suppressAutoHyphens w:val="0"/>
      <w:autoSpaceDE w:val="0"/>
      <w:autoSpaceDN w:val="0"/>
      <w:adjustRightInd w:val="0"/>
    </w:pPr>
    <w:rPr>
      <w:rFonts w:ascii="Calibri" w:hAnsi="Calibri" w:cs="Calibri"/>
      <w:lang w:val="es-CR" w:eastAsia="es-CR"/>
    </w:rPr>
  </w:style>
  <w:style w:type="paragraph" w:customStyle="1" w:styleId="Sumario1">
    <w:name w:val="Sumario 1"/>
    <w:basedOn w:val="Normal"/>
    <w:next w:val="Normal"/>
    <w:autoRedefine/>
    <w:uiPriority w:val="99"/>
    <w:rsid w:val="00B94309"/>
    <w:pPr>
      <w:suppressAutoHyphens w:val="0"/>
      <w:autoSpaceDE w:val="0"/>
      <w:autoSpaceDN w:val="0"/>
      <w:adjustRightInd w:val="0"/>
      <w:spacing w:after="100" w:line="259" w:lineRule="auto"/>
    </w:pPr>
    <w:rPr>
      <w:rFonts w:ascii="Calibri" w:hAnsi="Calibri"/>
      <w:sz w:val="22"/>
      <w:szCs w:val="22"/>
      <w:lang w:val="es-CR" w:eastAsia="es-CR"/>
    </w:rPr>
  </w:style>
  <w:style w:type="character" w:customStyle="1" w:styleId="TextocomentarioCar1">
    <w:name w:val="Texto comentario Car1"/>
    <w:basedOn w:val="Fuentedeprrafopredeter"/>
    <w:uiPriority w:val="99"/>
    <w:rsid w:val="00B94309"/>
    <w:rPr>
      <w:rFonts w:ascii="Calibri" w:eastAsia="MS Mincho" w:hAnsi="Calibri" w:cs="Calibri"/>
      <w:sz w:val="20"/>
      <w:szCs w:val="20"/>
      <w:lang w:eastAsia="en-US"/>
    </w:rPr>
  </w:style>
  <w:style w:type="paragraph" w:customStyle="1" w:styleId="TITULOSPJ">
    <w:name w:val="TITULOS PJ"/>
    <w:basedOn w:val="Normal"/>
    <w:uiPriority w:val="99"/>
    <w:rsid w:val="00B94309"/>
    <w:pPr>
      <w:suppressAutoHyphens w:val="0"/>
      <w:autoSpaceDE w:val="0"/>
      <w:autoSpaceDN w:val="0"/>
      <w:adjustRightInd w:val="0"/>
      <w:spacing w:after="160" w:line="259" w:lineRule="auto"/>
    </w:pPr>
    <w:rPr>
      <w:rFonts w:ascii="Arial" w:hAnsi="Arial" w:cs="Arial"/>
      <w:b/>
      <w:lang w:val="es-CR" w:eastAsia="es-CR"/>
    </w:rPr>
  </w:style>
  <w:style w:type="table" w:customStyle="1" w:styleId="Tablaconcuadrcula73">
    <w:name w:val="Tabla con cuadrícula73"/>
    <w:basedOn w:val="Tablanormal"/>
    <w:next w:val="Tablaconcuadrcula"/>
    <w:uiPriority w:val="39"/>
    <w:rsid w:val="00B94309"/>
    <w:rPr>
      <w:rFonts w:ascii="Calibri" w:eastAsia="Calibri" w:hAnsi="Calibri"/>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3">
    <w:name w:val="Tabla con cuadrícula613"/>
    <w:basedOn w:val="Tablanormal"/>
    <w:next w:val="Tablaconcuadrcula"/>
    <w:uiPriority w:val="39"/>
    <w:qFormat/>
    <w:rsid w:val="00B94309"/>
    <w:rPr>
      <w:rFonts w:ascii="Calibri" w:eastAsia="Calibri" w:hAnsi="Calibri"/>
      <w:sz w:val="22"/>
      <w:szCs w:val="22"/>
      <w:lang w:val="es-CR"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21">
    <w:name w:val="Tabla de cuadrícula 421"/>
    <w:basedOn w:val="Tablanormal"/>
    <w:next w:val="Tabladecuadrcula4"/>
    <w:uiPriority w:val="49"/>
    <w:rsid w:val="00B94309"/>
    <w:rPr>
      <w:rFonts w:ascii="Calibri" w:eastAsia="Calibri" w:hAnsi="Calibri"/>
      <w:sz w:val="22"/>
      <w:szCs w:val="22"/>
      <w:lang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encionar2">
    <w:name w:val="Mencionar2"/>
    <w:uiPriority w:val="99"/>
    <w:unhideWhenUsed/>
    <w:rsid w:val="00B94309"/>
    <w:rPr>
      <w:color w:val="2B579A"/>
      <w:shd w:val="clear" w:color="auto" w:fill="E1DFDD"/>
    </w:rPr>
  </w:style>
  <w:style w:type="paragraph" w:customStyle="1" w:styleId="xmsolist3">
    <w:name w:val="x_msolist3"/>
    <w:basedOn w:val="Normal"/>
    <w:rsid w:val="00B94309"/>
    <w:pPr>
      <w:suppressAutoHyphens w:val="0"/>
      <w:spacing w:line="360" w:lineRule="auto"/>
      <w:ind w:left="357" w:hanging="357"/>
      <w:jc w:val="both"/>
    </w:pPr>
    <w:rPr>
      <w:rFonts w:ascii="Calibri" w:eastAsia="Calibri" w:hAnsi="Calibri" w:cs="Calibri"/>
      <w:sz w:val="22"/>
      <w:szCs w:val="22"/>
      <w:lang w:val="es-CR" w:eastAsia="es-CR"/>
    </w:rPr>
  </w:style>
  <w:style w:type="paragraph" w:customStyle="1" w:styleId="xl104">
    <w:name w:val="xl104"/>
    <w:basedOn w:val="Normal"/>
    <w:uiPriority w:val="99"/>
    <w:rsid w:val="00B94309"/>
    <w:pPr>
      <w:pBdr>
        <w:top w:val="single" w:sz="4" w:space="0" w:color="auto"/>
        <w:left w:val="single" w:sz="4" w:space="0" w:color="auto"/>
        <w:bottom w:val="single" w:sz="4" w:space="0" w:color="auto"/>
        <w:right w:val="single" w:sz="4" w:space="0" w:color="auto"/>
      </w:pBdr>
      <w:shd w:val="clear" w:color="993300" w:fill="FF0000"/>
      <w:suppressAutoHyphens w:val="0"/>
      <w:spacing w:before="100" w:beforeAutospacing="1" w:after="100" w:afterAutospacing="1" w:line="360" w:lineRule="auto"/>
      <w:ind w:left="357" w:hanging="357"/>
      <w:jc w:val="center"/>
      <w:textAlignment w:val="center"/>
    </w:pPr>
    <w:rPr>
      <w:rFonts w:ascii="Book Antiqua" w:hAnsi="Book Antiqua"/>
      <w:lang w:eastAsia="es-ES"/>
    </w:rPr>
  </w:style>
  <w:style w:type="paragraph" w:customStyle="1" w:styleId="wordsection1">
    <w:name w:val="wordsection1"/>
    <w:basedOn w:val="Normal"/>
    <w:uiPriority w:val="99"/>
    <w:rsid w:val="00B94309"/>
    <w:pPr>
      <w:suppressAutoHyphens w:val="0"/>
      <w:autoSpaceDN w:val="0"/>
      <w:spacing w:line="360" w:lineRule="auto"/>
      <w:ind w:left="357" w:hanging="357"/>
      <w:jc w:val="both"/>
    </w:pPr>
    <w:rPr>
      <w:rFonts w:eastAsia="Calibri"/>
      <w:lang w:val="es-CR" w:eastAsia="es-CR"/>
    </w:rPr>
  </w:style>
  <w:style w:type="numbering" w:customStyle="1" w:styleId="1111111112111">
    <w:name w:val="1.1 / 1.1.1 / 1.1.1.12111"/>
    <w:basedOn w:val="Sinlista"/>
    <w:unhideWhenUsed/>
    <w:rsid w:val="00B94309"/>
  </w:style>
  <w:style w:type="paragraph" w:customStyle="1" w:styleId="xmsoheading7">
    <w:name w:val="x_msoheading7"/>
    <w:basedOn w:val="Normal"/>
    <w:uiPriority w:val="99"/>
    <w:rsid w:val="00B94309"/>
    <w:pPr>
      <w:suppressAutoHyphens w:val="0"/>
    </w:pPr>
    <w:rPr>
      <w:rFonts w:ascii="Calibri" w:eastAsia="Calibri" w:hAnsi="Calibri" w:cs="Calibri"/>
      <w:sz w:val="22"/>
      <w:szCs w:val="22"/>
      <w:lang w:val="es-CR" w:eastAsia="es-CR"/>
    </w:rPr>
  </w:style>
  <w:style w:type="character" w:customStyle="1" w:styleId="contentpasted1">
    <w:name w:val="contentpasted1"/>
    <w:rsid w:val="00B94309"/>
  </w:style>
  <w:style w:type="character" w:customStyle="1" w:styleId="contentpasted2">
    <w:name w:val="contentpasted2"/>
    <w:rsid w:val="00B94309"/>
  </w:style>
  <w:style w:type="character" w:customStyle="1" w:styleId="contentpasted3">
    <w:name w:val="contentpasted3"/>
    <w:rsid w:val="00B94309"/>
  </w:style>
  <w:style w:type="table" w:customStyle="1" w:styleId="Tablaconcuadrcula711">
    <w:name w:val="Tabla con cuadrícula711"/>
    <w:basedOn w:val="Tablanormal"/>
    <w:next w:val="Tablaconcuadrcula"/>
    <w:rsid w:val="00B94309"/>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1">
    <w:name w:val="Tabla con cuadrícula721"/>
    <w:basedOn w:val="Tablanormal"/>
    <w:next w:val="Tablaconcuadrcula"/>
    <w:rsid w:val="00B94309"/>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3">
    <w:name w:val="Tabla con cuadrícula623"/>
    <w:basedOn w:val="Tablanormal"/>
    <w:next w:val="Tablaconcuadrcula"/>
    <w:uiPriority w:val="39"/>
    <w:qFormat/>
    <w:rsid w:val="00B94309"/>
    <w:rPr>
      <w:rFonts w:ascii="Calibri" w:eastAsia="Calibri" w:hAnsi="Calibri"/>
      <w:sz w:val="22"/>
      <w:szCs w:val="22"/>
      <w:lang w:val="es-CR"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111">
    <w:name w:val="Car11"/>
    <w:basedOn w:val="Normal"/>
    <w:semiHidden/>
    <w:rsid w:val="00B94309"/>
    <w:pPr>
      <w:suppressAutoHyphens w:val="0"/>
      <w:spacing w:after="160" w:line="240" w:lineRule="exact"/>
    </w:pPr>
    <w:rPr>
      <w:rFonts w:ascii="Verdana" w:hAnsi="Verdana" w:cs="Verdana"/>
      <w:sz w:val="20"/>
      <w:szCs w:val="20"/>
      <w:lang w:val="en-AU" w:eastAsia="en-US"/>
    </w:rPr>
  </w:style>
  <w:style w:type="character" w:customStyle="1" w:styleId="html">
    <w:name w:val="html"/>
    <w:rsid w:val="00B94309"/>
  </w:style>
  <w:style w:type="table" w:customStyle="1" w:styleId="Tablaconcuadrcula81">
    <w:name w:val="Tabla con cuadrícula81"/>
    <w:basedOn w:val="Tablanormal"/>
    <w:next w:val="Tablaconcuadrcula"/>
    <w:uiPriority w:val="39"/>
    <w:rsid w:val="00B94309"/>
    <w:rPr>
      <w:rFonts w:ascii="Liberation Serif" w:eastAsia="SimSun" w:hAnsi="Liberation Serif" w:cs="Lucida Sans"/>
      <w:szCs w:val="24"/>
      <w:lang w:val="es-CR"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Agestin">
    <w:name w:val="A A gestión"/>
    <w:basedOn w:val="Normal"/>
    <w:link w:val="AAgestinCar"/>
    <w:qFormat/>
    <w:rsid w:val="00B94309"/>
    <w:pPr>
      <w:spacing w:before="120" w:after="120"/>
      <w:ind w:left="851" w:right="851" w:firstLine="709"/>
      <w:jc w:val="both"/>
    </w:pPr>
    <w:rPr>
      <w:color w:val="000099"/>
      <w:sz w:val="26"/>
      <w:szCs w:val="26"/>
      <w:lang w:val="es-ES_tradnl"/>
    </w:rPr>
  </w:style>
  <w:style w:type="character" w:customStyle="1" w:styleId="AAgestinCar">
    <w:name w:val="A A gestión Car"/>
    <w:link w:val="AAgestin"/>
    <w:rsid w:val="00B94309"/>
    <w:rPr>
      <w:color w:val="000099"/>
      <w:sz w:val="26"/>
      <w:szCs w:val="26"/>
      <w:lang w:val="es-ES_tradnl" w:eastAsia="ar-SA"/>
    </w:rPr>
  </w:style>
  <w:style w:type="character" w:customStyle="1" w:styleId="xmsosmartlink">
    <w:name w:val="x_msosmartlink"/>
    <w:basedOn w:val="Fuentedeprrafopredeter"/>
    <w:rsid w:val="00B94309"/>
  </w:style>
  <w:style w:type="numbering" w:customStyle="1" w:styleId="Sinlista15">
    <w:name w:val="Sin lista15"/>
    <w:next w:val="Sinlista"/>
    <w:uiPriority w:val="99"/>
    <w:semiHidden/>
    <w:unhideWhenUsed/>
    <w:rsid w:val="00B94309"/>
  </w:style>
  <w:style w:type="table" w:customStyle="1" w:styleId="Tablaconcuadrcula91">
    <w:name w:val="Tabla con cuadrícula91"/>
    <w:basedOn w:val="Tablanormal"/>
    <w:next w:val="Tablaconcuadrcula"/>
    <w:uiPriority w:val="39"/>
    <w:rsid w:val="00B94309"/>
    <w:rPr>
      <w:rFonts w:ascii="Calibri" w:eastAsia="Calibri" w:hAnsi="Calibri"/>
      <w:sz w:val="22"/>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
    <w:name w:val="Sin lista114"/>
    <w:next w:val="Sinlista"/>
    <w:semiHidden/>
    <w:unhideWhenUsed/>
    <w:rsid w:val="00B94309"/>
  </w:style>
  <w:style w:type="table" w:customStyle="1" w:styleId="Tablaconcuadrcula114">
    <w:name w:val="Tabla con cuadrícula114"/>
    <w:basedOn w:val="Tablanormal"/>
    <w:next w:val="Tablaconcuadrcula"/>
    <w:qFormat/>
    <w:rsid w:val="00B94309"/>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3-nfasis314">
    <w:name w:val="Tabla de lista 3 - Énfasis 314"/>
    <w:basedOn w:val="Tablanormal"/>
    <w:next w:val="Tabladelista3-nfasis3"/>
    <w:uiPriority w:val="48"/>
    <w:rsid w:val="00B94309"/>
    <w:rPr>
      <w:lang w:val="es-CR" w:eastAsia="es-CR"/>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customStyle="1" w:styleId="Tabladecuadrcula4111">
    <w:name w:val="Tabla de cuadrícula 4111"/>
    <w:basedOn w:val="Tablanormal"/>
    <w:next w:val="Tabladecuadrcula4"/>
    <w:uiPriority w:val="49"/>
    <w:rsid w:val="00B94309"/>
    <w:rPr>
      <w:rFonts w:ascii="Calibri" w:eastAsia="Calibri" w:hAnsi="Calibri"/>
      <w:sz w:val="22"/>
      <w:szCs w:val="22"/>
      <w:lang w:val="es-CR" w:eastAsia="en-U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WWNum311">
    <w:name w:val="WWNum311"/>
    <w:basedOn w:val="Sinlista"/>
    <w:rsid w:val="00B94309"/>
  </w:style>
  <w:style w:type="table" w:customStyle="1" w:styleId="Tablaconcuadrcula1113">
    <w:name w:val="Tabla con cuadrícula1113"/>
    <w:basedOn w:val="Tablanormal"/>
    <w:next w:val="Tablaconcuadrcula"/>
    <w:uiPriority w:val="39"/>
    <w:rsid w:val="00B94309"/>
    <w:rPr>
      <w:lang w:val="es-CR"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211">
    <w:name w:val="Tabla de cuadrícula 4211"/>
    <w:basedOn w:val="Tablanormal"/>
    <w:next w:val="Tabladecuadrcula4"/>
    <w:uiPriority w:val="49"/>
    <w:rsid w:val="00B94309"/>
    <w:rPr>
      <w:rFonts w:ascii="Calibri" w:eastAsia="Calibri" w:hAnsi="Calibri"/>
      <w:sz w:val="22"/>
      <w:szCs w:val="22"/>
      <w:lang w:eastAsia="en-U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11111111121111">
    <w:name w:val="1.1 / 1.1.1 / 1.1.1.121111"/>
    <w:basedOn w:val="Sinlista"/>
    <w:unhideWhenUsed/>
    <w:rsid w:val="00B94309"/>
  </w:style>
  <w:style w:type="table" w:customStyle="1" w:styleId="Tablaconcuadrcula4-nfasis131">
    <w:name w:val="Tabla con cuadrícula 4 - Énfasis 131"/>
    <w:basedOn w:val="Tablanormal"/>
    <w:next w:val="Tablaconcuadrcula4-nfasis1"/>
    <w:uiPriority w:val="49"/>
    <w:rsid w:val="00B94309"/>
    <w:rPr>
      <w:rFonts w:ascii="Calibri" w:eastAsia="Calibri" w:hAnsi="Calibri"/>
      <w:sz w:val="22"/>
      <w:szCs w:val="22"/>
      <w:lang w:val="es-CR"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5oscura-nfasis131">
    <w:name w:val="Tabla con cuadrícula 5 oscura - Énfasis 131"/>
    <w:basedOn w:val="Tablanormal"/>
    <w:next w:val="Tablaconcuadrcula5oscura-nfasis1"/>
    <w:uiPriority w:val="50"/>
    <w:rsid w:val="00B94309"/>
    <w:rPr>
      <w:rFonts w:ascii="Calibri" w:eastAsia="Calibri" w:hAnsi="Calibri"/>
      <w:sz w:val="22"/>
      <w:szCs w:val="22"/>
      <w:lang w:val="es-CR"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5oscura-nfasis531">
    <w:name w:val="Tabla con cuadrícula 5 oscura - Énfasis 531"/>
    <w:basedOn w:val="Tablanormal"/>
    <w:next w:val="Tablaconcuadrcula5oscura-nfasis5"/>
    <w:uiPriority w:val="50"/>
    <w:rsid w:val="00B94309"/>
    <w:rPr>
      <w:rFonts w:ascii="Calibri" w:eastAsia="Calibri" w:hAnsi="Calibri"/>
      <w:sz w:val="22"/>
      <w:szCs w:val="22"/>
      <w:lang w:val="es-CR"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911">
    <w:name w:val="Tabla con cuadrícula911"/>
    <w:basedOn w:val="Tablanormal"/>
    <w:next w:val="Tablaconcuadrcula"/>
    <w:rsid w:val="00B94309"/>
    <w:rPr>
      <w:rFonts w:ascii="Arial" w:hAnsi="Arial" w:cs="Arial"/>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2">
    <w:name w:val="List Paragraph2"/>
    <w:basedOn w:val="Normal"/>
    <w:uiPriority w:val="99"/>
    <w:qFormat/>
    <w:rsid w:val="00B94309"/>
    <w:pPr>
      <w:suppressAutoHyphens w:val="0"/>
      <w:spacing w:after="200" w:line="276" w:lineRule="auto"/>
      <w:ind w:left="720"/>
      <w:contextualSpacing/>
    </w:pPr>
    <w:rPr>
      <w:rFonts w:ascii="Calibri" w:hAnsi="Calibri"/>
      <w:sz w:val="22"/>
      <w:szCs w:val="22"/>
      <w:lang w:eastAsia="en-US"/>
    </w:rPr>
  </w:style>
  <w:style w:type="numbering" w:customStyle="1" w:styleId="Sinlista1111">
    <w:name w:val="Sin lista1111"/>
    <w:next w:val="Sinlista"/>
    <w:uiPriority w:val="99"/>
    <w:semiHidden/>
    <w:unhideWhenUsed/>
    <w:rsid w:val="00B94309"/>
  </w:style>
  <w:style w:type="table" w:customStyle="1" w:styleId="Tablaconcuadrcula133">
    <w:name w:val="Tabla con cuadrícula133"/>
    <w:basedOn w:val="Tablanormal"/>
    <w:next w:val="Tablaconcuadrcula"/>
    <w:uiPriority w:val="39"/>
    <w:rsid w:val="00B94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4">
    <w:name w:val="Sin lista24"/>
    <w:next w:val="Sinlista"/>
    <w:semiHidden/>
    <w:rsid w:val="00B94309"/>
  </w:style>
  <w:style w:type="table" w:customStyle="1" w:styleId="Tablaconcuadrcula224">
    <w:name w:val="Tabla con cuadrícula224"/>
    <w:basedOn w:val="Tablanormal"/>
    <w:next w:val="Tablaconcuadrcula"/>
    <w:rsid w:val="00B94309"/>
    <w:rPr>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elegante21">
    <w:name w:val="Tabla elegante21"/>
    <w:basedOn w:val="Tablanormal"/>
    <w:next w:val="Tablaelegante"/>
    <w:rsid w:val="00B94309"/>
    <w:rPr>
      <w:lang w:val="es-CR" w:eastAsia="es-C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normal16">
    <w:name w:val="Tabla normal 16"/>
    <w:basedOn w:val="Tablanormal"/>
    <w:next w:val="Tablanormal1"/>
    <w:uiPriority w:val="41"/>
    <w:rsid w:val="00B94309"/>
    <w:rPr>
      <w:rFonts w:ascii="Calibri" w:eastAsia="Calibri" w:hAnsi="Calibri"/>
      <w:lang w:val="es-CR"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spellingerror">
    <w:name w:val="spellingerror"/>
    <w:rsid w:val="00B94309"/>
  </w:style>
  <w:style w:type="character" w:customStyle="1" w:styleId="contextualspellingandgrammarerror">
    <w:name w:val="contextualspellingandgrammarerror"/>
    <w:rsid w:val="00B94309"/>
  </w:style>
  <w:style w:type="character" w:customStyle="1" w:styleId="scxw73572822">
    <w:name w:val="scxw73572822"/>
    <w:rsid w:val="00B94309"/>
  </w:style>
  <w:style w:type="character" w:styleId="Mencionar">
    <w:name w:val="Mention"/>
    <w:uiPriority w:val="99"/>
    <w:unhideWhenUsed/>
    <w:rsid w:val="00B94309"/>
    <w:rPr>
      <w:color w:val="2B579A"/>
      <w:shd w:val="clear" w:color="auto" w:fill="E1DFDD"/>
    </w:rPr>
  </w:style>
  <w:style w:type="table" w:styleId="Tablaconcuadrcula3-nfasis5">
    <w:name w:val="Grid Table 3 Accent 5"/>
    <w:basedOn w:val="Tablanormal"/>
    <w:uiPriority w:val="48"/>
    <w:rsid w:val="00B94309"/>
    <w:rPr>
      <w:rFonts w:ascii="Calibri" w:eastAsia="Calibri" w:hAnsi="Calibri" w:cs="Arial"/>
      <w:sz w:val="22"/>
      <w:szCs w:val="22"/>
      <w:lang w:val="es-CR"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paragraph" w:customStyle="1" w:styleId="xxxxxmsonormal">
    <w:name w:val="x_x_x_xxmsonormal"/>
    <w:basedOn w:val="Normal"/>
    <w:rsid w:val="00B94309"/>
    <w:pPr>
      <w:suppressAutoHyphens w:val="0"/>
    </w:pPr>
    <w:rPr>
      <w:rFonts w:ascii="Calibri" w:eastAsia="Calibri" w:hAnsi="Calibri" w:cs="Calibri"/>
      <w:sz w:val="22"/>
      <w:szCs w:val="22"/>
      <w:lang w:val="es-CR" w:eastAsia="es-CR"/>
    </w:rPr>
  </w:style>
  <w:style w:type="table" w:styleId="Tablaclsica1">
    <w:name w:val="Table Classic 1"/>
    <w:basedOn w:val="Tablanormal"/>
    <w:rsid w:val="00B94309"/>
    <w:rPr>
      <w:lang w:val="es-CR" w:eastAsia="es-CR"/>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uadrcula1clara-nfasis1">
    <w:name w:val="Grid Table 1 Light Accent 1"/>
    <w:basedOn w:val="Tablanormal"/>
    <w:uiPriority w:val="46"/>
    <w:rsid w:val="00B94309"/>
    <w:rPr>
      <w:lang w:val="es-CR" w:eastAsia="es-CR"/>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xxxxxxmsonormal">
    <w:name w:val="x_xxxxxmsonormal"/>
    <w:basedOn w:val="Normal"/>
    <w:rsid w:val="00B94309"/>
    <w:pPr>
      <w:suppressAutoHyphens w:val="0"/>
    </w:pPr>
    <w:rPr>
      <w:rFonts w:ascii="Calibri" w:eastAsia="Calibri" w:hAnsi="Calibri" w:cs="Calibri"/>
      <w:sz w:val="22"/>
      <w:szCs w:val="22"/>
      <w:lang w:val="es-CR" w:eastAsia="es-CR"/>
    </w:rPr>
  </w:style>
  <w:style w:type="table" w:customStyle="1" w:styleId="Tablaconcuadrcula4-nfasis51">
    <w:name w:val="Tabla con cuadrícula 4 - Énfasis 51"/>
    <w:basedOn w:val="Tablanormal"/>
    <w:next w:val="Tablaconcuadrcula4-nfasis5"/>
    <w:uiPriority w:val="49"/>
    <w:rsid w:val="00B94309"/>
    <w:rPr>
      <w:rFonts w:ascii="Calibri" w:eastAsia="Calibri" w:hAnsi="Calibri"/>
      <w:sz w:val="22"/>
      <w:szCs w:val="22"/>
      <w:lang w:val="es-CR"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clara1">
    <w:name w:val="Tabla con cuadrícula clara1"/>
    <w:basedOn w:val="Tablanormal"/>
    <w:next w:val="Tablaconcuadrculaclara"/>
    <w:uiPriority w:val="40"/>
    <w:rsid w:val="00B94309"/>
    <w:rPr>
      <w:rFonts w:ascii="Calibri" w:eastAsia="Calibri" w:hAnsi="Calibri"/>
      <w:sz w:val="22"/>
      <w:szCs w:val="22"/>
      <w:lang w:val="es-CR"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aconcuadrcula4-nfasis5">
    <w:name w:val="Grid Table 4 Accent 5"/>
    <w:basedOn w:val="Tablanormal"/>
    <w:uiPriority w:val="49"/>
    <w:rsid w:val="00B94309"/>
    <w:rPr>
      <w:lang w:val="es-CR" w:eastAsia="es-CR"/>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concuadrculaclara">
    <w:name w:val="Grid Table Light"/>
    <w:basedOn w:val="Tablanormal"/>
    <w:uiPriority w:val="40"/>
    <w:rsid w:val="00B94309"/>
    <w:rPr>
      <w:lang w:val="es-CR" w:eastAsia="es-C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Sinlista33">
    <w:name w:val="Sin lista33"/>
    <w:next w:val="Sinlista"/>
    <w:uiPriority w:val="99"/>
    <w:semiHidden/>
    <w:unhideWhenUsed/>
    <w:rsid w:val="00B94309"/>
  </w:style>
  <w:style w:type="table" w:customStyle="1" w:styleId="Tablaconcuadrcula10">
    <w:name w:val="Tabla con cuadrícula10"/>
    <w:basedOn w:val="Tablanormal"/>
    <w:next w:val="Tablaconcuadrcula"/>
    <w:uiPriority w:val="39"/>
    <w:rsid w:val="00B94309"/>
    <w:rPr>
      <w:rFonts w:ascii="Calibri" w:eastAsia="Calibri" w:hAnsi="Calibri"/>
      <w:sz w:val="22"/>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3">
    <w:name w:val="Sin lista123"/>
    <w:next w:val="Sinlista"/>
    <w:semiHidden/>
    <w:unhideWhenUsed/>
    <w:rsid w:val="00B94309"/>
  </w:style>
  <w:style w:type="table" w:customStyle="1" w:styleId="Tablaconcuadrcula143">
    <w:name w:val="Tabla con cuadrícula143"/>
    <w:basedOn w:val="Tablanormal"/>
    <w:next w:val="Tablaconcuadrcula"/>
    <w:qFormat/>
    <w:rsid w:val="00B94309"/>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12">
    <w:name w:val="Tabla de cuadrícula 412"/>
    <w:basedOn w:val="Tablanormal"/>
    <w:next w:val="Tabladecuadrcula4"/>
    <w:uiPriority w:val="49"/>
    <w:rsid w:val="00B94309"/>
    <w:rPr>
      <w:rFonts w:ascii="Calibri" w:eastAsia="Calibri" w:hAnsi="Calibri"/>
      <w:sz w:val="22"/>
      <w:szCs w:val="22"/>
      <w:lang w:val="es-CR" w:eastAsia="en-U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WWNum312">
    <w:name w:val="WWNum312"/>
    <w:basedOn w:val="Sinlista"/>
    <w:rsid w:val="00B94309"/>
  </w:style>
  <w:style w:type="table" w:customStyle="1" w:styleId="Tablaconcuadrcula1121">
    <w:name w:val="Tabla con cuadrícula1121"/>
    <w:basedOn w:val="Tablanormal"/>
    <w:next w:val="Tablaconcuadrcula"/>
    <w:uiPriority w:val="39"/>
    <w:rsid w:val="00B94309"/>
    <w:rPr>
      <w:lang w:val="es-CR"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22">
    <w:name w:val="Tabla de cuadrícula 422"/>
    <w:basedOn w:val="Tablanormal"/>
    <w:next w:val="Tabladecuadrcula4"/>
    <w:uiPriority w:val="49"/>
    <w:rsid w:val="00B94309"/>
    <w:rPr>
      <w:rFonts w:ascii="Calibri" w:eastAsia="Calibri" w:hAnsi="Calibri"/>
      <w:sz w:val="22"/>
      <w:szCs w:val="22"/>
      <w:lang w:eastAsia="en-U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11111111121112">
    <w:name w:val="1.1 / 1.1.1 / 1.1.1.121112"/>
    <w:basedOn w:val="Sinlista"/>
    <w:unhideWhenUsed/>
    <w:rsid w:val="00B94309"/>
  </w:style>
  <w:style w:type="table" w:customStyle="1" w:styleId="Tabladelista3-nfasis334">
    <w:name w:val="Tabla de lista 3 - Énfasis 334"/>
    <w:basedOn w:val="Tablanormal"/>
    <w:next w:val="Tabladelista3-nfasis3"/>
    <w:uiPriority w:val="48"/>
    <w:rsid w:val="00B94309"/>
    <w:rPr>
      <w:rFonts w:ascii="Calibri" w:eastAsia="Calibri" w:hAnsi="Calibri"/>
      <w:sz w:val="22"/>
      <w:szCs w:val="22"/>
      <w:lang w:val="es-CR"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laconcuadrcula4-nfasis141">
    <w:name w:val="Tabla con cuadrícula 4 - Énfasis 141"/>
    <w:basedOn w:val="Tablanormal"/>
    <w:next w:val="Tablaconcuadrcula4-nfasis1"/>
    <w:uiPriority w:val="49"/>
    <w:rsid w:val="00B94309"/>
    <w:rPr>
      <w:rFonts w:ascii="Calibri" w:eastAsia="Calibri" w:hAnsi="Calibri"/>
      <w:sz w:val="22"/>
      <w:szCs w:val="22"/>
      <w:lang w:val="es-CR"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5oscura-nfasis141">
    <w:name w:val="Tabla con cuadrícula 5 oscura - Énfasis 141"/>
    <w:basedOn w:val="Tablanormal"/>
    <w:next w:val="Tablaconcuadrcula5oscura-nfasis1"/>
    <w:uiPriority w:val="50"/>
    <w:rsid w:val="00B94309"/>
    <w:rPr>
      <w:rFonts w:ascii="Calibri" w:eastAsia="Calibri" w:hAnsi="Calibri"/>
      <w:sz w:val="22"/>
      <w:szCs w:val="22"/>
      <w:lang w:val="es-CR"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5oscura-nfasis541">
    <w:name w:val="Tabla con cuadrícula 5 oscura - Énfasis 541"/>
    <w:basedOn w:val="Tablanormal"/>
    <w:next w:val="Tablaconcuadrcula5oscura-nfasis5"/>
    <w:uiPriority w:val="50"/>
    <w:rsid w:val="00B94309"/>
    <w:rPr>
      <w:rFonts w:ascii="Calibri" w:eastAsia="Calibri" w:hAnsi="Calibri"/>
      <w:sz w:val="22"/>
      <w:szCs w:val="22"/>
      <w:lang w:val="es-CR"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92">
    <w:name w:val="Tabla con cuadrícula92"/>
    <w:basedOn w:val="Tablanormal"/>
    <w:next w:val="Tablaconcuadrcula"/>
    <w:rsid w:val="00B94309"/>
    <w:rPr>
      <w:rFonts w:ascii="Arial" w:hAnsi="Arial" w:cs="Arial"/>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1">
    <w:name w:val="Sin lista1121"/>
    <w:next w:val="Sinlista"/>
    <w:uiPriority w:val="99"/>
    <w:semiHidden/>
    <w:unhideWhenUsed/>
    <w:rsid w:val="00B94309"/>
  </w:style>
  <w:style w:type="numbering" w:customStyle="1" w:styleId="Sinlista213">
    <w:name w:val="Sin lista213"/>
    <w:next w:val="Sinlista"/>
    <w:semiHidden/>
    <w:rsid w:val="00B94309"/>
  </w:style>
  <w:style w:type="table" w:customStyle="1" w:styleId="Tablaconcuadrcula4-nfasis52">
    <w:name w:val="Tabla con cuadrícula 4 - Énfasis 52"/>
    <w:basedOn w:val="Tablanormal"/>
    <w:next w:val="Tablaconcuadrcula4-nfasis5"/>
    <w:uiPriority w:val="49"/>
    <w:rsid w:val="00B94309"/>
    <w:rPr>
      <w:rFonts w:ascii="Calibri" w:eastAsia="Calibri" w:hAnsi="Calibri"/>
      <w:sz w:val="22"/>
      <w:szCs w:val="22"/>
      <w:lang w:val="es-CR"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clara2">
    <w:name w:val="Tabla con cuadrícula clara2"/>
    <w:basedOn w:val="Tablanormal"/>
    <w:next w:val="Tablaconcuadrculaclara"/>
    <w:uiPriority w:val="40"/>
    <w:rsid w:val="00B94309"/>
    <w:rPr>
      <w:rFonts w:ascii="Calibri" w:eastAsia="Calibri" w:hAnsi="Calibri"/>
      <w:sz w:val="22"/>
      <w:szCs w:val="22"/>
      <w:lang w:val="es-CR"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Sinlista41">
    <w:name w:val="Sin lista41"/>
    <w:next w:val="Sinlista"/>
    <w:uiPriority w:val="99"/>
    <w:semiHidden/>
    <w:unhideWhenUsed/>
    <w:rsid w:val="00B94309"/>
  </w:style>
  <w:style w:type="table" w:customStyle="1" w:styleId="Tablaconcuadrcula153">
    <w:name w:val="Tabla con cuadrícula153"/>
    <w:basedOn w:val="Tablanormal"/>
    <w:next w:val="Tablaconcuadrcula"/>
    <w:uiPriority w:val="39"/>
    <w:rsid w:val="00B94309"/>
    <w:rPr>
      <w:rFonts w:ascii="Calibri" w:eastAsia="Calibri" w:hAnsi="Calibri"/>
      <w:sz w:val="22"/>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
    <w:name w:val="Sin lista131"/>
    <w:next w:val="Sinlista"/>
    <w:uiPriority w:val="99"/>
    <w:semiHidden/>
    <w:unhideWhenUsed/>
    <w:rsid w:val="00B94309"/>
  </w:style>
  <w:style w:type="table" w:customStyle="1" w:styleId="Tablaconcuadrcula161">
    <w:name w:val="Tabla con cuadrícula161"/>
    <w:basedOn w:val="Tablanormal"/>
    <w:next w:val="Tablaconcuadrcula"/>
    <w:qFormat/>
    <w:rsid w:val="00B94309"/>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13">
    <w:name w:val="Tabla de cuadrícula 413"/>
    <w:basedOn w:val="Tablanormal"/>
    <w:next w:val="Tabladecuadrcula4"/>
    <w:uiPriority w:val="49"/>
    <w:rsid w:val="00B94309"/>
    <w:rPr>
      <w:rFonts w:ascii="Calibri" w:eastAsia="Calibri" w:hAnsi="Calibri"/>
      <w:sz w:val="22"/>
      <w:szCs w:val="22"/>
      <w:lang w:val="es-CR" w:eastAsia="en-U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WWNum313">
    <w:name w:val="WWNum313"/>
    <w:basedOn w:val="Sinlista"/>
    <w:rsid w:val="00B94309"/>
    <w:pPr>
      <w:numPr>
        <w:numId w:val="13"/>
      </w:numPr>
    </w:pPr>
  </w:style>
  <w:style w:type="table" w:customStyle="1" w:styleId="Tablaconcuadrcula1131">
    <w:name w:val="Tabla con cuadrícula1131"/>
    <w:basedOn w:val="Tablanormal"/>
    <w:next w:val="Tablaconcuadrcula"/>
    <w:uiPriority w:val="39"/>
    <w:rsid w:val="00B94309"/>
    <w:rPr>
      <w:lang w:val="es-CR"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23">
    <w:name w:val="Tabla de cuadrícula 423"/>
    <w:basedOn w:val="Tablanormal"/>
    <w:next w:val="Tabladecuadrcula4"/>
    <w:uiPriority w:val="49"/>
    <w:rsid w:val="00B94309"/>
    <w:rPr>
      <w:rFonts w:ascii="Calibri" w:eastAsia="Calibri" w:hAnsi="Calibri"/>
      <w:sz w:val="22"/>
      <w:szCs w:val="22"/>
      <w:lang w:eastAsia="en-U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11111111121113">
    <w:name w:val="1.1 / 1.1.1 / 1.1.1.121113"/>
    <w:basedOn w:val="Sinlista"/>
    <w:unhideWhenUsed/>
    <w:rsid w:val="00B94309"/>
    <w:pPr>
      <w:numPr>
        <w:numId w:val="15"/>
      </w:numPr>
    </w:pPr>
  </w:style>
  <w:style w:type="table" w:customStyle="1" w:styleId="Tabladelista3-nfasis341">
    <w:name w:val="Tabla de lista 3 - Énfasis 341"/>
    <w:basedOn w:val="Tablanormal"/>
    <w:next w:val="Tabladelista3-nfasis3"/>
    <w:uiPriority w:val="48"/>
    <w:rsid w:val="00B94309"/>
    <w:rPr>
      <w:rFonts w:ascii="Calibri" w:eastAsia="Calibri" w:hAnsi="Calibri"/>
      <w:sz w:val="22"/>
      <w:szCs w:val="22"/>
      <w:lang w:val="es-CR"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laconcuadrcula4-nfasis151">
    <w:name w:val="Tabla con cuadrícula 4 - Énfasis 151"/>
    <w:basedOn w:val="Tablanormal"/>
    <w:next w:val="Tablaconcuadrcula4-nfasis1"/>
    <w:uiPriority w:val="49"/>
    <w:rsid w:val="00B94309"/>
    <w:rPr>
      <w:rFonts w:ascii="Calibri" w:eastAsia="Calibri" w:hAnsi="Calibri"/>
      <w:sz w:val="22"/>
      <w:szCs w:val="22"/>
      <w:lang w:val="es-CR"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5oscura-nfasis151">
    <w:name w:val="Tabla con cuadrícula 5 oscura - Énfasis 151"/>
    <w:basedOn w:val="Tablanormal"/>
    <w:next w:val="Tablaconcuadrcula5oscura-nfasis1"/>
    <w:uiPriority w:val="50"/>
    <w:rsid w:val="00B94309"/>
    <w:rPr>
      <w:rFonts w:ascii="Calibri" w:eastAsia="Calibri" w:hAnsi="Calibri"/>
      <w:sz w:val="22"/>
      <w:szCs w:val="22"/>
      <w:lang w:val="es-CR"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5oscura-nfasis551">
    <w:name w:val="Tabla con cuadrícula 5 oscura - Énfasis 551"/>
    <w:basedOn w:val="Tablanormal"/>
    <w:next w:val="Tablaconcuadrcula5oscura-nfasis5"/>
    <w:uiPriority w:val="50"/>
    <w:rsid w:val="00B94309"/>
    <w:rPr>
      <w:rFonts w:ascii="Calibri" w:eastAsia="Calibri" w:hAnsi="Calibri"/>
      <w:sz w:val="22"/>
      <w:szCs w:val="22"/>
      <w:lang w:val="es-CR"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93">
    <w:name w:val="Tabla con cuadrícula93"/>
    <w:basedOn w:val="Tablanormal"/>
    <w:next w:val="Tablaconcuadrcula"/>
    <w:rsid w:val="00B94309"/>
    <w:rPr>
      <w:rFonts w:ascii="Arial" w:hAnsi="Arial" w:cs="Arial"/>
      <w:lang w:val="es-CR"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
    <w:name w:val="Sin lista1131"/>
    <w:next w:val="Sinlista"/>
    <w:uiPriority w:val="99"/>
    <w:semiHidden/>
    <w:unhideWhenUsed/>
    <w:rsid w:val="00B94309"/>
  </w:style>
  <w:style w:type="numbering" w:customStyle="1" w:styleId="Sinlista221">
    <w:name w:val="Sin lista221"/>
    <w:next w:val="Sinlista"/>
    <w:semiHidden/>
    <w:rsid w:val="00B94309"/>
  </w:style>
  <w:style w:type="table" w:customStyle="1" w:styleId="Tablaconcuadrcula5oscura-nfasis532">
    <w:name w:val="Tabla con cuadrícula 5 oscura - Énfasis 532"/>
    <w:basedOn w:val="Tablanormal"/>
    <w:next w:val="Tablaconcuadrcula5oscura-nfasis5"/>
    <w:uiPriority w:val="50"/>
    <w:rsid w:val="00B94309"/>
    <w:rPr>
      <w:rFonts w:ascii="Calibri" w:eastAsia="Calibri" w:hAnsi="Calibri"/>
      <w:sz w:val="22"/>
      <w:szCs w:val="22"/>
      <w:lang w:val="es-CR"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5oscura-nfasis132">
    <w:name w:val="Tabla con cuadrícula 5 oscura - Énfasis 132"/>
    <w:basedOn w:val="Tablanormal"/>
    <w:next w:val="Tablaconcuadrcula5oscura-nfasis1"/>
    <w:uiPriority w:val="50"/>
    <w:rsid w:val="00B94309"/>
    <w:rPr>
      <w:rFonts w:ascii="Calibri" w:eastAsia="Calibri" w:hAnsi="Calibri"/>
      <w:sz w:val="22"/>
      <w:szCs w:val="22"/>
      <w:lang w:val="es-CR"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4-nfasis132">
    <w:name w:val="Tabla con cuadrícula 4 - Énfasis 132"/>
    <w:basedOn w:val="Tablanormal"/>
    <w:next w:val="Tablaconcuadrcula4-nfasis1"/>
    <w:uiPriority w:val="49"/>
    <w:rsid w:val="00B94309"/>
    <w:rPr>
      <w:rFonts w:ascii="Calibri" w:eastAsia="Calibri" w:hAnsi="Calibri"/>
      <w:sz w:val="22"/>
      <w:szCs w:val="22"/>
      <w:lang w:val="es-CR"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3">
    <w:name w:val="Tabla con cuadrícula 4 - Énfasis 53"/>
    <w:basedOn w:val="Tablanormal"/>
    <w:next w:val="Tablaconcuadrcula4-nfasis5"/>
    <w:uiPriority w:val="49"/>
    <w:rsid w:val="00B94309"/>
    <w:rPr>
      <w:rFonts w:ascii="Calibri" w:eastAsia="Calibri" w:hAnsi="Calibri"/>
      <w:sz w:val="22"/>
      <w:szCs w:val="22"/>
      <w:lang w:val="es-CR"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clara3">
    <w:name w:val="Tabla con cuadrícula clara3"/>
    <w:basedOn w:val="Tablanormal"/>
    <w:next w:val="Tablaconcuadrculaclara"/>
    <w:uiPriority w:val="40"/>
    <w:rsid w:val="00B94309"/>
    <w:rPr>
      <w:rFonts w:ascii="Calibri" w:eastAsia="Calibri" w:hAnsi="Calibri"/>
      <w:sz w:val="22"/>
      <w:szCs w:val="22"/>
      <w:lang w:val="es-CR"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171">
    <w:name w:val="Tabla con cuadrícula171"/>
    <w:basedOn w:val="Tablanormal"/>
    <w:next w:val="Tablaconcuadrcula"/>
    <w:qFormat/>
    <w:rsid w:val="00B94309"/>
    <w:rPr>
      <w:rFonts w:ascii="Calibri" w:eastAsia="Calibri" w:hAnsi="Calibri"/>
      <w:sz w:val="22"/>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1">
    <w:name w:val="Tabla con cuadrícula181"/>
    <w:basedOn w:val="Tablanormal"/>
    <w:next w:val="Tablaconcuadrcula"/>
    <w:qFormat/>
    <w:rsid w:val="00B94309"/>
    <w:rPr>
      <w:rFonts w:ascii="Calibri" w:eastAsia="Calibri" w:hAnsi="Calibri"/>
      <w:sz w:val="22"/>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314">
    <w:name w:val="WWNum314"/>
    <w:basedOn w:val="Sinlista"/>
    <w:rsid w:val="00B94309"/>
    <w:pPr>
      <w:numPr>
        <w:numId w:val="12"/>
      </w:numPr>
    </w:pPr>
  </w:style>
  <w:style w:type="numbering" w:customStyle="1" w:styleId="11111111121114">
    <w:name w:val="1.1 / 1.1.1 / 1.1.1.121114"/>
    <w:basedOn w:val="Sinlista"/>
    <w:unhideWhenUsed/>
    <w:rsid w:val="00B94309"/>
    <w:pPr>
      <w:numPr>
        <w:numId w:val="14"/>
      </w:numPr>
    </w:pPr>
  </w:style>
  <w:style w:type="numbering" w:customStyle="1" w:styleId="WWNum315">
    <w:name w:val="WWNum315"/>
    <w:basedOn w:val="Sinlista"/>
    <w:rsid w:val="00B94309"/>
    <w:pPr>
      <w:numPr>
        <w:numId w:val="16"/>
      </w:numPr>
    </w:pPr>
  </w:style>
  <w:style w:type="numbering" w:customStyle="1" w:styleId="11111111121115">
    <w:name w:val="1.1 / 1.1.1 / 1.1.1.121115"/>
    <w:basedOn w:val="Sinlista"/>
    <w:unhideWhenUsed/>
    <w:rsid w:val="00B94309"/>
    <w:pPr>
      <w:numPr>
        <w:numId w:val="17"/>
      </w:numPr>
    </w:pPr>
  </w:style>
  <w:style w:type="numbering" w:customStyle="1" w:styleId="List123">
    <w:name w:val="List 123"/>
    <w:basedOn w:val="Sinlista"/>
    <w:rsid w:val="00365B7E"/>
    <w:pPr>
      <w:numPr>
        <w:numId w:val="18"/>
      </w:numPr>
    </w:pPr>
  </w:style>
  <w:style w:type="numbering" w:customStyle="1" w:styleId="List131">
    <w:name w:val="List 131"/>
    <w:basedOn w:val="Sinlista"/>
    <w:rsid w:val="0033485D"/>
  </w:style>
  <w:style w:type="character" w:customStyle="1" w:styleId="Jonathan4Car">
    <w:name w:val="Jonathan 4 Car"/>
    <w:link w:val="Jonathan4"/>
    <w:locked/>
    <w:rsid w:val="00FF04A3"/>
    <w:rPr>
      <w:b/>
      <w:color w:val="000099"/>
      <w:sz w:val="26"/>
      <w:lang w:eastAsia="x-none"/>
    </w:rPr>
  </w:style>
  <w:style w:type="paragraph" w:customStyle="1" w:styleId="Jonathan4">
    <w:name w:val="Jonathan 4"/>
    <w:basedOn w:val="Normal"/>
    <w:link w:val="Jonathan4Car"/>
    <w:autoRedefine/>
    <w:qFormat/>
    <w:rsid w:val="00FF04A3"/>
    <w:pPr>
      <w:suppressAutoHyphens w:val="0"/>
      <w:ind w:left="851" w:right="851"/>
      <w:jc w:val="center"/>
    </w:pPr>
    <w:rPr>
      <w:b/>
      <w:color w:val="000099"/>
      <w:sz w:val="26"/>
      <w:szCs w:val="20"/>
      <w:lang w:eastAsia="x-none"/>
    </w:rPr>
  </w:style>
  <w:style w:type="table" w:customStyle="1" w:styleId="TablaWeb10">
    <w:name w:val="Tabla Web 1"/>
    <w:basedOn w:val="Tablanormal"/>
    <w:rsid w:val="00FF04A3"/>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tulodeTDC">
    <w:name w:val="Título de TDC"/>
    <w:basedOn w:val="Ttulo1"/>
    <w:next w:val="Normal"/>
    <w:qFormat/>
    <w:rsid w:val="00FF04A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u w:val="none"/>
      <w:lang w:eastAsia="en-US" w:bidi="en-US"/>
      <w14:shadow w14:blurRad="50800" w14:dist="38100" w14:dir="2700000" w14:sx="100000" w14:sy="100000" w14:kx="0" w14:ky="0" w14:algn="tl">
        <w14:srgbClr w14:val="000000">
          <w14:alpha w14:val="60000"/>
        </w14:srgbClr>
      </w14:shadow>
    </w:rPr>
  </w:style>
  <w:style w:type="character" w:customStyle="1" w:styleId="WW8Num2z4">
    <w:name w:val="WW8Num2z4"/>
    <w:qFormat/>
    <w:rsid w:val="00FF04A3"/>
  </w:style>
  <w:style w:type="character" w:customStyle="1" w:styleId="WW8Num2z5">
    <w:name w:val="WW8Num2z5"/>
    <w:qFormat/>
    <w:rsid w:val="00FF04A3"/>
  </w:style>
  <w:style w:type="character" w:customStyle="1" w:styleId="WW8Num2z6">
    <w:name w:val="WW8Num2z6"/>
    <w:qFormat/>
    <w:rsid w:val="00FF04A3"/>
  </w:style>
  <w:style w:type="character" w:customStyle="1" w:styleId="WW8Num2z7">
    <w:name w:val="WW8Num2z7"/>
    <w:qFormat/>
    <w:rsid w:val="00FF04A3"/>
  </w:style>
  <w:style w:type="character" w:customStyle="1" w:styleId="WW8Num2z8">
    <w:name w:val="WW8Num2z8"/>
    <w:qFormat/>
    <w:rsid w:val="00FF04A3"/>
  </w:style>
  <w:style w:type="character" w:customStyle="1" w:styleId="Heading2Char">
    <w:name w:val="Heading 2 Char"/>
    <w:qFormat/>
    <w:rsid w:val="00FF04A3"/>
    <w:rPr>
      <w:rFonts w:ascii="Book Antiqua" w:hAnsi="Book Antiqua" w:cs="Book Antiqua"/>
      <w:b/>
      <w:bCs/>
      <w:i/>
      <w:iCs/>
      <w:sz w:val="28"/>
      <w:szCs w:val="28"/>
      <w:u w:val="double"/>
    </w:rPr>
  </w:style>
  <w:style w:type="paragraph" w:customStyle="1" w:styleId="Epgrafe3">
    <w:name w:val="Epígrafe3"/>
    <w:basedOn w:val="Normal"/>
    <w:uiPriority w:val="99"/>
    <w:qFormat/>
    <w:rsid w:val="00FF04A3"/>
    <w:pPr>
      <w:widowControl w:val="0"/>
      <w:suppressLineNumbers/>
      <w:spacing w:before="120" w:after="120" w:line="252" w:lineRule="auto"/>
      <w:textAlignment w:val="baseline"/>
    </w:pPr>
    <w:rPr>
      <w:rFonts w:ascii="Book Antiqua" w:eastAsia="Book Antiqua" w:hAnsi="Book Antiqua" w:cs="Lucida Sans"/>
      <w:i/>
      <w:iCs/>
      <w:color w:val="00000A"/>
      <w:kern w:val="1"/>
      <w:lang w:val="es-CR" w:eastAsia="zh-CN" w:bidi="es-CR"/>
    </w:rPr>
  </w:style>
  <w:style w:type="paragraph" w:customStyle="1" w:styleId="Jonathan1">
    <w:name w:val="Jonathan 1"/>
    <w:basedOn w:val="Normal"/>
    <w:link w:val="Jonathan1Car"/>
    <w:qFormat/>
    <w:rsid w:val="00FF04A3"/>
    <w:pPr>
      <w:spacing w:before="120" w:after="120" w:line="480" w:lineRule="auto"/>
      <w:ind w:firstLine="709"/>
      <w:jc w:val="both"/>
    </w:pPr>
    <w:rPr>
      <w:color w:val="000099"/>
      <w:sz w:val="28"/>
      <w:szCs w:val="28"/>
      <w:lang w:val="es-CR"/>
    </w:rPr>
  </w:style>
  <w:style w:type="paragraph" w:customStyle="1" w:styleId="Jonathan2">
    <w:name w:val="Jonathan 2"/>
    <w:basedOn w:val="Normal"/>
    <w:link w:val="Jonathan2Car"/>
    <w:qFormat/>
    <w:rsid w:val="00FF04A3"/>
    <w:pPr>
      <w:ind w:left="851" w:right="851" w:firstLine="709"/>
      <w:jc w:val="both"/>
    </w:pPr>
    <w:rPr>
      <w:color w:val="000099"/>
      <w:sz w:val="26"/>
      <w:szCs w:val="26"/>
      <w:lang w:val="es-ES_tradnl"/>
    </w:rPr>
  </w:style>
  <w:style w:type="character" w:customStyle="1" w:styleId="Jonathan1Car">
    <w:name w:val="Jonathan 1 Car"/>
    <w:link w:val="Jonathan1"/>
    <w:rsid w:val="00FF04A3"/>
    <w:rPr>
      <w:color w:val="000099"/>
      <w:sz w:val="28"/>
      <w:szCs w:val="28"/>
      <w:lang w:val="es-CR" w:eastAsia="ar-SA"/>
    </w:rPr>
  </w:style>
  <w:style w:type="character" w:customStyle="1" w:styleId="Jonathan2Car">
    <w:name w:val="Jonathan 2 Car"/>
    <w:link w:val="Jonathan2"/>
    <w:rsid w:val="00FF04A3"/>
    <w:rPr>
      <w:color w:val="000099"/>
      <w:sz w:val="26"/>
      <w:szCs w:val="26"/>
      <w:lang w:val="es-ES_tradnl" w:eastAsia="ar-SA"/>
    </w:rPr>
  </w:style>
  <w:style w:type="paragraph" w:customStyle="1" w:styleId="Jonathan3">
    <w:name w:val="Jonathan 3"/>
    <w:basedOn w:val="Normal"/>
    <w:link w:val="Jonathan3Car"/>
    <w:qFormat/>
    <w:rsid w:val="00FF04A3"/>
    <w:pPr>
      <w:spacing w:before="120" w:after="120" w:line="480" w:lineRule="auto"/>
      <w:ind w:firstLine="709"/>
      <w:jc w:val="both"/>
    </w:pPr>
    <w:rPr>
      <w:bCs/>
      <w:color w:val="000000"/>
      <w:sz w:val="28"/>
      <w:szCs w:val="28"/>
      <w:lang w:val="pt-BR"/>
    </w:rPr>
  </w:style>
  <w:style w:type="paragraph" w:customStyle="1" w:styleId="TableContentsuser">
    <w:name w:val="Table Contents (user)"/>
    <w:uiPriority w:val="99"/>
    <w:rsid w:val="00FF04A3"/>
    <w:pPr>
      <w:autoSpaceDE w:val="0"/>
      <w:autoSpaceDN w:val="0"/>
      <w:adjustRightInd w:val="0"/>
    </w:pPr>
    <w:rPr>
      <w:sz w:val="22"/>
      <w:szCs w:val="22"/>
      <w:lang w:eastAsia="es-CR"/>
    </w:rPr>
  </w:style>
  <w:style w:type="character" w:customStyle="1" w:styleId="Jonathan3Car">
    <w:name w:val="Jonathan 3 Car"/>
    <w:link w:val="Jonathan3"/>
    <w:rsid w:val="00FF04A3"/>
    <w:rPr>
      <w:bCs/>
      <w:color w:val="000000"/>
      <w:sz w:val="28"/>
      <w:szCs w:val="28"/>
      <w:lang w:val="pt-BR" w:eastAsia="ar-SA"/>
    </w:rPr>
  </w:style>
  <w:style w:type="paragraph" w:customStyle="1" w:styleId="Jonathan5">
    <w:name w:val="Jonathan 5"/>
    <w:basedOn w:val="western"/>
    <w:link w:val="Jonathan5Car"/>
    <w:autoRedefine/>
    <w:qFormat/>
    <w:rsid w:val="00FF04A3"/>
    <w:pPr>
      <w:spacing w:before="0" w:beforeAutospacing="0"/>
      <w:ind w:left="851" w:right="851"/>
      <w:jc w:val="both"/>
    </w:pPr>
    <w:rPr>
      <w:color w:val="000099"/>
      <w:sz w:val="26"/>
      <w:szCs w:val="26"/>
      <w:lang w:val="es-MX"/>
    </w:rPr>
  </w:style>
  <w:style w:type="paragraph" w:customStyle="1" w:styleId="JonDispositiva">
    <w:name w:val="Jon (Dispositiva)"/>
    <w:basedOn w:val="Normal"/>
    <w:link w:val="JonDispositivaCar"/>
    <w:rsid w:val="00FF04A3"/>
    <w:pPr>
      <w:spacing w:before="120" w:after="120" w:line="480" w:lineRule="auto"/>
      <w:ind w:firstLine="709"/>
      <w:jc w:val="both"/>
    </w:pPr>
    <w:rPr>
      <w:bCs/>
      <w:color w:val="000000"/>
      <w:sz w:val="28"/>
      <w:szCs w:val="28"/>
      <w:lang w:val="pt-BR"/>
    </w:rPr>
  </w:style>
  <w:style w:type="character" w:customStyle="1" w:styleId="westernCar">
    <w:name w:val="western Car"/>
    <w:link w:val="western"/>
    <w:rsid w:val="00FF04A3"/>
    <w:rPr>
      <w:sz w:val="18"/>
      <w:szCs w:val="18"/>
    </w:rPr>
  </w:style>
  <w:style w:type="character" w:customStyle="1" w:styleId="Jonathan5Car">
    <w:name w:val="Jonathan 5 Car"/>
    <w:link w:val="Jonathan5"/>
    <w:rsid w:val="00FF04A3"/>
    <w:rPr>
      <w:color w:val="000099"/>
      <w:sz w:val="26"/>
      <w:szCs w:val="26"/>
      <w:lang w:val="es-MX"/>
    </w:rPr>
  </w:style>
  <w:style w:type="paragraph" w:customStyle="1" w:styleId="Sinespaciado2">
    <w:name w:val="Sin espaciado2"/>
    <w:uiPriority w:val="99"/>
    <w:rsid w:val="00FF04A3"/>
    <w:pPr>
      <w:widowControl w:val="0"/>
      <w:suppressAutoHyphens/>
      <w:spacing w:line="100" w:lineRule="atLeast"/>
    </w:pPr>
    <w:rPr>
      <w:rFonts w:ascii="Calibri" w:eastAsia="SimSun" w:hAnsi="Calibri" w:cs="Calibri"/>
      <w:kern w:val="2"/>
      <w:sz w:val="22"/>
      <w:szCs w:val="22"/>
      <w:lang w:eastAsia="zh-CN"/>
    </w:rPr>
  </w:style>
  <w:style w:type="character" w:customStyle="1" w:styleId="JonDispositivaCar">
    <w:name w:val="Jon (Dispositiva) Car"/>
    <w:link w:val="JonDispositiva"/>
    <w:rsid w:val="00FF04A3"/>
    <w:rPr>
      <w:bCs/>
      <w:color w:val="000000"/>
      <w:sz w:val="28"/>
      <w:szCs w:val="28"/>
      <w:lang w:val="pt-BR" w:eastAsia="ar-SA"/>
    </w:rPr>
  </w:style>
  <w:style w:type="paragraph" w:customStyle="1" w:styleId="Jonathan">
    <w:name w:val="Jonathan"/>
    <w:basedOn w:val="Predeterminado0"/>
    <w:uiPriority w:val="99"/>
    <w:rsid w:val="00FF04A3"/>
    <w:pPr>
      <w:tabs>
        <w:tab w:val="left" w:pos="0"/>
      </w:tabs>
      <w:ind w:left="851" w:right="851"/>
      <w:jc w:val="both"/>
    </w:pPr>
    <w:rPr>
      <w:rFonts w:ascii="Times New Roman" w:hAnsi="Times New Roman" w:cs="Times New Roman"/>
      <w:color w:val="000099"/>
      <w:sz w:val="26"/>
      <w:szCs w:val="26"/>
      <w:lang w:val="es-CR"/>
    </w:rPr>
  </w:style>
  <w:style w:type="paragraph" w:customStyle="1" w:styleId="JonathanTabla">
    <w:name w:val="JonathanTabla"/>
    <w:basedOn w:val="Predeterminado0"/>
    <w:link w:val="JonathanTablaCar"/>
    <w:rsid w:val="00FF04A3"/>
    <w:pPr>
      <w:jc w:val="center"/>
    </w:pPr>
    <w:rPr>
      <w:color w:val="000099"/>
      <w:sz w:val="24"/>
      <w:szCs w:val="24"/>
    </w:rPr>
  </w:style>
  <w:style w:type="character" w:customStyle="1" w:styleId="PredeterminadoCar">
    <w:name w:val="Predeterminado Car"/>
    <w:link w:val="Predeterminado0"/>
    <w:uiPriority w:val="99"/>
    <w:rsid w:val="00FF04A3"/>
    <w:rPr>
      <w:rFonts w:ascii="Trebuchet MS" w:hAnsi="Trebuchet MS" w:cs="Trebuchet MS"/>
      <w:color w:val="000000"/>
      <w:sz w:val="48"/>
      <w:szCs w:val="48"/>
    </w:rPr>
  </w:style>
  <w:style w:type="character" w:customStyle="1" w:styleId="JonathanTablaCar">
    <w:name w:val="JonathanTabla Car"/>
    <w:link w:val="JonathanTabla"/>
    <w:rsid w:val="00FF04A3"/>
    <w:rPr>
      <w:rFonts w:ascii="Trebuchet MS" w:hAnsi="Trebuchet MS" w:cs="Trebuchet MS"/>
      <w:color w:val="000099"/>
      <w:sz w:val="24"/>
      <w:szCs w:val="24"/>
    </w:rPr>
  </w:style>
  <w:style w:type="paragraph" w:customStyle="1" w:styleId="Jon6">
    <w:name w:val="Jon 6"/>
    <w:basedOn w:val="Normal"/>
    <w:link w:val="Jon6Car"/>
    <w:qFormat/>
    <w:rsid w:val="00FF04A3"/>
    <w:pPr>
      <w:widowControl w:val="0"/>
      <w:shd w:val="clear" w:color="auto" w:fill="FFFFFF"/>
      <w:ind w:left="851" w:right="851" w:firstLine="709"/>
      <w:jc w:val="both"/>
    </w:pPr>
    <w:rPr>
      <w:bCs/>
      <w:sz w:val="26"/>
      <w:szCs w:val="26"/>
      <w:lang w:val="es-ES_tradnl" w:eastAsia="es-CR"/>
    </w:rPr>
  </w:style>
  <w:style w:type="paragraph" w:customStyle="1" w:styleId="Jon7">
    <w:name w:val="Jon 7"/>
    <w:basedOn w:val="Ttulo3"/>
    <w:link w:val="Jon7Car"/>
    <w:autoRedefine/>
    <w:qFormat/>
    <w:rsid w:val="00FF04A3"/>
    <w:pPr>
      <w:spacing w:after="120"/>
    </w:pPr>
    <w:rPr>
      <w:color w:val="000000"/>
      <w:lang w:val="es-CR"/>
    </w:rPr>
  </w:style>
  <w:style w:type="character" w:customStyle="1" w:styleId="Jon6Car">
    <w:name w:val="Jon 6 Car"/>
    <w:link w:val="Jon6"/>
    <w:rsid w:val="00FF04A3"/>
    <w:rPr>
      <w:bCs/>
      <w:sz w:val="26"/>
      <w:szCs w:val="26"/>
      <w:shd w:val="clear" w:color="auto" w:fill="FFFFFF"/>
      <w:lang w:val="es-ES_tradnl" w:eastAsia="es-CR"/>
    </w:rPr>
  </w:style>
  <w:style w:type="paragraph" w:customStyle="1" w:styleId="Jon2">
    <w:name w:val="Jon 2"/>
    <w:basedOn w:val="Normal"/>
    <w:link w:val="Jon2Car"/>
    <w:qFormat/>
    <w:rsid w:val="00FF04A3"/>
    <w:pPr>
      <w:ind w:left="851" w:right="851" w:firstLine="709"/>
      <w:jc w:val="both"/>
    </w:pPr>
    <w:rPr>
      <w:color w:val="000099"/>
      <w:sz w:val="26"/>
      <w:szCs w:val="26"/>
      <w:lang w:val="es-ES_tradnl"/>
    </w:rPr>
  </w:style>
  <w:style w:type="character" w:customStyle="1" w:styleId="Jon7Car">
    <w:name w:val="Jon 7 Car"/>
    <w:link w:val="Jon7"/>
    <w:rsid w:val="00FF04A3"/>
    <w:rPr>
      <w:rFonts w:cs="Arial"/>
      <w:b/>
      <w:bCs/>
      <w:color w:val="000000"/>
      <w:sz w:val="28"/>
      <w:szCs w:val="26"/>
      <w:lang w:val="es-CR" w:eastAsia="ar-SA"/>
    </w:rPr>
  </w:style>
  <w:style w:type="character" w:customStyle="1" w:styleId="Jon2Car">
    <w:name w:val="Jon 2 Car"/>
    <w:link w:val="Jon2"/>
    <w:rsid w:val="00FF04A3"/>
    <w:rPr>
      <w:color w:val="000099"/>
      <w:sz w:val="26"/>
      <w:szCs w:val="26"/>
      <w:lang w:val="es-ES_tradnl" w:eastAsia="ar-SA"/>
    </w:rPr>
  </w:style>
  <w:style w:type="paragraph" w:customStyle="1" w:styleId="Jon3">
    <w:name w:val="Jon 3"/>
    <w:basedOn w:val="Normal"/>
    <w:link w:val="Jon3Car"/>
    <w:qFormat/>
    <w:rsid w:val="00FF04A3"/>
    <w:pPr>
      <w:spacing w:before="120" w:after="120" w:line="480" w:lineRule="auto"/>
      <w:ind w:firstLine="709"/>
      <w:jc w:val="both"/>
    </w:pPr>
    <w:rPr>
      <w:bCs/>
      <w:color w:val="000000"/>
      <w:sz w:val="28"/>
      <w:szCs w:val="28"/>
      <w:lang w:val="pt-BR"/>
    </w:rPr>
  </w:style>
  <w:style w:type="character" w:customStyle="1" w:styleId="Jon3Car">
    <w:name w:val="Jon 3 Car"/>
    <w:link w:val="Jon3"/>
    <w:rsid w:val="00FF04A3"/>
    <w:rPr>
      <w:bCs/>
      <w:color w:val="000000"/>
      <w:sz w:val="28"/>
      <w:szCs w:val="28"/>
      <w:lang w:val="pt-BR" w:eastAsia="ar-SA"/>
    </w:rPr>
  </w:style>
  <w:style w:type="paragraph" w:customStyle="1" w:styleId="AAA">
    <w:name w:val="AAA"/>
    <w:basedOn w:val="Normal"/>
    <w:link w:val="AAACar"/>
    <w:qFormat/>
    <w:rsid w:val="00FF04A3"/>
    <w:pPr>
      <w:ind w:left="851" w:firstLine="709"/>
    </w:pPr>
    <w:rPr>
      <w:b/>
      <w:bCs/>
      <w:color w:val="000099"/>
      <w:sz w:val="26"/>
      <w:szCs w:val="26"/>
      <w:lang w:val="es-ES_tradnl"/>
    </w:rPr>
  </w:style>
  <w:style w:type="character" w:customStyle="1" w:styleId="AAACar">
    <w:name w:val="AAA Car"/>
    <w:basedOn w:val="Fuentedeprrafopredeter"/>
    <w:link w:val="AAA"/>
    <w:rsid w:val="00FF04A3"/>
    <w:rPr>
      <w:b/>
      <w:bCs/>
      <w:color w:val="000099"/>
      <w:sz w:val="26"/>
      <w:szCs w:val="26"/>
      <w:lang w:val="es-ES_tradnl" w:eastAsia="ar-SA"/>
    </w:rPr>
  </w:style>
  <w:style w:type="paragraph" w:customStyle="1" w:styleId="AENCABEZADO">
    <w:name w:val="A ENCABEZADO"/>
    <w:basedOn w:val="Normal"/>
    <w:link w:val="AENCABEZADOCar"/>
    <w:qFormat/>
    <w:rsid w:val="00FF04A3"/>
    <w:pPr>
      <w:spacing w:before="120" w:after="120" w:line="480" w:lineRule="auto"/>
      <w:ind w:firstLine="709"/>
      <w:jc w:val="both"/>
    </w:pPr>
    <w:rPr>
      <w:color w:val="000099"/>
      <w:sz w:val="28"/>
      <w:szCs w:val="28"/>
      <w:lang w:val="es-CR"/>
    </w:rPr>
  </w:style>
  <w:style w:type="character" w:customStyle="1" w:styleId="AENCABEZADOCar">
    <w:name w:val="A ENCABEZADO Car"/>
    <w:link w:val="AENCABEZADO"/>
    <w:rsid w:val="00FF04A3"/>
    <w:rPr>
      <w:color w:val="000099"/>
      <w:sz w:val="28"/>
      <w:szCs w:val="28"/>
      <w:lang w:val="es-CR" w:eastAsia="ar-SA"/>
    </w:rPr>
  </w:style>
  <w:style w:type="paragraph" w:customStyle="1" w:styleId="Dispositiva0">
    <w:name w:val="Dispositiva"/>
    <w:basedOn w:val="Normal"/>
    <w:link w:val="DispositivaCar0"/>
    <w:qFormat/>
    <w:rsid w:val="00FF04A3"/>
    <w:pPr>
      <w:spacing w:before="120" w:after="120" w:line="480" w:lineRule="auto"/>
      <w:ind w:firstLine="709"/>
      <w:jc w:val="both"/>
    </w:pPr>
    <w:rPr>
      <w:bCs/>
      <w:color w:val="000000"/>
      <w:sz w:val="28"/>
      <w:szCs w:val="28"/>
      <w:lang w:val="pt-BR"/>
    </w:rPr>
  </w:style>
  <w:style w:type="character" w:customStyle="1" w:styleId="DispositivaCar0">
    <w:name w:val="Dispositiva Car"/>
    <w:link w:val="Dispositiva0"/>
    <w:rsid w:val="00FF04A3"/>
    <w:rPr>
      <w:bCs/>
      <w:color w:val="000000"/>
      <w:sz w:val="28"/>
      <w:szCs w:val="28"/>
      <w:lang w:val="pt-BR" w:eastAsia="ar-SA"/>
    </w:rPr>
  </w:style>
  <w:style w:type="paragraph" w:customStyle="1" w:styleId="AAgestin0">
    <w:name w:val="AA gestión"/>
    <w:basedOn w:val="Normal"/>
    <w:link w:val="AAgestinCar0"/>
    <w:qFormat/>
    <w:rsid w:val="00FF04A3"/>
    <w:pPr>
      <w:ind w:left="851" w:right="851" w:firstLine="709"/>
      <w:jc w:val="both"/>
    </w:pPr>
    <w:rPr>
      <w:color w:val="000099"/>
      <w:sz w:val="26"/>
      <w:szCs w:val="26"/>
      <w:lang w:val="es-ES_tradnl"/>
    </w:rPr>
  </w:style>
  <w:style w:type="character" w:customStyle="1" w:styleId="AAgestinCar0">
    <w:name w:val="AA gestión Car"/>
    <w:link w:val="AAgestin0"/>
    <w:rsid w:val="00FF04A3"/>
    <w:rPr>
      <w:color w:val="000099"/>
      <w:sz w:val="26"/>
      <w:szCs w:val="26"/>
      <w:lang w:val="es-ES_tradnl" w:eastAsia="ar-SA"/>
    </w:rPr>
  </w:style>
  <w:style w:type="character" w:customStyle="1" w:styleId="WW8Num11z4">
    <w:name w:val="WW8Num11z4"/>
    <w:qFormat/>
    <w:rsid w:val="00FF04A3"/>
    <w:rPr>
      <w:rFonts w:ascii="Courier New" w:hAnsi="Courier New" w:cs="Courier New"/>
    </w:rPr>
  </w:style>
  <w:style w:type="character" w:customStyle="1" w:styleId="WW8Num13z3">
    <w:name w:val="WW8Num13z3"/>
    <w:qFormat/>
    <w:rsid w:val="00FF04A3"/>
  </w:style>
  <w:style w:type="character" w:customStyle="1" w:styleId="WW8Num13z4">
    <w:name w:val="WW8Num13z4"/>
    <w:qFormat/>
    <w:rsid w:val="00FF04A3"/>
  </w:style>
  <w:style w:type="character" w:customStyle="1" w:styleId="WW8Num13z5">
    <w:name w:val="WW8Num13z5"/>
    <w:qFormat/>
    <w:rsid w:val="00FF04A3"/>
  </w:style>
  <w:style w:type="character" w:customStyle="1" w:styleId="WW8Num13z6">
    <w:name w:val="WW8Num13z6"/>
    <w:qFormat/>
    <w:rsid w:val="00FF04A3"/>
  </w:style>
  <w:style w:type="character" w:customStyle="1" w:styleId="WW8Num13z7">
    <w:name w:val="WW8Num13z7"/>
    <w:qFormat/>
    <w:rsid w:val="00FF04A3"/>
  </w:style>
  <w:style w:type="character" w:customStyle="1" w:styleId="WW8Num13z8">
    <w:name w:val="WW8Num13z8"/>
    <w:qFormat/>
    <w:rsid w:val="00FF04A3"/>
  </w:style>
  <w:style w:type="character" w:customStyle="1" w:styleId="WW8Num15z1">
    <w:name w:val="WW8Num15z1"/>
    <w:qFormat/>
    <w:rsid w:val="00FF04A3"/>
  </w:style>
  <w:style w:type="character" w:customStyle="1" w:styleId="WW8Num15z2">
    <w:name w:val="WW8Num15z2"/>
    <w:qFormat/>
    <w:rsid w:val="00FF04A3"/>
  </w:style>
  <w:style w:type="character" w:customStyle="1" w:styleId="WW8Num15z3">
    <w:name w:val="WW8Num15z3"/>
    <w:qFormat/>
    <w:rsid w:val="00FF04A3"/>
  </w:style>
  <w:style w:type="character" w:customStyle="1" w:styleId="WW8Num15z4">
    <w:name w:val="WW8Num15z4"/>
    <w:qFormat/>
    <w:rsid w:val="00FF04A3"/>
  </w:style>
  <w:style w:type="character" w:customStyle="1" w:styleId="WW8Num15z5">
    <w:name w:val="WW8Num15z5"/>
    <w:qFormat/>
    <w:rsid w:val="00FF04A3"/>
  </w:style>
  <w:style w:type="character" w:customStyle="1" w:styleId="WW8Num15z6">
    <w:name w:val="WW8Num15z6"/>
    <w:qFormat/>
    <w:rsid w:val="00FF04A3"/>
  </w:style>
  <w:style w:type="character" w:customStyle="1" w:styleId="WW8Num15z7">
    <w:name w:val="WW8Num15z7"/>
    <w:qFormat/>
    <w:rsid w:val="00FF04A3"/>
  </w:style>
  <w:style w:type="character" w:customStyle="1" w:styleId="WW8Num15z8">
    <w:name w:val="WW8Num15z8"/>
    <w:qFormat/>
    <w:rsid w:val="00FF04A3"/>
  </w:style>
  <w:style w:type="character" w:customStyle="1" w:styleId="WW8Num16z1">
    <w:name w:val="WW8Num16z1"/>
    <w:qFormat/>
    <w:rsid w:val="00FF04A3"/>
  </w:style>
  <w:style w:type="character" w:customStyle="1" w:styleId="WW8Num16z2">
    <w:name w:val="WW8Num16z2"/>
    <w:qFormat/>
    <w:rsid w:val="00FF04A3"/>
  </w:style>
  <w:style w:type="character" w:customStyle="1" w:styleId="WW8Num16z3">
    <w:name w:val="WW8Num16z3"/>
    <w:qFormat/>
    <w:rsid w:val="00FF04A3"/>
  </w:style>
  <w:style w:type="character" w:customStyle="1" w:styleId="WW8Num16z4">
    <w:name w:val="WW8Num16z4"/>
    <w:qFormat/>
    <w:rsid w:val="00FF04A3"/>
  </w:style>
  <w:style w:type="character" w:customStyle="1" w:styleId="WW8Num16z5">
    <w:name w:val="WW8Num16z5"/>
    <w:qFormat/>
    <w:rsid w:val="00FF04A3"/>
  </w:style>
  <w:style w:type="character" w:customStyle="1" w:styleId="WW8Num16z6">
    <w:name w:val="WW8Num16z6"/>
    <w:qFormat/>
    <w:rsid w:val="00FF04A3"/>
  </w:style>
  <w:style w:type="character" w:customStyle="1" w:styleId="WW8Num16z7">
    <w:name w:val="WW8Num16z7"/>
    <w:qFormat/>
    <w:rsid w:val="00FF04A3"/>
  </w:style>
  <w:style w:type="character" w:customStyle="1" w:styleId="WW8Num16z8">
    <w:name w:val="WW8Num16z8"/>
    <w:qFormat/>
    <w:rsid w:val="00FF04A3"/>
  </w:style>
  <w:style w:type="character" w:customStyle="1" w:styleId="WW8Num19z1">
    <w:name w:val="WW8Num19z1"/>
    <w:qFormat/>
    <w:rsid w:val="00FF04A3"/>
    <w:rPr>
      <w:rFonts w:ascii="Courier New" w:hAnsi="Courier New" w:cs="Courier New"/>
    </w:rPr>
  </w:style>
  <w:style w:type="character" w:customStyle="1" w:styleId="WW8Num19z2">
    <w:name w:val="WW8Num19z2"/>
    <w:qFormat/>
    <w:rsid w:val="00FF04A3"/>
    <w:rPr>
      <w:rFonts w:ascii="Wingdings" w:hAnsi="Wingdings" w:cs="Wingdings"/>
    </w:rPr>
  </w:style>
  <w:style w:type="character" w:customStyle="1" w:styleId="WW8Num20z2">
    <w:name w:val="WW8Num20z2"/>
    <w:qFormat/>
    <w:rsid w:val="00FF04A3"/>
  </w:style>
  <w:style w:type="character" w:customStyle="1" w:styleId="WW8Num20z3">
    <w:name w:val="WW8Num20z3"/>
    <w:qFormat/>
    <w:rsid w:val="00FF04A3"/>
  </w:style>
  <w:style w:type="character" w:customStyle="1" w:styleId="WW8Num20z4">
    <w:name w:val="WW8Num20z4"/>
    <w:qFormat/>
    <w:rsid w:val="00FF04A3"/>
  </w:style>
  <w:style w:type="character" w:customStyle="1" w:styleId="WW8Num20z5">
    <w:name w:val="WW8Num20z5"/>
    <w:qFormat/>
    <w:rsid w:val="00FF04A3"/>
  </w:style>
  <w:style w:type="character" w:customStyle="1" w:styleId="WW8Num20z6">
    <w:name w:val="WW8Num20z6"/>
    <w:qFormat/>
    <w:rsid w:val="00FF04A3"/>
  </w:style>
  <w:style w:type="character" w:customStyle="1" w:styleId="WW8Num20z7">
    <w:name w:val="WW8Num20z7"/>
    <w:qFormat/>
    <w:rsid w:val="00FF04A3"/>
  </w:style>
  <w:style w:type="character" w:customStyle="1" w:styleId="WW8Num20z8">
    <w:name w:val="WW8Num20z8"/>
    <w:qFormat/>
    <w:rsid w:val="00FF04A3"/>
  </w:style>
  <w:style w:type="character" w:customStyle="1" w:styleId="WW8Num25z3">
    <w:name w:val="WW8Num25z3"/>
    <w:qFormat/>
    <w:rsid w:val="00FF04A3"/>
  </w:style>
  <w:style w:type="character" w:customStyle="1" w:styleId="WW8Num25z4">
    <w:name w:val="WW8Num25z4"/>
    <w:qFormat/>
    <w:rsid w:val="00FF04A3"/>
  </w:style>
  <w:style w:type="character" w:customStyle="1" w:styleId="WW8Num25z5">
    <w:name w:val="WW8Num25z5"/>
    <w:qFormat/>
    <w:rsid w:val="00FF04A3"/>
  </w:style>
  <w:style w:type="character" w:customStyle="1" w:styleId="WW8Num25z6">
    <w:name w:val="WW8Num25z6"/>
    <w:qFormat/>
    <w:rsid w:val="00FF04A3"/>
  </w:style>
  <w:style w:type="character" w:customStyle="1" w:styleId="WW8Num25z7">
    <w:name w:val="WW8Num25z7"/>
    <w:qFormat/>
    <w:rsid w:val="00FF04A3"/>
  </w:style>
  <w:style w:type="character" w:customStyle="1" w:styleId="WW8Num25z8">
    <w:name w:val="WW8Num25z8"/>
    <w:qFormat/>
    <w:rsid w:val="00FF04A3"/>
  </w:style>
  <w:style w:type="character" w:customStyle="1" w:styleId="WW8Num29z1">
    <w:name w:val="WW8Num29z1"/>
    <w:qFormat/>
    <w:rsid w:val="00FF04A3"/>
    <w:rPr>
      <w:rFonts w:ascii="Courier New" w:hAnsi="Courier New" w:cs="Courier New"/>
    </w:rPr>
  </w:style>
  <w:style w:type="character" w:customStyle="1" w:styleId="WW8Num29z2">
    <w:name w:val="WW8Num29z2"/>
    <w:qFormat/>
    <w:rsid w:val="00FF04A3"/>
    <w:rPr>
      <w:rFonts w:ascii="Wingdings" w:hAnsi="Wingdings" w:cs="Wingdings"/>
    </w:rPr>
  </w:style>
  <w:style w:type="character" w:customStyle="1" w:styleId="WW8Num31z2">
    <w:name w:val="WW8Num31z2"/>
    <w:qFormat/>
    <w:rsid w:val="00FF04A3"/>
  </w:style>
  <w:style w:type="character" w:customStyle="1" w:styleId="WW8Num31z3">
    <w:name w:val="WW8Num31z3"/>
    <w:qFormat/>
    <w:rsid w:val="00FF04A3"/>
  </w:style>
  <w:style w:type="character" w:customStyle="1" w:styleId="WW8Num31z4">
    <w:name w:val="WW8Num31z4"/>
    <w:qFormat/>
    <w:rsid w:val="00FF04A3"/>
  </w:style>
  <w:style w:type="character" w:customStyle="1" w:styleId="WW8Num31z5">
    <w:name w:val="WW8Num31z5"/>
    <w:qFormat/>
    <w:rsid w:val="00FF04A3"/>
  </w:style>
  <w:style w:type="character" w:customStyle="1" w:styleId="WW8Num31z6">
    <w:name w:val="WW8Num31z6"/>
    <w:qFormat/>
    <w:rsid w:val="00FF04A3"/>
  </w:style>
  <w:style w:type="character" w:customStyle="1" w:styleId="WW8Num31z7">
    <w:name w:val="WW8Num31z7"/>
    <w:qFormat/>
    <w:rsid w:val="00FF04A3"/>
  </w:style>
  <w:style w:type="character" w:customStyle="1" w:styleId="WW8Num31z8">
    <w:name w:val="WW8Num31z8"/>
    <w:qFormat/>
    <w:rsid w:val="00FF04A3"/>
  </w:style>
  <w:style w:type="character" w:customStyle="1" w:styleId="WW8Num32z1">
    <w:name w:val="WW8Num32z1"/>
    <w:qFormat/>
    <w:rsid w:val="00FF04A3"/>
  </w:style>
  <w:style w:type="character" w:customStyle="1" w:styleId="WW8Num32z2">
    <w:name w:val="WW8Num32z2"/>
    <w:qFormat/>
    <w:rsid w:val="00FF04A3"/>
  </w:style>
  <w:style w:type="character" w:customStyle="1" w:styleId="WW8Num32z3">
    <w:name w:val="WW8Num32z3"/>
    <w:qFormat/>
    <w:rsid w:val="00FF04A3"/>
  </w:style>
  <w:style w:type="character" w:customStyle="1" w:styleId="WW8Num32z4">
    <w:name w:val="WW8Num32z4"/>
    <w:qFormat/>
    <w:rsid w:val="00FF04A3"/>
  </w:style>
  <w:style w:type="character" w:customStyle="1" w:styleId="WW8Num32z5">
    <w:name w:val="WW8Num32z5"/>
    <w:qFormat/>
    <w:rsid w:val="00FF04A3"/>
  </w:style>
  <w:style w:type="character" w:customStyle="1" w:styleId="WW8Num32z6">
    <w:name w:val="WW8Num32z6"/>
    <w:qFormat/>
    <w:rsid w:val="00FF04A3"/>
  </w:style>
  <w:style w:type="character" w:customStyle="1" w:styleId="WW8Num32z7">
    <w:name w:val="WW8Num32z7"/>
    <w:qFormat/>
    <w:rsid w:val="00FF04A3"/>
  </w:style>
  <w:style w:type="character" w:customStyle="1" w:styleId="WW8Num32z8">
    <w:name w:val="WW8Num32z8"/>
    <w:qFormat/>
    <w:rsid w:val="00FF04A3"/>
  </w:style>
  <w:style w:type="character" w:customStyle="1" w:styleId="WW8Num33z1">
    <w:name w:val="WW8Num33z1"/>
    <w:qFormat/>
    <w:rsid w:val="00FF04A3"/>
  </w:style>
  <w:style w:type="character" w:customStyle="1" w:styleId="WW8Num33z2">
    <w:name w:val="WW8Num33z2"/>
    <w:qFormat/>
    <w:rsid w:val="00FF04A3"/>
  </w:style>
  <w:style w:type="character" w:customStyle="1" w:styleId="WW8Num33z3">
    <w:name w:val="WW8Num33z3"/>
    <w:qFormat/>
    <w:rsid w:val="00FF04A3"/>
  </w:style>
  <w:style w:type="character" w:customStyle="1" w:styleId="WW8Num33z4">
    <w:name w:val="WW8Num33z4"/>
    <w:qFormat/>
    <w:rsid w:val="00FF04A3"/>
  </w:style>
  <w:style w:type="character" w:customStyle="1" w:styleId="WW8Num33z5">
    <w:name w:val="WW8Num33z5"/>
    <w:qFormat/>
    <w:rsid w:val="00FF04A3"/>
  </w:style>
  <w:style w:type="character" w:customStyle="1" w:styleId="WW8Num33z6">
    <w:name w:val="WW8Num33z6"/>
    <w:qFormat/>
    <w:rsid w:val="00FF04A3"/>
  </w:style>
  <w:style w:type="character" w:customStyle="1" w:styleId="WW8Num33z7">
    <w:name w:val="WW8Num33z7"/>
    <w:qFormat/>
    <w:rsid w:val="00FF04A3"/>
  </w:style>
  <w:style w:type="character" w:customStyle="1" w:styleId="WW8Num33z8">
    <w:name w:val="WW8Num33z8"/>
    <w:qFormat/>
    <w:rsid w:val="00FF04A3"/>
  </w:style>
  <w:style w:type="character" w:customStyle="1" w:styleId="WW8Num43z0">
    <w:name w:val="WW8Num43z0"/>
    <w:qFormat/>
    <w:rsid w:val="00FF04A3"/>
    <w:rPr>
      <w:rFonts w:ascii="Symbol" w:hAnsi="Symbol" w:cs="Symbol"/>
      <w:sz w:val="24"/>
      <w:szCs w:val="24"/>
    </w:rPr>
  </w:style>
  <w:style w:type="character" w:customStyle="1" w:styleId="WW8Num43z1">
    <w:name w:val="WW8Num43z1"/>
    <w:qFormat/>
    <w:rsid w:val="00FF04A3"/>
    <w:rPr>
      <w:rFonts w:ascii="Courier New" w:hAnsi="Courier New" w:cs="Courier New"/>
    </w:rPr>
  </w:style>
  <w:style w:type="character" w:customStyle="1" w:styleId="WW8Num43z2">
    <w:name w:val="WW8Num43z2"/>
    <w:qFormat/>
    <w:rsid w:val="00FF04A3"/>
    <w:rPr>
      <w:rFonts w:ascii="Wingdings" w:hAnsi="Wingdings" w:cs="Wingdings"/>
    </w:rPr>
  </w:style>
  <w:style w:type="character" w:customStyle="1" w:styleId="WW8Num44z0">
    <w:name w:val="WW8Num44z0"/>
    <w:qFormat/>
    <w:rsid w:val="00FF04A3"/>
    <w:rPr>
      <w:rFonts w:ascii="Book Antiqua" w:eastAsia="Times New Roman" w:hAnsi="Book Antiqua" w:cs="Times New Roman"/>
    </w:rPr>
  </w:style>
  <w:style w:type="character" w:customStyle="1" w:styleId="WW8Num44z1">
    <w:name w:val="WW8Num44z1"/>
    <w:qFormat/>
    <w:rsid w:val="00FF04A3"/>
    <w:rPr>
      <w:rFonts w:ascii="Courier New" w:hAnsi="Courier New" w:cs="Courier New"/>
    </w:rPr>
  </w:style>
  <w:style w:type="character" w:customStyle="1" w:styleId="WW8Num44z2">
    <w:name w:val="WW8Num44z2"/>
    <w:qFormat/>
    <w:rsid w:val="00FF04A3"/>
    <w:rPr>
      <w:rFonts w:ascii="Wingdings" w:hAnsi="Wingdings" w:cs="Wingdings"/>
    </w:rPr>
  </w:style>
  <w:style w:type="character" w:customStyle="1" w:styleId="WW8Num44z3">
    <w:name w:val="WW8Num44z3"/>
    <w:qFormat/>
    <w:rsid w:val="00FF04A3"/>
    <w:rPr>
      <w:rFonts w:ascii="Symbol" w:hAnsi="Symbol" w:cs="Symbol"/>
    </w:rPr>
  </w:style>
  <w:style w:type="character" w:customStyle="1" w:styleId="WW8Num45z0">
    <w:name w:val="WW8Num45z0"/>
    <w:qFormat/>
    <w:rsid w:val="00FF04A3"/>
  </w:style>
  <w:style w:type="character" w:customStyle="1" w:styleId="WW8Num45z1">
    <w:name w:val="WW8Num45z1"/>
    <w:qFormat/>
    <w:rsid w:val="00FF04A3"/>
  </w:style>
  <w:style w:type="character" w:customStyle="1" w:styleId="WW8Num45z2">
    <w:name w:val="WW8Num45z2"/>
    <w:qFormat/>
    <w:rsid w:val="00FF04A3"/>
  </w:style>
  <w:style w:type="character" w:customStyle="1" w:styleId="WW8Num45z3">
    <w:name w:val="WW8Num45z3"/>
    <w:qFormat/>
    <w:rsid w:val="00FF04A3"/>
  </w:style>
  <w:style w:type="character" w:customStyle="1" w:styleId="WW8Num45z4">
    <w:name w:val="WW8Num45z4"/>
    <w:qFormat/>
    <w:rsid w:val="00FF04A3"/>
  </w:style>
  <w:style w:type="character" w:customStyle="1" w:styleId="WW8Num45z5">
    <w:name w:val="WW8Num45z5"/>
    <w:qFormat/>
    <w:rsid w:val="00FF04A3"/>
  </w:style>
  <w:style w:type="character" w:customStyle="1" w:styleId="WW8Num45z6">
    <w:name w:val="WW8Num45z6"/>
    <w:qFormat/>
    <w:rsid w:val="00FF04A3"/>
  </w:style>
  <w:style w:type="character" w:customStyle="1" w:styleId="WW8Num45z7">
    <w:name w:val="WW8Num45z7"/>
    <w:qFormat/>
    <w:rsid w:val="00FF04A3"/>
  </w:style>
  <w:style w:type="character" w:customStyle="1" w:styleId="WW8Num45z8">
    <w:name w:val="WW8Num45z8"/>
    <w:qFormat/>
    <w:rsid w:val="00FF04A3"/>
  </w:style>
  <w:style w:type="character" w:customStyle="1" w:styleId="WW8Num46z1">
    <w:name w:val="WW8Num46z1"/>
    <w:qFormat/>
    <w:rsid w:val="00FF04A3"/>
  </w:style>
  <w:style w:type="character" w:customStyle="1" w:styleId="WW8Num46z2">
    <w:name w:val="WW8Num46z2"/>
    <w:qFormat/>
    <w:rsid w:val="00FF04A3"/>
  </w:style>
  <w:style w:type="character" w:customStyle="1" w:styleId="WW8Num46z3">
    <w:name w:val="WW8Num46z3"/>
    <w:qFormat/>
    <w:rsid w:val="00FF04A3"/>
  </w:style>
  <w:style w:type="character" w:customStyle="1" w:styleId="WW8Num46z4">
    <w:name w:val="WW8Num46z4"/>
    <w:qFormat/>
    <w:rsid w:val="00FF04A3"/>
  </w:style>
  <w:style w:type="character" w:customStyle="1" w:styleId="WW8Num46z5">
    <w:name w:val="WW8Num46z5"/>
    <w:qFormat/>
    <w:rsid w:val="00FF04A3"/>
  </w:style>
  <w:style w:type="character" w:customStyle="1" w:styleId="WW8Num46z6">
    <w:name w:val="WW8Num46z6"/>
    <w:qFormat/>
    <w:rsid w:val="00FF04A3"/>
  </w:style>
  <w:style w:type="character" w:customStyle="1" w:styleId="WW8Num46z7">
    <w:name w:val="WW8Num46z7"/>
    <w:qFormat/>
    <w:rsid w:val="00FF04A3"/>
  </w:style>
  <w:style w:type="character" w:customStyle="1" w:styleId="WW8Num46z8">
    <w:name w:val="WW8Num46z8"/>
    <w:qFormat/>
    <w:rsid w:val="00FF04A3"/>
  </w:style>
  <w:style w:type="character" w:customStyle="1" w:styleId="WW8Num47z0">
    <w:name w:val="WW8Num47z0"/>
    <w:qFormat/>
    <w:rsid w:val="00FF04A3"/>
    <w:rPr>
      <w:rFonts w:ascii="Wingdings" w:hAnsi="Wingdings" w:cs="Wingdings"/>
    </w:rPr>
  </w:style>
  <w:style w:type="character" w:customStyle="1" w:styleId="WW8Num47z1">
    <w:name w:val="WW8Num47z1"/>
    <w:qFormat/>
    <w:rsid w:val="00FF04A3"/>
    <w:rPr>
      <w:rFonts w:ascii="Courier New" w:hAnsi="Courier New" w:cs="Courier New"/>
    </w:rPr>
  </w:style>
  <w:style w:type="character" w:customStyle="1" w:styleId="WW8Num47z3">
    <w:name w:val="WW8Num47z3"/>
    <w:qFormat/>
    <w:rsid w:val="00FF04A3"/>
    <w:rPr>
      <w:rFonts w:ascii="Symbol" w:hAnsi="Symbol" w:cs="Symbol"/>
    </w:rPr>
  </w:style>
  <w:style w:type="character" w:customStyle="1" w:styleId="WW8Num48z0">
    <w:name w:val="WW8Num48z0"/>
    <w:qFormat/>
    <w:rsid w:val="00FF04A3"/>
    <w:rPr>
      <w:rFonts w:ascii="Book Antiqua" w:hAnsi="Book Antiqua" w:cs="Book Antiqua"/>
      <w:sz w:val="24"/>
      <w:szCs w:val="24"/>
    </w:rPr>
  </w:style>
  <w:style w:type="character" w:customStyle="1" w:styleId="WW8Num48z1">
    <w:name w:val="WW8Num48z1"/>
    <w:qFormat/>
    <w:rsid w:val="00FF04A3"/>
    <w:rPr>
      <w:rFonts w:ascii="Courier New" w:hAnsi="Courier New" w:cs="Courier New"/>
    </w:rPr>
  </w:style>
  <w:style w:type="character" w:customStyle="1" w:styleId="WW8Num48z2">
    <w:name w:val="WW8Num48z2"/>
    <w:qFormat/>
    <w:rsid w:val="00FF04A3"/>
    <w:rPr>
      <w:rFonts w:ascii="Wingdings" w:hAnsi="Wingdings" w:cs="Wingdings"/>
    </w:rPr>
  </w:style>
  <w:style w:type="character" w:customStyle="1" w:styleId="WW8Num48z3">
    <w:name w:val="WW8Num48z3"/>
    <w:qFormat/>
    <w:rsid w:val="00FF04A3"/>
    <w:rPr>
      <w:rFonts w:ascii="Symbol" w:hAnsi="Symbol" w:cs="Symbol"/>
    </w:rPr>
  </w:style>
  <w:style w:type="character" w:customStyle="1" w:styleId="WW8Num49z0">
    <w:name w:val="WW8Num49z0"/>
    <w:qFormat/>
    <w:rsid w:val="00FF04A3"/>
  </w:style>
  <w:style w:type="character" w:customStyle="1" w:styleId="WW8Num49z1">
    <w:name w:val="WW8Num49z1"/>
    <w:qFormat/>
    <w:rsid w:val="00FF04A3"/>
  </w:style>
  <w:style w:type="character" w:customStyle="1" w:styleId="WW8Num49z2">
    <w:name w:val="WW8Num49z2"/>
    <w:qFormat/>
    <w:rsid w:val="00FF04A3"/>
  </w:style>
  <w:style w:type="character" w:customStyle="1" w:styleId="WW8Num49z3">
    <w:name w:val="WW8Num49z3"/>
    <w:qFormat/>
    <w:rsid w:val="00FF04A3"/>
  </w:style>
  <w:style w:type="character" w:customStyle="1" w:styleId="WW8Num49z4">
    <w:name w:val="WW8Num49z4"/>
    <w:qFormat/>
    <w:rsid w:val="00FF04A3"/>
  </w:style>
  <w:style w:type="character" w:customStyle="1" w:styleId="WW8Num49z5">
    <w:name w:val="WW8Num49z5"/>
    <w:qFormat/>
    <w:rsid w:val="00FF04A3"/>
  </w:style>
  <w:style w:type="character" w:customStyle="1" w:styleId="WW8Num49z6">
    <w:name w:val="WW8Num49z6"/>
    <w:qFormat/>
    <w:rsid w:val="00FF04A3"/>
  </w:style>
  <w:style w:type="character" w:customStyle="1" w:styleId="WW8Num49z7">
    <w:name w:val="WW8Num49z7"/>
    <w:qFormat/>
    <w:rsid w:val="00FF04A3"/>
  </w:style>
  <w:style w:type="character" w:customStyle="1" w:styleId="WW8Num49z8">
    <w:name w:val="WW8Num49z8"/>
    <w:qFormat/>
    <w:rsid w:val="00FF04A3"/>
  </w:style>
  <w:style w:type="character" w:customStyle="1" w:styleId="FootnoteCharacters">
    <w:name w:val="Footnote Characters"/>
    <w:qFormat/>
    <w:rsid w:val="00FF04A3"/>
    <w:rPr>
      <w:rFonts w:cs="Times New Roman"/>
      <w:vertAlign w:val="superscript"/>
    </w:rPr>
  </w:style>
  <w:style w:type="character" w:customStyle="1" w:styleId="StrongEmphasis">
    <w:name w:val="Strong Emphasis"/>
    <w:qFormat/>
    <w:rsid w:val="00FF04A3"/>
    <w:rPr>
      <w:rFonts w:cs="Times New Roman"/>
      <w:b/>
      <w:bCs/>
    </w:rPr>
  </w:style>
  <w:style w:type="character" w:customStyle="1" w:styleId="EndnoteCharacters">
    <w:name w:val="Endnote Characters"/>
    <w:qFormat/>
    <w:rsid w:val="00FF04A3"/>
    <w:rPr>
      <w:vertAlign w:val="superscript"/>
    </w:rPr>
  </w:style>
  <w:style w:type="character" w:customStyle="1" w:styleId="FootnoteAnchor">
    <w:name w:val="Footnote Anchor"/>
    <w:rsid w:val="00FF04A3"/>
    <w:rPr>
      <w:vertAlign w:val="superscript"/>
    </w:rPr>
  </w:style>
  <w:style w:type="character" w:customStyle="1" w:styleId="EndnoteAnchor">
    <w:name w:val="Endnote Anchor"/>
    <w:rsid w:val="00FF04A3"/>
    <w:rPr>
      <w:vertAlign w:val="superscript"/>
    </w:rPr>
  </w:style>
  <w:style w:type="paragraph" w:customStyle="1" w:styleId="Heading">
    <w:name w:val="Heading"/>
    <w:basedOn w:val="Normal"/>
    <w:next w:val="Textoindependiente"/>
    <w:uiPriority w:val="99"/>
    <w:qFormat/>
    <w:rsid w:val="00FF04A3"/>
    <w:pPr>
      <w:jc w:val="center"/>
    </w:pPr>
    <w:rPr>
      <w:rFonts w:ascii="Arial" w:hAnsi="Arial" w:cs="Arial"/>
      <w:b/>
      <w:bCs/>
      <w:sz w:val="36"/>
      <w:szCs w:val="36"/>
      <w:lang w:val="es-CR" w:eastAsia="zh-CN"/>
    </w:rPr>
  </w:style>
  <w:style w:type="paragraph" w:customStyle="1" w:styleId="Index">
    <w:name w:val="Index"/>
    <w:basedOn w:val="Normal"/>
    <w:uiPriority w:val="99"/>
    <w:qFormat/>
    <w:rsid w:val="00FF04A3"/>
    <w:pPr>
      <w:suppressLineNumbers/>
    </w:pPr>
    <w:rPr>
      <w:rFonts w:cs="Noto Sans Devanagari"/>
      <w:sz w:val="20"/>
      <w:szCs w:val="20"/>
      <w:lang w:val="es-CR" w:eastAsia="zh-CN"/>
    </w:rPr>
  </w:style>
  <w:style w:type="paragraph" w:customStyle="1" w:styleId="HeaderandFooter">
    <w:name w:val="Header and Footer"/>
    <w:basedOn w:val="Normal"/>
    <w:qFormat/>
    <w:rsid w:val="00FF04A3"/>
    <w:pPr>
      <w:suppressLineNumbers/>
      <w:tabs>
        <w:tab w:val="center" w:pos="4986"/>
        <w:tab w:val="right" w:pos="9972"/>
      </w:tabs>
    </w:pPr>
    <w:rPr>
      <w:sz w:val="20"/>
      <w:szCs w:val="20"/>
      <w:lang w:val="es-CR" w:eastAsia="zh-CN"/>
    </w:rPr>
  </w:style>
  <w:style w:type="paragraph" w:customStyle="1" w:styleId="PEI">
    <w:name w:val="PEI"/>
    <w:basedOn w:val="Ttulo2"/>
    <w:qFormat/>
    <w:rsid w:val="00FF04A3"/>
    <w:pPr>
      <w:keepNext w:val="0"/>
      <w:numPr>
        <w:numId w:val="24"/>
      </w:numPr>
      <w:pBdr>
        <w:bottom w:val="single" w:sz="4" w:space="1" w:color="7F4E00"/>
      </w:pBdr>
      <w:spacing w:before="400" w:after="200" w:line="252" w:lineRule="auto"/>
    </w:pPr>
    <w:rPr>
      <w:rFonts w:ascii="GillSans-Light;Calibri" w:eastAsia="Yu Gothic Light" w:hAnsi="GillSans-Light;Calibri" w:cs="GillSans-Light;Calibri"/>
      <w:i w:val="0"/>
      <w:iCs w:val="0"/>
      <w:color w:val="0296C9"/>
      <w:sz w:val="32"/>
      <w:szCs w:val="32"/>
      <w:lang w:val="en-US" w:eastAsia="zh-CN" w:bidi="en-US"/>
    </w:rPr>
  </w:style>
  <w:style w:type="paragraph" w:customStyle="1" w:styleId="FrameContents0">
    <w:name w:val="Frame Contents"/>
    <w:basedOn w:val="Normal"/>
    <w:qFormat/>
    <w:rsid w:val="00FF04A3"/>
    <w:rPr>
      <w:sz w:val="20"/>
      <w:szCs w:val="20"/>
      <w:lang w:val="es-CR" w:eastAsia="zh-CN"/>
    </w:rPr>
  </w:style>
  <w:style w:type="numbering" w:customStyle="1" w:styleId="WW8Num1">
    <w:name w:val="WW8Num1"/>
    <w:qFormat/>
    <w:rsid w:val="00FF04A3"/>
    <w:pPr>
      <w:numPr>
        <w:numId w:val="30"/>
      </w:numPr>
    </w:pPr>
  </w:style>
  <w:style w:type="numbering" w:customStyle="1" w:styleId="WW8Num2">
    <w:name w:val="WW8Num2"/>
    <w:qFormat/>
    <w:rsid w:val="00FF04A3"/>
  </w:style>
  <w:style w:type="numbering" w:customStyle="1" w:styleId="WW8Num3">
    <w:name w:val="WW8Num3"/>
    <w:qFormat/>
    <w:rsid w:val="00FF04A3"/>
  </w:style>
  <w:style w:type="numbering" w:customStyle="1" w:styleId="WW8Num4">
    <w:name w:val="WW8Num4"/>
    <w:qFormat/>
    <w:rsid w:val="00FF04A3"/>
  </w:style>
  <w:style w:type="numbering" w:customStyle="1" w:styleId="WW8Num5">
    <w:name w:val="WW8Num5"/>
    <w:qFormat/>
    <w:rsid w:val="00FF04A3"/>
  </w:style>
  <w:style w:type="numbering" w:customStyle="1" w:styleId="WW8Num6">
    <w:name w:val="WW8Num6"/>
    <w:qFormat/>
    <w:rsid w:val="00FF04A3"/>
  </w:style>
  <w:style w:type="numbering" w:customStyle="1" w:styleId="WW8Num7">
    <w:name w:val="WW8Num7"/>
    <w:qFormat/>
    <w:rsid w:val="00FF04A3"/>
  </w:style>
  <w:style w:type="numbering" w:customStyle="1" w:styleId="WW8Num8">
    <w:name w:val="WW8Num8"/>
    <w:qFormat/>
    <w:rsid w:val="00FF04A3"/>
  </w:style>
  <w:style w:type="numbering" w:customStyle="1" w:styleId="WW8Num9">
    <w:name w:val="WW8Num9"/>
    <w:qFormat/>
    <w:rsid w:val="00FF04A3"/>
  </w:style>
  <w:style w:type="numbering" w:customStyle="1" w:styleId="WW8Num10">
    <w:name w:val="WW8Num10"/>
    <w:qFormat/>
    <w:rsid w:val="00FF04A3"/>
  </w:style>
  <w:style w:type="numbering" w:customStyle="1" w:styleId="WW8Num11">
    <w:name w:val="WW8Num11"/>
    <w:qFormat/>
    <w:rsid w:val="00FF04A3"/>
  </w:style>
  <w:style w:type="numbering" w:customStyle="1" w:styleId="WW8Num12">
    <w:name w:val="WW8Num12"/>
    <w:qFormat/>
    <w:rsid w:val="00FF04A3"/>
  </w:style>
  <w:style w:type="numbering" w:customStyle="1" w:styleId="WW8Num13">
    <w:name w:val="WW8Num13"/>
    <w:qFormat/>
    <w:rsid w:val="00FF04A3"/>
  </w:style>
  <w:style w:type="numbering" w:customStyle="1" w:styleId="WW8Num14">
    <w:name w:val="WW8Num14"/>
    <w:qFormat/>
    <w:rsid w:val="00FF04A3"/>
  </w:style>
  <w:style w:type="numbering" w:customStyle="1" w:styleId="WW8Num15">
    <w:name w:val="WW8Num15"/>
    <w:qFormat/>
    <w:rsid w:val="00FF04A3"/>
  </w:style>
  <w:style w:type="numbering" w:customStyle="1" w:styleId="WW8Num16">
    <w:name w:val="WW8Num16"/>
    <w:qFormat/>
    <w:rsid w:val="00FF04A3"/>
  </w:style>
  <w:style w:type="numbering" w:customStyle="1" w:styleId="WW8Num17">
    <w:name w:val="WW8Num17"/>
    <w:qFormat/>
    <w:rsid w:val="00FF04A3"/>
  </w:style>
  <w:style w:type="numbering" w:customStyle="1" w:styleId="WW8Num18">
    <w:name w:val="WW8Num18"/>
    <w:qFormat/>
    <w:rsid w:val="00FF04A3"/>
  </w:style>
  <w:style w:type="numbering" w:customStyle="1" w:styleId="WW8Num19">
    <w:name w:val="WW8Num19"/>
    <w:qFormat/>
    <w:rsid w:val="00FF04A3"/>
  </w:style>
  <w:style w:type="numbering" w:customStyle="1" w:styleId="WW8Num20">
    <w:name w:val="WW8Num20"/>
    <w:qFormat/>
    <w:rsid w:val="00FF04A3"/>
  </w:style>
  <w:style w:type="numbering" w:customStyle="1" w:styleId="WW8Num21">
    <w:name w:val="WW8Num21"/>
    <w:qFormat/>
    <w:rsid w:val="00FF04A3"/>
  </w:style>
  <w:style w:type="numbering" w:customStyle="1" w:styleId="WW8Num23">
    <w:name w:val="WW8Num23"/>
    <w:qFormat/>
    <w:rsid w:val="00FF04A3"/>
  </w:style>
  <w:style w:type="numbering" w:customStyle="1" w:styleId="WW8Num24">
    <w:name w:val="WW8Num24"/>
    <w:qFormat/>
    <w:rsid w:val="00FF04A3"/>
    <w:pPr>
      <w:numPr>
        <w:numId w:val="32"/>
      </w:numPr>
    </w:pPr>
  </w:style>
  <w:style w:type="numbering" w:customStyle="1" w:styleId="WW8Num25">
    <w:name w:val="WW8Num25"/>
    <w:qFormat/>
    <w:rsid w:val="00FF04A3"/>
  </w:style>
  <w:style w:type="numbering" w:customStyle="1" w:styleId="WW8Num26">
    <w:name w:val="WW8Num26"/>
    <w:qFormat/>
    <w:rsid w:val="00FF04A3"/>
  </w:style>
  <w:style w:type="numbering" w:customStyle="1" w:styleId="WW8Num27">
    <w:name w:val="WW8Num27"/>
    <w:qFormat/>
    <w:rsid w:val="00FF04A3"/>
  </w:style>
  <w:style w:type="numbering" w:customStyle="1" w:styleId="WW8Num28">
    <w:name w:val="WW8Num28"/>
    <w:qFormat/>
    <w:rsid w:val="00FF04A3"/>
  </w:style>
  <w:style w:type="numbering" w:customStyle="1" w:styleId="WW8Num29">
    <w:name w:val="WW8Num29"/>
    <w:qFormat/>
    <w:rsid w:val="00FF04A3"/>
  </w:style>
  <w:style w:type="numbering" w:customStyle="1" w:styleId="WW8Num30">
    <w:name w:val="WW8Num30"/>
    <w:qFormat/>
    <w:rsid w:val="00FF04A3"/>
  </w:style>
  <w:style w:type="numbering" w:customStyle="1" w:styleId="WW8Num31">
    <w:name w:val="WW8Num31"/>
    <w:qFormat/>
    <w:rsid w:val="00FF04A3"/>
  </w:style>
  <w:style w:type="numbering" w:customStyle="1" w:styleId="WW8Num32">
    <w:name w:val="WW8Num32"/>
    <w:qFormat/>
    <w:rsid w:val="00FF04A3"/>
  </w:style>
  <w:style w:type="numbering" w:customStyle="1" w:styleId="WW8Num33">
    <w:name w:val="WW8Num33"/>
    <w:qFormat/>
    <w:rsid w:val="00FF04A3"/>
  </w:style>
  <w:style w:type="numbering" w:customStyle="1" w:styleId="WW8Num34">
    <w:name w:val="WW8Num34"/>
    <w:qFormat/>
    <w:rsid w:val="00FF04A3"/>
  </w:style>
  <w:style w:type="numbering" w:customStyle="1" w:styleId="WW8Num35">
    <w:name w:val="WW8Num35"/>
    <w:qFormat/>
    <w:rsid w:val="00FF04A3"/>
  </w:style>
  <w:style w:type="numbering" w:customStyle="1" w:styleId="WW8Num36">
    <w:name w:val="WW8Num36"/>
    <w:qFormat/>
    <w:rsid w:val="00FF04A3"/>
  </w:style>
  <w:style w:type="numbering" w:customStyle="1" w:styleId="WW8Num37">
    <w:name w:val="WW8Num37"/>
    <w:qFormat/>
    <w:rsid w:val="00FF04A3"/>
  </w:style>
  <w:style w:type="numbering" w:customStyle="1" w:styleId="WW8Num38">
    <w:name w:val="WW8Num38"/>
    <w:qFormat/>
    <w:rsid w:val="00FF04A3"/>
  </w:style>
  <w:style w:type="numbering" w:customStyle="1" w:styleId="WW8Num39">
    <w:name w:val="WW8Num39"/>
    <w:qFormat/>
    <w:rsid w:val="00FF04A3"/>
  </w:style>
  <w:style w:type="numbering" w:customStyle="1" w:styleId="WW8Num40">
    <w:name w:val="WW8Num40"/>
    <w:qFormat/>
    <w:rsid w:val="00FF04A3"/>
  </w:style>
  <w:style w:type="numbering" w:customStyle="1" w:styleId="WW8Num41">
    <w:name w:val="WW8Num41"/>
    <w:qFormat/>
    <w:rsid w:val="00FF04A3"/>
  </w:style>
  <w:style w:type="numbering" w:customStyle="1" w:styleId="WW8Num42">
    <w:name w:val="WW8Num42"/>
    <w:qFormat/>
    <w:rsid w:val="00FF04A3"/>
  </w:style>
  <w:style w:type="numbering" w:customStyle="1" w:styleId="WW8Num43">
    <w:name w:val="WW8Num43"/>
    <w:qFormat/>
    <w:rsid w:val="00FF04A3"/>
  </w:style>
  <w:style w:type="numbering" w:customStyle="1" w:styleId="WW8Num44">
    <w:name w:val="WW8Num44"/>
    <w:qFormat/>
    <w:rsid w:val="00FF04A3"/>
  </w:style>
  <w:style w:type="numbering" w:customStyle="1" w:styleId="WW8Num45">
    <w:name w:val="WW8Num45"/>
    <w:qFormat/>
    <w:rsid w:val="00FF04A3"/>
  </w:style>
  <w:style w:type="numbering" w:customStyle="1" w:styleId="WW8Num46">
    <w:name w:val="WW8Num46"/>
    <w:qFormat/>
    <w:rsid w:val="00FF04A3"/>
  </w:style>
  <w:style w:type="numbering" w:customStyle="1" w:styleId="WW8Num47">
    <w:name w:val="WW8Num47"/>
    <w:qFormat/>
    <w:rsid w:val="00FF04A3"/>
  </w:style>
  <w:style w:type="numbering" w:customStyle="1" w:styleId="WW8Num48">
    <w:name w:val="WW8Num48"/>
    <w:qFormat/>
    <w:rsid w:val="00FF04A3"/>
  </w:style>
  <w:style w:type="numbering" w:customStyle="1" w:styleId="WW8Num49">
    <w:name w:val="WW8Num49"/>
    <w:qFormat/>
    <w:rsid w:val="00FF04A3"/>
  </w:style>
  <w:style w:type="character" w:customStyle="1" w:styleId="xhighlight">
    <w:name w:val="x_highlight"/>
    <w:basedOn w:val="Fuentedeprrafopredeter"/>
    <w:rsid w:val="00FF04A3"/>
  </w:style>
  <w:style w:type="paragraph" w:customStyle="1" w:styleId="prrafodelista12">
    <w:name w:val="prrafodelista1"/>
    <w:basedOn w:val="Normal"/>
    <w:uiPriority w:val="99"/>
    <w:rsid w:val="00FF04A3"/>
    <w:pPr>
      <w:shd w:val="clear" w:color="auto" w:fill="FFFFFF"/>
      <w:suppressAutoHyphens w:val="0"/>
      <w:autoSpaceDE w:val="0"/>
      <w:autoSpaceDN w:val="0"/>
      <w:ind w:left="708"/>
    </w:pPr>
    <w:rPr>
      <w:rFonts w:ascii="Arial" w:hAnsi="Arial" w:cs="Arial"/>
      <w:sz w:val="20"/>
      <w:szCs w:val="20"/>
      <w:lang w:eastAsia="es-ES"/>
    </w:rPr>
  </w:style>
  <w:style w:type="paragraph" w:customStyle="1" w:styleId="ww-predeterminado2">
    <w:name w:val="ww-predeterminado"/>
    <w:basedOn w:val="Normal"/>
    <w:uiPriority w:val="99"/>
    <w:rsid w:val="00FF04A3"/>
    <w:pPr>
      <w:suppressAutoHyphens w:val="0"/>
      <w:autoSpaceDE w:val="0"/>
      <w:autoSpaceDN w:val="0"/>
    </w:pPr>
    <w:rPr>
      <w:color w:val="000000"/>
      <w:lang w:eastAsia="es-ES"/>
    </w:rPr>
  </w:style>
  <w:style w:type="paragraph" w:customStyle="1" w:styleId="cuerpodetexto0">
    <w:name w:val="cuerpodetexto"/>
    <w:basedOn w:val="Normal"/>
    <w:uiPriority w:val="99"/>
    <w:rsid w:val="00FF04A3"/>
    <w:pPr>
      <w:suppressAutoHyphens w:val="0"/>
      <w:autoSpaceDE w:val="0"/>
      <w:autoSpaceDN w:val="0"/>
      <w:spacing w:after="120"/>
    </w:pPr>
    <w:rPr>
      <w:rFonts w:ascii="Arial" w:hAnsi="Arial" w:cs="Arial"/>
      <w:lang w:eastAsia="es-ES"/>
    </w:rPr>
  </w:style>
  <w:style w:type="paragraph" w:customStyle="1" w:styleId="prrafodelistacxspmiddle">
    <w:name w:val="prrafodelistacxspmiddle"/>
    <w:basedOn w:val="Normal"/>
    <w:uiPriority w:val="99"/>
    <w:rsid w:val="00FF04A3"/>
    <w:pPr>
      <w:suppressAutoHyphens w:val="0"/>
      <w:spacing w:before="100" w:beforeAutospacing="1" w:after="100" w:afterAutospacing="1"/>
    </w:pPr>
    <w:rPr>
      <w:lang w:eastAsia="es-ES"/>
    </w:rPr>
  </w:style>
  <w:style w:type="paragraph" w:styleId="Firmadecorreoelectrnico">
    <w:name w:val="E-mail Signature"/>
    <w:basedOn w:val="Normal"/>
    <w:link w:val="FirmadecorreoelectrnicoCar"/>
    <w:uiPriority w:val="99"/>
    <w:rsid w:val="00FF04A3"/>
    <w:pPr>
      <w:suppressAutoHyphens w:val="0"/>
    </w:pPr>
    <w:rPr>
      <w:lang w:eastAsia="es-ES"/>
    </w:rPr>
  </w:style>
  <w:style w:type="character" w:customStyle="1" w:styleId="FirmadecorreoelectrnicoCar">
    <w:name w:val="Firma de correo electrónico Car"/>
    <w:basedOn w:val="Fuentedeprrafopredeter"/>
    <w:link w:val="Firmadecorreoelectrnico"/>
    <w:uiPriority w:val="99"/>
    <w:rsid w:val="00FF04A3"/>
    <w:rPr>
      <w:sz w:val="24"/>
      <w:szCs w:val="24"/>
    </w:rPr>
  </w:style>
  <w:style w:type="paragraph" w:customStyle="1" w:styleId="sinespaciado0">
    <w:name w:val="sinespaciado"/>
    <w:basedOn w:val="Normal"/>
    <w:uiPriority w:val="99"/>
    <w:rsid w:val="00FF04A3"/>
    <w:pPr>
      <w:suppressAutoHyphens w:val="0"/>
    </w:pPr>
    <w:rPr>
      <w:rFonts w:ascii="Calibri" w:hAnsi="Calibri"/>
      <w:sz w:val="22"/>
      <w:szCs w:val="22"/>
      <w:lang w:eastAsia="es-ES"/>
    </w:rPr>
  </w:style>
  <w:style w:type="paragraph" w:customStyle="1" w:styleId="epgrafe2">
    <w:name w:val="epgrafe"/>
    <w:basedOn w:val="Normal"/>
    <w:uiPriority w:val="99"/>
    <w:rsid w:val="00FF04A3"/>
    <w:pPr>
      <w:suppressAutoHyphens w:val="0"/>
      <w:snapToGrid w:val="0"/>
    </w:pPr>
    <w:rPr>
      <w:lang w:eastAsia="es-ES"/>
    </w:rPr>
  </w:style>
  <w:style w:type="paragraph" w:customStyle="1" w:styleId="envelopereturn">
    <w:name w:val="envelopereturn"/>
    <w:basedOn w:val="Normal"/>
    <w:rsid w:val="00FF04A3"/>
    <w:pPr>
      <w:suppressAutoHyphens w:val="0"/>
      <w:autoSpaceDE w:val="0"/>
    </w:pPr>
    <w:rPr>
      <w:rFonts w:ascii="Arial" w:hAnsi="Arial" w:cs="Arial"/>
      <w:color w:val="000000"/>
      <w:spacing w:val="-3"/>
      <w:lang w:eastAsia="es-ES"/>
    </w:rPr>
  </w:style>
  <w:style w:type="paragraph" w:customStyle="1" w:styleId="etiqueta0">
    <w:name w:val="etiqueta"/>
    <w:basedOn w:val="Normal"/>
    <w:uiPriority w:val="99"/>
    <w:rsid w:val="00FF04A3"/>
    <w:pPr>
      <w:suppressAutoHyphens w:val="0"/>
      <w:spacing w:before="120" w:after="120"/>
    </w:pPr>
    <w:rPr>
      <w:i/>
      <w:iCs/>
      <w:lang w:eastAsia="es-ES"/>
    </w:rPr>
  </w:style>
  <w:style w:type="paragraph" w:customStyle="1" w:styleId="ndice0">
    <w:name w:val="ndice"/>
    <w:basedOn w:val="Normal"/>
    <w:uiPriority w:val="99"/>
    <w:rsid w:val="00FF04A3"/>
    <w:pPr>
      <w:suppressAutoHyphens w:val="0"/>
    </w:pPr>
    <w:rPr>
      <w:sz w:val="20"/>
      <w:szCs w:val="20"/>
      <w:lang w:eastAsia="es-ES"/>
    </w:rPr>
  </w:style>
  <w:style w:type="paragraph" w:customStyle="1" w:styleId="encabezado11">
    <w:name w:val="encabezado1"/>
    <w:basedOn w:val="Normal"/>
    <w:uiPriority w:val="99"/>
    <w:rsid w:val="00FF04A3"/>
    <w:pPr>
      <w:keepNext/>
      <w:suppressAutoHyphens w:val="0"/>
      <w:spacing w:before="240" w:after="120"/>
    </w:pPr>
    <w:rPr>
      <w:rFonts w:ascii="Arial" w:hAnsi="Arial" w:cs="Arial"/>
      <w:sz w:val="28"/>
      <w:szCs w:val="28"/>
      <w:lang w:eastAsia="es-ES"/>
    </w:rPr>
  </w:style>
  <w:style w:type="paragraph" w:customStyle="1" w:styleId="predeterminado00">
    <w:name w:val="predeterminado0"/>
    <w:basedOn w:val="Normal"/>
    <w:uiPriority w:val="99"/>
    <w:rsid w:val="00FF04A3"/>
    <w:pPr>
      <w:suppressAutoHyphens w:val="0"/>
      <w:autoSpaceDE w:val="0"/>
      <w:autoSpaceDN w:val="0"/>
    </w:pPr>
    <w:rPr>
      <w:rFonts w:ascii="Trebuchet MS" w:hAnsi="Trebuchet MS"/>
      <w:color w:val="000000"/>
      <w:sz w:val="48"/>
      <w:szCs w:val="48"/>
      <w:lang w:eastAsia="es-ES"/>
    </w:rPr>
  </w:style>
  <w:style w:type="paragraph" w:customStyle="1" w:styleId="estilottulo3rojo0">
    <w:name w:val="estilottulo3rojo"/>
    <w:basedOn w:val="Normal"/>
    <w:rsid w:val="00FF04A3"/>
    <w:pPr>
      <w:keepNext/>
      <w:suppressAutoHyphens w:val="0"/>
      <w:spacing w:before="240" w:after="60"/>
      <w:jc w:val="both"/>
    </w:pPr>
    <w:rPr>
      <w:b/>
      <w:bCs/>
      <w:color w:val="000080"/>
      <w:sz w:val="28"/>
      <w:szCs w:val="28"/>
      <w:lang w:eastAsia="es-ES"/>
    </w:rPr>
  </w:style>
  <w:style w:type="paragraph" w:customStyle="1" w:styleId="estilo14ptnegritacentrado0">
    <w:name w:val="estilo14ptnegritacentrado"/>
    <w:basedOn w:val="Normal"/>
    <w:rsid w:val="00FF04A3"/>
    <w:pPr>
      <w:suppressAutoHyphens w:val="0"/>
      <w:spacing w:line="480" w:lineRule="auto"/>
      <w:jc w:val="center"/>
    </w:pPr>
    <w:rPr>
      <w:b/>
      <w:bCs/>
      <w:sz w:val="32"/>
      <w:szCs w:val="32"/>
      <w:u w:val="single"/>
      <w:lang w:eastAsia="es-ES"/>
    </w:rPr>
  </w:style>
  <w:style w:type="paragraph" w:customStyle="1" w:styleId="estilo14ptnegritacentradointerlineadodoble0">
    <w:name w:val="estilo14ptnegritacentradointerlineadodoble"/>
    <w:basedOn w:val="Normal"/>
    <w:rsid w:val="00FF04A3"/>
    <w:pPr>
      <w:suppressAutoHyphens w:val="0"/>
      <w:spacing w:line="480" w:lineRule="auto"/>
      <w:jc w:val="center"/>
    </w:pPr>
    <w:rPr>
      <w:b/>
      <w:bCs/>
      <w:sz w:val="40"/>
      <w:szCs w:val="40"/>
      <w:u w:val="single"/>
      <w:lang w:eastAsia="es-ES"/>
    </w:rPr>
  </w:style>
  <w:style w:type="paragraph" w:customStyle="1" w:styleId="textoindependiente210">
    <w:name w:val="textoindependiente21"/>
    <w:basedOn w:val="Normal"/>
    <w:uiPriority w:val="99"/>
    <w:rsid w:val="00FF04A3"/>
    <w:pPr>
      <w:suppressAutoHyphens w:val="0"/>
      <w:jc w:val="both"/>
    </w:pPr>
    <w:rPr>
      <w:rFonts w:ascii="Verdana" w:hAnsi="Verdana"/>
      <w:i/>
      <w:iCs/>
      <w:lang w:eastAsia="es-ES"/>
    </w:rPr>
  </w:style>
  <w:style w:type="paragraph" w:customStyle="1" w:styleId="titulo60">
    <w:name w:val="titulo6"/>
    <w:basedOn w:val="Normal"/>
    <w:rsid w:val="00FF04A3"/>
    <w:pPr>
      <w:suppressAutoHyphens w:val="0"/>
      <w:spacing w:before="120" w:after="120"/>
      <w:jc w:val="both"/>
    </w:pPr>
    <w:rPr>
      <w:caps/>
      <w:color w:val="000080"/>
      <w:sz w:val="28"/>
      <w:szCs w:val="28"/>
      <w:u w:val="single"/>
      <w:lang w:eastAsia="es-ES"/>
    </w:rPr>
  </w:style>
  <w:style w:type="paragraph" w:customStyle="1" w:styleId="estilo18ptnegritasubrayadocentrado0">
    <w:name w:val="estilo18ptnegritasubrayadocentrado"/>
    <w:basedOn w:val="Normal"/>
    <w:rsid w:val="00FF04A3"/>
    <w:pPr>
      <w:suppressAutoHyphens w:val="0"/>
      <w:jc w:val="both"/>
    </w:pPr>
    <w:rPr>
      <w:b/>
      <w:bCs/>
      <w:sz w:val="36"/>
      <w:szCs w:val="36"/>
      <w:u w:val="single"/>
      <w:lang w:eastAsia="es-ES"/>
    </w:rPr>
  </w:style>
  <w:style w:type="paragraph" w:customStyle="1" w:styleId="estilo14ptjustificadoprimeralnea125cminterlineadod0">
    <w:name w:val="estilo14ptjustificadoprimeralnea125cminterlineadod"/>
    <w:basedOn w:val="Normal"/>
    <w:rsid w:val="00FF04A3"/>
    <w:pPr>
      <w:suppressAutoHyphens w:val="0"/>
      <w:spacing w:line="480" w:lineRule="auto"/>
      <w:ind w:firstLine="708"/>
      <w:jc w:val="both"/>
    </w:pPr>
    <w:rPr>
      <w:sz w:val="28"/>
      <w:szCs w:val="28"/>
      <w:lang w:eastAsia="es-ES"/>
    </w:rPr>
  </w:style>
  <w:style w:type="paragraph" w:customStyle="1" w:styleId="normal20">
    <w:name w:val="normal2"/>
    <w:basedOn w:val="Normal"/>
    <w:uiPriority w:val="99"/>
    <w:rsid w:val="00FF04A3"/>
    <w:pPr>
      <w:suppressAutoHyphens w:val="0"/>
    </w:pPr>
    <w:rPr>
      <w:lang w:eastAsia="es-ES"/>
    </w:rPr>
  </w:style>
  <w:style w:type="paragraph" w:customStyle="1" w:styleId="sangra3detindependiente10">
    <w:name w:val="sangra3detindependiente1"/>
    <w:basedOn w:val="Normal"/>
    <w:uiPriority w:val="99"/>
    <w:rsid w:val="00FF04A3"/>
    <w:pPr>
      <w:suppressAutoHyphens w:val="0"/>
      <w:spacing w:after="120"/>
      <w:ind w:left="283"/>
    </w:pPr>
    <w:rPr>
      <w:sz w:val="16"/>
      <w:szCs w:val="16"/>
      <w:lang w:eastAsia="es-ES"/>
    </w:rPr>
  </w:style>
  <w:style w:type="paragraph" w:customStyle="1" w:styleId="caractercaractercharcharcaractercaractercarcarcarcarchar0">
    <w:name w:val="caractercaractercharcharcaractercaractercarcarcarcarchar"/>
    <w:basedOn w:val="Normal"/>
    <w:rsid w:val="00FF04A3"/>
    <w:pPr>
      <w:suppressAutoHyphens w:val="0"/>
      <w:jc w:val="both"/>
    </w:pPr>
    <w:rPr>
      <w:rFonts w:ascii="Arial" w:hAnsi="Arial" w:cs="Arial"/>
      <w:lang w:eastAsia="es-ES"/>
    </w:rPr>
  </w:style>
  <w:style w:type="paragraph" w:customStyle="1" w:styleId="h50">
    <w:name w:val="h5"/>
    <w:basedOn w:val="Normal"/>
    <w:uiPriority w:val="99"/>
    <w:rsid w:val="00FF04A3"/>
    <w:pPr>
      <w:keepNext/>
      <w:suppressAutoHyphens w:val="0"/>
      <w:autoSpaceDE w:val="0"/>
      <w:autoSpaceDN w:val="0"/>
      <w:spacing w:before="100" w:after="100"/>
    </w:pPr>
    <w:rPr>
      <w:rFonts w:ascii="Arial" w:hAnsi="Arial" w:cs="Arial"/>
      <w:b/>
      <w:bCs/>
      <w:sz w:val="20"/>
      <w:szCs w:val="20"/>
      <w:lang w:eastAsia="es-ES"/>
    </w:rPr>
  </w:style>
  <w:style w:type="paragraph" w:customStyle="1" w:styleId="estilo10">
    <w:name w:val="estilo1"/>
    <w:basedOn w:val="Normal"/>
    <w:uiPriority w:val="99"/>
    <w:rsid w:val="00FF04A3"/>
    <w:pPr>
      <w:suppressAutoHyphens w:val="0"/>
      <w:autoSpaceDE w:val="0"/>
      <w:autoSpaceDN w:val="0"/>
    </w:pPr>
    <w:rPr>
      <w:lang w:eastAsia="es-ES"/>
    </w:rPr>
  </w:style>
  <w:style w:type="paragraph" w:customStyle="1" w:styleId="bodytext20">
    <w:name w:val="bodytext20"/>
    <w:basedOn w:val="Normal"/>
    <w:rsid w:val="00FF04A3"/>
    <w:pPr>
      <w:suppressAutoHyphens w:val="0"/>
      <w:ind w:right="334" w:hanging="283"/>
      <w:jc w:val="both"/>
    </w:pPr>
    <w:rPr>
      <w:rFonts w:ascii="Arial" w:hAnsi="Arial" w:cs="Arial"/>
      <w:lang w:eastAsia="es-ES"/>
    </w:rPr>
  </w:style>
  <w:style w:type="paragraph" w:customStyle="1" w:styleId="ww-predeterminado10">
    <w:name w:val="ww-predeterminado1"/>
    <w:basedOn w:val="Normal"/>
    <w:uiPriority w:val="99"/>
    <w:rsid w:val="00FF04A3"/>
    <w:pPr>
      <w:suppressAutoHyphens w:val="0"/>
      <w:autoSpaceDE w:val="0"/>
      <w:autoSpaceDN w:val="0"/>
    </w:pPr>
    <w:rPr>
      <w:rFonts w:ascii="Arial" w:hAnsi="Arial" w:cs="Arial"/>
      <w:color w:val="000000"/>
      <w:lang w:eastAsia="es-ES"/>
    </w:rPr>
  </w:style>
  <w:style w:type="paragraph" w:customStyle="1" w:styleId="bodytextindent2">
    <w:name w:val="bodytextindent2"/>
    <w:basedOn w:val="Normal"/>
    <w:uiPriority w:val="99"/>
    <w:rsid w:val="00FF04A3"/>
    <w:pPr>
      <w:suppressAutoHyphens w:val="0"/>
      <w:autoSpaceDE w:val="0"/>
      <w:spacing w:line="480" w:lineRule="auto"/>
      <w:ind w:firstLine="708"/>
      <w:jc w:val="both"/>
    </w:pPr>
    <w:rPr>
      <w:rFonts w:ascii="Arial" w:hAnsi="Arial" w:cs="Arial"/>
      <w:u w:val="single"/>
      <w:lang w:eastAsia="es-ES"/>
    </w:rPr>
  </w:style>
  <w:style w:type="paragraph" w:customStyle="1" w:styleId="normal10">
    <w:name w:val="normal1"/>
    <w:basedOn w:val="Normal"/>
    <w:uiPriority w:val="99"/>
    <w:rsid w:val="00FF04A3"/>
    <w:pPr>
      <w:suppressAutoHyphens w:val="0"/>
      <w:autoSpaceDE w:val="0"/>
    </w:pPr>
    <w:rPr>
      <w:color w:val="000000"/>
      <w:lang w:eastAsia="es-ES"/>
    </w:rPr>
  </w:style>
  <w:style w:type="paragraph" w:customStyle="1" w:styleId="cm10">
    <w:name w:val="cm1"/>
    <w:basedOn w:val="Normal"/>
    <w:rsid w:val="00FF04A3"/>
    <w:pPr>
      <w:suppressAutoHyphens w:val="0"/>
      <w:autoSpaceDE w:val="0"/>
      <w:autoSpaceDN w:val="0"/>
      <w:spacing w:after="225"/>
    </w:pPr>
    <w:rPr>
      <w:rFonts w:ascii="Verdana" w:hAnsi="Verdana"/>
      <w:lang w:eastAsia="es-ES"/>
    </w:rPr>
  </w:style>
  <w:style w:type="paragraph" w:customStyle="1" w:styleId="prrafodelista20">
    <w:name w:val="prrafodelista2"/>
    <w:basedOn w:val="Normal"/>
    <w:rsid w:val="00FF04A3"/>
    <w:pPr>
      <w:suppressAutoHyphens w:val="0"/>
      <w:spacing w:line="276" w:lineRule="auto"/>
      <w:ind w:left="720"/>
      <w:jc w:val="both"/>
    </w:pPr>
    <w:rPr>
      <w:rFonts w:ascii="Calibri" w:hAnsi="Calibri"/>
      <w:lang w:eastAsia="es-ES"/>
    </w:rPr>
  </w:style>
  <w:style w:type="paragraph" w:customStyle="1" w:styleId="nivel40">
    <w:name w:val="nivel4"/>
    <w:basedOn w:val="Normal"/>
    <w:rsid w:val="00FF04A3"/>
    <w:pPr>
      <w:suppressAutoHyphens w:val="0"/>
      <w:spacing w:before="240" w:after="240" w:line="276" w:lineRule="auto"/>
      <w:jc w:val="both"/>
    </w:pPr>
    <w:rPr>
      <w:sz w:val="20"/>
      <w:szCs w:val="20"/>
      <w:lang w:eastAsia="es-ES"/>
    </w:rPr>
  </w:style>
  <w:style w:type="paragraph" w:customStyle="1" w:styleId="body10">
    <w:name w:val="body1"/>
    <w:basedOn w:val="Normal"/>
    <w:rsid w:val="00FF04A3"/>
    <w:pPr>
      <w:suppressAutoHyphens w:val="0"/>
    </w:pPr>
    <w:rPr>
      <w:rFonts w:ascii="Helvetica" w:hAnsi="Helvetica"/>
      <w:color w:val="000000"/>
      <w:lang w:eastAsia="es-ES"/>
    </w:rPr>
  </w:style>
  <w:style w:type="paragraph" w:customStyle="1" w:styleId="bodytext2200">
    <w:name w:val="bodytext220"/>
    <w:basedOn w:val="Normal"/>
    <w:uiPriority w:val="99"/>
    <w:rsid w:val="00FF04A3"/>
    <w:pPr>
      <w:suppressAutoHyphens w:val="0"/>
      <w:autoSpaceDE w:val="0"/>
      <w:autoSpaceDN w:val="0"/>
      <w:jc w:val="both"/>
    </w:pPr>
    <w:rPr>
      <w:rFonts w:ascii="Arial" w:hAnsi="Arial" w:cs="Arial"/>
      <w:lang w:eastAsia="es-ES"/>
    </w:rPr>
  </w:style>
  <w:style w:type="paragraph" w:customStyle="1" w:styleId="definitionterm0">
    <w:name w:val="definitionterm"/>
    <w:basedOn w:val="Normal"/>
    <w:uiPriority w:val="99"/>
    <w:rsid w:val="00FF04A3"/>
    <w:pPr>
      <w:suppressAutoHyphens w:val="0"/>
      <w:autoSpaceDE w:val="0"/>
      <w:autoSpaceDN w:val="0"/>
    </w:pPr>
    <w:rPr>
      <w:rFonts w:ascii="Arial" w:hAnsi="Arial" w:cs="Arial"/>
      <w:lang w:eastAsia="es-ES"/>
    </w:rPr>
  </w:style>
  <w:style w:type="paragraph" w:customStyle="1" w:styleId="definitionlist0">
    <w:name w:val="definitionlist"/>
    <w:basedOn w:val="Normal"/>
    <w:uiPriority w:val="99"/>
    <w:rsid w:val="00FF04A3"/>
    <w:pPr>
      <w:suppressAutoHyphens w:val="0"/>
      <w:autoSpaceDE w:val="0"/>
      <w:autoSpaceDN w:val="0"/>
      <w:ind w:left="360"/>
    </w:pPr>
    <w:rPr>
      <w:rFonts w:ascii="Arial" w:hAnsi="Arial" w:cs="Arial"/>
      <w:lang w:eastAsia="es-ES"/>
    </w:rPr>
  </w:style>
  <w:style w:type="paragraph" w:customStyle="1" w:styleId="h10">
    <w:name w:val="h1"/>
    <w:basedOn w:val="Normal"/>
    <w:uiPriority w:val="99"/>
    <w:rsid w:val="00FF04A3"/>
    <w:pPr>
      <w:keepNext/>
      <w:suppressAutoHyphens w:val="0"/>
      <w:autoSpaceDE w:val="0"/>
      <w:autoSpaceDN w:val="0"/>
      <w:spacing w:before="100" w:after="100"/>
    </w:pPr>
    <w:rPr>
      <w:rFonts w:ascii="Arial" w:hAnsi="Arial" w:cs="Arial"/>
      <w:b/>
      <w:bCs/>
      <w:sz w:val="48"/>
      <w:szCs w:val="48"/>
      <w:lang w:eastAsia="es-ES"/>
    </w:rPr>
  </w:style>
  <w:style w:type="paragraph" w:customStyle="1" w:styleId="h20">
    <w:name w:val="h2"/>
    <w:basedOn w:val="Normal"/>
    <w:rsid w:val="00FF04A3"/>
    <w:pPr>
      <w:keepNext/>
      <w:suppressAutoHyphens w:val="0"/>
      <w:autoSpaceDE w:val="0"/>
      <w:autoSpaceDN w:val="0"/>
      <w:spacing w:before="100" w:after="100"/>
    </w:pPr>
    <w:rPr>
      <w:rFonts w:ascii="Arial" w:hAnsi="Arial" w:cs="Arial"/>
      <w:b/>
      <w:bCs/>
      <w:sz w:val="36"/>
      <w:szCs w:val="36"/>
      <w:lang w:eastAsia="es-ES"/>
    </w:rPr>
  </w:style>
  <w:style w:type="paragraph" w:customStyle="1" w:styleId="h30">
    <w:name w:val="h3"/>
    <w:basedOn w:val="Normal"/>
    <w:uiPriority w:val="99"/>
    <w:rsid w:val="00FF04A3"/>
    <w:pPr>
      <w:keepNext/>
      <w:suppressAutoHyphens w:val="0"/>
      <w:autoSpaceDE w:val="0"/>
      <w:autoSpaceDN w:val="0"/>
      <w:spacing w:before="100" w:after="100"/>
    </w:pPr>
    <w:rPr>
      <w:rFonts w:ascii="Arial" w:hAnsi="Arial" w:cs="Arial"/>
      <w:b/>
      <w:bCs/>
      <w:sz w:val="28"/>
      <w:szCs w:val="28"/>
      <w:lang w:eastAsia="es-ES"/>
    </w:rPr>
  </w:style>
  <w:style w:type="paragraph" w:customStyle="1" w:styleId="h60">
    <w:name w:val="h6"/>
    <w:basedOn w:val="Normal"/>
    <w:uiPriority w:val="99"/>
    <w:rsid w:val="00FF04A3"/>
    <w:pPr>
      <w:keepNext/>
      <w:suppressAutoHyphens w:val="0"/>
      <w:autoSpaceDE w:val="0"/>
      <w:autoSpaceDN w:val="0"/>
      <w:spacing w:before="100" w:after="100"/>
    </w:pPr>
    <w:rPr>
      <w:rFonts w:ascii="Arial" w:hAnsi="Arial" w:cs="Arial"/>
      <w:b/>
      <w:bCs/>
      <w:sz w:val="16"/>
      <w:szCs w:val="16"/>
      <w:lang w:eastAsia="es-ES"/>
    </w:rPr>
  </w:style>
  <w:style w:type="paragraph" w:customStyle="1" w:styleId="address0">
    <w:name w:val="address"/>
    <w:basedOn w:val="Normal"/>
    <w:uiPriority w:val="99"/>
    <w:rsid w:val="00FF04A3"/>
    <w:pPr>
      <w:suppressAutoHyphens w:val="0"/>
      <w:autoSpaceDE w:val="0"/>
      <w:autoSpaceDN w:val="0"/>
    </w:pPr>
    <w:rPr>
      <w:rFonts w:ascii="Arial" w:hAnsi="Arial" w:cs="Arial"/>
      <w:i/>
      <w:iCs/>
      <w:lang w:eastAsia="es-ES"/>
    </w:rPr>
  </w:style>
  <w:style w:type="paragraph" w:customStyle="1" w:styleId="blockquote0">
    <w:name w:val="blockquote"/>
    <w:basedOn w:val="Normal"/>
    <w:uiPriority w:val="99"/>
    <w:rsid w:val="00FF04A3"/>
    <w:pPr>
      <w:suppressAutoHyphens w:val="0"/>
      <w:autoSpaceDE w:val="0"/>
      <w:autoSpaceDN w:val="0"/>
      <w:spacing w:before="100" w:after="100"/>
      <w:ind w:left="360" w:right="360"/>
    </w:pPr>
    <w:rPr>
      <w:rFonts w:ascii="Arial" w:hAnsi="Arial" w:cs="Arial"/>
      <w:lang w:eastAsia="es-ES"/>
    </w:rPr>
  </w:style>
  <w:style w:type="paragraph" w:customStyle="1" w:styleId="preformatted0">
    <w:name w:val="preformatted"/>
    <w:basedOn w:val="Normal"/>
    <w:uiPriority w:val="99"/>
    <w:rsid w:val="00FF04A3"/>
    <w:pPr>
      <w:suppressAutoHyphens w:val="0"/>
      <w:autoSpaceDE w:val="0"/>
      <w:autoSpaceDN w:val="0"/>
    </w:pPr>
    <w:rPr>
      <w:rFonts w:ascii="Courier New" w:hAnsi="Courier New" w:cs="Courier New"/>
      <w:sz w:val="20"/>
      <w:szCs w:val="20"/>
      <w:lang w:eastAsia="es-ES"/>
    </w:rPr>
  </w:style>
  <w:style w:type="paragraph" w:customStyle="1" w:styleId="z-bottomofform0">
    <w:name w:val="z-bottomofform"/>
    <w:basedOn w:val="Normal"/>
    <w:uiPriority w:val="99"/>
    <w:rsid w:val="00FF04A3"/>
    <w:pPr>
      <w:suppressAutoHyphens w:val="0"/>
      <w:autoSpaceDE w:val="0"/>
      <w:autoSpaceDN w:val="0"/>
      <w:jc w:val="center"/>
    </w:pPr>
    <w:rPr>
      <w:rFonts w:ascii="Arial" w:hAnsi="Arial" w:cs="Arial"/>
      <w:vanish/>
      <w:sz w:val="16"/>
      <w:szCs w:val="16"/>
      <w:lang w:eastAsia="es-ES"/>
    </w:rPr>
  </w:style>
  <w:style w:type="paragraph" w:customStyle="1" w:styleId="z-topofform0">
    <w:name w:val="z-topofform"/>
    <w:basedOn w:val="Normal"/>
    <w:uiPriority w:val="99"/>
    <w:rsid w:val="00FF04A3"/>
    <w:pPr>
      <w:suppressAutoHyphens w:val="0"/>
      <w:autoSpaceDE w:val="0"/>
      <w:autoSpaceDN w:val="0"/>
      <w:jc w:val="center"/>
    </w:pPr>
    <w:rPr>
      <w:rFonts w:ascii="Arial" w:hAnsi="Arial" w:cs="Arial"/>
      <w:vanish/>
      <w:sz w:val="16"/>
      <w:szCs w:val="16"/>
      <w:lang w:eastAsia="es-ES"/>
    </w:rPr>
  </w:style>
  <w:style w:type="paragraph" w:customStyle="1" w:styleId="estilo0">
    <w:name w:val="estilo"/>
    <w:basedOn w:val="Normal"/>
    <w:uiPriority w:val="99"/>
    <w:rsid w:val="00FF04A3"/>
    <w:pPr>
      <w:suppressAutoHyphens w:val="0"/>
      <w:autoSpaceDE w:val="0"/>
      <w:autoSpaceDN w:val="0"/>
    </w:pPr>
    <w:rPr>
      <w:rFonts w:ascii="Arial" w:hAnsi="Arial" w:cs="Arial"/>
      <w:color w:val="000000"/>
      <w:lang w:eastAsia="es-ES"/>
    </w:rPr>
  </w:style>
  <w:style w:type="paragraph" w:customStyle="1" w:styleId="tablecontents0">
    <w:name w:val="tablecontents"/>
    <w:basedOn w:val="Normal"/>
    <w:rsid w:val="00FF04A3"/>
    <w:pPr>
      <w:suppressAutoHyphens w:val="0"/>
      <w:autoSpaceDE w:val="0"/>
      <w:autoSpaceDN w:val="0"/>
    </w:pPr>
    <w:rPr>
      <w:rFonts w:ascii="Arial" w:hAnsi="Arial" w:cs="Arial"/>
      <w:color w:val="000000"/>
      <w:lang w:eastAsia="es-ES"/>
    </w:rPr>
  </w:style>
  <w:style w:type="paragraph" w:customStyle="1" w:styleId="tableheading0">
    <w:name w:val="tableheading"/>
    <w:basedOn w:val="Normal"/>
    <w:rsid w:val="00FF04A3"/>
    <w:pPr>
      <w:suppressAutoHyphens w:val="0"/>
      <w:autoSpaceDE w:val="0"/>
      <w:autoSpaceDN w:val="0"/>
      <w:jc w:val="center"/>
    </w:pPr>
    <w:rPr>
      <w:rFonts w:ascii="Arial" w:hAnsi="Arial" w:cs="Arial"/>
      <w:b/>
      <w:bCs/>
      <w:color w:val="000000"/>
      <w:lang w:eastAsia="es-ES"/>
    </w:rPr>
  </w:style>
  <w:style w:type="paragraph" w:customStyle="1" w:styleId="normalprueba100">
    <w:name w:val="normalprueba10"/>
    <w:basedOn w:val="Normal"/>
    <w:uiPriority w:val="99"/>
    <w:rsid w:val="00FF04A3"/>
    <w:pPr>
      <w:suppressAutoHyphens w:val="0"/>
    </w:pPr>
    <w:rPr>
      <w:sz w:val="28"/>
      <w:szCs w:val="28"/>
      <w:lang w:eastAsia="es-ES"/>
    </w:rPr>
  </w:style>
  <w:style w:type="paragraph" w:customStyle="1" w:styleId="ttulo410">
    <w:name w:val="ttulo41"/>
    <w:basedOn w:val="Normal"/>
    <w:rsid w:val="00FF04A3"/>
    <w:pPr>
      <w:keepNext/>
      <w:shd w:val="clear" w:color="auto" w:fill="FFFFFF"/>
      <w:suppressAutoHyphens w:val="0"/>
      <w:autoSpaceDE w:val="0"/>
      <w:spacing w:line="480" w:lineRule="auto"/>
      <w:ind w:left="2880" w:hanging="360"/>
      <w:jc w:val="center"/>
    </w:pPr>
    <w:rPr>
      <w:rFonts w:ascii="Arial" w:hAnsi="Arial" w:cs="Arial"/>
      <w:b/>
      <w:bCs/>
      <w:u w:val="single"/>
      <w:lang w:eastAsia="es-ES"/>
    </w:rPr>
  </w:style>
  <w:style w:type="paragraph" w:customStyle="1" w:styleId="pa30">
    <w:name w:val="pa3"/>
    <w:basedOn w:val="Normal"/>
    <w:rsid w:val="00FF04A3"/>
    <w:pPr>
      <w:suppressAutoHyphens w:val="0"/>
      <w:autoSpaceDE w:val="0"/>
      <w:autoSpaceDN w:val="0"/>
    </w:pPr>
    <w:rPr>
      <w:lang w:eastAsia="es-ES"/>
    </w:rPr>
  </w:style>
  <w:style w:type="paragraph" w:customStyle="1" w:styleId="pa50">
    <w:name w:val="pa5"/>
    <w:basedOn w:val="Normal"/>
    <w:rsid w:val="00FF04A3"/>
    <w:pPr>
      <w:suppressAutoHyphens w:val="0"/>
      <w:autoSpaceDE w:val="0"/>
      <w:autoSpaceDN w:val="0"/>
    </w:pPr>
    <w:rPr>
      <w:lang w:eastAsia="es-ES"/>
    </w:rPr>
  </w:style>
  <w:style w:type="paragraph" w:customStyle="1" w:styleId="pa60">
    <w:name w:val="pa6"/>
    <w:basedOn w:val="Normal"/>
    <w:rsid w:val="00FF04A3"/>
    <w:pPr>
      <w:suppressAutoHyphens w:val="0"/>
      <w:autoSpaceDE w:val="0"/>
      <w:autoSpaceDN w:val="0"/>
    </w:pPr>
    <w:rPr>
      <w:lang w:eastAsia="es-ES"/>
    </w:rPr>
  </w:style>
  <w:style w:type="paragraph" w:customStyle="1" w:styleId="blocktext">
    <w:name w:val="blocktext"/>
    <w:basedOn w:val="Normal"/>
    <w:rsid w:val="00FF04A3"/>
    <w:pPr>
      <w:suppressAutoHyphens w:val="0"/>
      <w:autoSpaceDE w:val="0"/>
      <w:ind w:firstLine="709"/>
      <w:jc w:val="both"/>
    </w:pPr>
    <w:rPr>
      <w:rFonts w:ascii="Century" w:hAnsi="Century"/>
      <w:color w:val="000000"/>
      <w:u w:val="single"/>
      <w:lang w:eastAsia="es-ES"/>
    </w:rPr>
  </w:style>
  <w:style w:type="paragraph" w:customStyle="1" w:styleId="ttulo33">
    <w:name w:val="ttulo3"/>
    <w:basedOn w:val="Normal"/>
    <w:uiPriority w:val="99"/>
    <w:rsid w:val="00FF04A3"/>
    <w:pPr>
      <w:keepNext/>
      <w:suppressAutoHyphens w:val="0"/>
      <w:autoSpaceDE w:val="0"/>
      <w:autoSpaceDN w:val="0"/>
      <w:jc w:val="both"/>
    </w:pPr>
    <w:rPr>
      <w:rFonts w:ascii="Arial" w:hAnsi="Arial" w:cs="Arial"/>
      <w:lang w:eastAsia="es-ES"/>
    </w:rPr>
  </w:style>
  <w:style w:type="paragraph" w:customStyle="1" w:styleId="textoindependiente310">
    <w:name w:val="textoindependiente31"/>
    <w:basedOn w:val="Normal"/>
    <w:uiPriority w:val="99"/>
    <w:rsid w:val="00FF04A3"/>
    <w:pPr>
      <w:suppressAutoHyphens w:val="0"/>
      <w:autoSpaceDE w:val="0"/>
      <w:autoSpaceDN w:val="0"/>
      <w:jc w:val="both"/>
    </w:pPr>
    <w:rPr>
      <w:rFonts w:ascii="Arial" w:hAnsi="Arial" w:cs="Arial"/>
      <w:lang w:eastAsia="es-ES"/>
    </w:rPr>
  </w:style>
  <w:style w:type="paragraph" w:customStyle="1" w:styleId="textodebloque11">
    <w:name w:val="textodebloque1"/>
    <w:basedOn w:val="Normal"/>
    <w:rsid w:val="00FF04A3"/>
    <w:pPr>
      <w:suppressAutoHyphens w:val="0"/>
      <w:autoSpaceDE w:val="0"/>
      <w:ind w:left="-540" w:right="-415" w:firstLine="1248"/>
      <w:jc w:val="both"/>
    </w:pPr>
    <w:rPr>
      <w:rFonts w:ascii="Arial" w:hAnsi="Arial" w:cs="Arial"/>
      <w:lang w:eastAsia="es-ES"/>
    </w:rPr>
  </w:style>
  <w:style w:type="paragraph" w:customStyle="1" w:styleId="listparagraph00">
    <w:name w:val="listparagraph0"/>
    <w:basedOn w:val="Normal"/>
    <w:uiPriority w:val="99"/>
    <w:rsid w:val="00FF04A3"/>
    <w:pPr>
      <w:suppressAutoHyphens w:val="0"/>
      <w:ind w:left="720"/>
    </w:pPr>
    <w:rPr>
      <w:lang w:eastAsia="es-ES"/>
    </w:rPr>
  </w:style>
  <w:style w:type="paragraph" w:customStyle="1" w:styleId="textoindependiente221">
    <w:name w:val="textoindependiente22"/>
    <w:basedOn w:val="Normal"/>
    <w:rsid w:val="00FF04A3"/>
    <w:pPr>
      <w:suppressAutoHyphens w:val="0"/>
      <w:spacing w:line="360" w:lineRule="auto"/>
      <w:jc w:val="both"/>
    </w:pPr>
    <w:rPr>
      <w:rFonts w:ascii="Arial" w:hAnsi="Arial" w:cs="Arial"/>
      <w:lang w:eastAsia="es-ES"/>
    </w:rPr>
  </w:style>
  <w:style w:type="paragraph" w:customStyle="1" w:styleId="encabezado100">
    <w:name w:val="encabezado10"/>
    <w:basedOn w:val="Normal"/>
    <w:uiPriority w:val="99"/>
    <w:rsid w:val="00FF04A3"/>
    <w:pPr>
      <w:keepNext/>
      <w:suppressAutoHyphens w:val="0"/>
      <w:autoSpaceDE w:val="0"/>
      <w:autoSpaceDN w:val="0"/>
      <w:jc w:val="both"/>
    </w:pPr>
    <w:rPr>
      <w:rFonts w:ascii="Comic Sans MS" w:hAnsi="Comic Sans MS"/>
      <w:b/>
      <w:bCs/>
      <w:sz w:val="28"/>
      <w:szCs w:val="28"/>
      <w:lang w:eastAsia="es-ES"/>
    </w:rPr>
  </w:style>
  <w:style w:type="paragraph" w:customStyle="1" w:styleId="encabezado200">
    <w:name w:val="encabezado20"/>
    <w:basedOn w:val="Normal"/>
    <w:rsid w:val="00FF04A3"/>
    <w:pPr>
      <w:keepNext/>
      <w:suppressAutoHyphens w:val="0"/>
    </w:pPr>
    <w:rPr>
      <w:b/>
      <w:bCs/>
      <w:sz w:val="18"/>
      <w:szCs w:val="18"/>
      <w:lang w:eastAsia="es-ES"/>
    </w:rPr>
  </w:style>
  <w:style w:type="paragraph" w:customStyle="1" w:styleId="encabezado300">
    <w:name w:val="encabezado30"/>
    <w:basedOn w:val="Normal"/>
    <w:rsid w:val="00FF04A3"/>
    <w:pPr>
      <w:keepNext/>
      <w:suppressAutoHyphens w:val="0"/>
      <w:jc w:val="center"/>
    </w:pPr>
    <w:rPr>
      <w:b/>
      <w:bCs/>
      <w:sz w:val="18"/>
      <w:szCs w:val="18"/>
      <w:lang w:eastAsia="es-ES"/>
    </w:rPr>
  </w:style>
  <w:style w:type="paragraph" w:customStyle="1" w:styleId="estilo14ptazuloscurojustificadoprimeralnea125cmant00">
    <w:name w:val="estilo14ptazuloscurojustificadoprimeralnea125cmant0"/>
    <w:basedOn w:val="Normal"/>
    <w:rsid w:val="00FF04A3"/>
    <w:pPr>
      <w:suppressAutoHyphens w:val="0"/>
      <w:spacing w:before="100" w:beforeAutospacing="1" w:after="100" w:afterAutospacing="1"/>
    </w:pPr>
    <w:rPr>
      <w:lang w:eastAsia="es-ES"/>
    </w:rPr>
  </w:style>
  <w:style w:type="paragraph" w:customStyle="1" w:styleId="encabezado210">
    <w:name w:val="encabezado21"/>
    <w:basedOn w:val="Normal"/>
    <w:rsid w:val="00FF04A3"/>
    <w:pPr>
      <w:keepNext/>
      <w:suppressAutoHyphens w:val="0"/>
      <w:autoSpaceDE w:val="0"/>
      <w:autoSpaceDN w:val="0"/>
    </w:pPr>
    <w:rPr>
      <w:b/>
      <w:bCs/>
      <w:sz w:val="18"/>
      <w:szCs w:val="18"/>
      <w:lang w:eastAsia="es-ES"/>
    </w:rPr>
  </w:style>
  <w:style w:type="paragraph" w:customStyle="1" w:styleId="encabezado310">
    <w:name w:val="encabezado31"/>
    <w:basedOn w:val="Normal"/>
    <w:rsid w:val="00FF04A3"/>
    <w:pPr>
      <w:keepNext/>
      <w:suppressAutoHyphens w:val="0"/>
      <w:autoSpaceDE w:val="0"/>
      <w:autoSpaceDN w:val="0"/>
      <w:jc w:val="center"/>
    </w:pPr>
    <w:rPr>
      <w:b/>
      <w:bCs/>
      <w:sz w:val="18"/>
      <w:szCs w:val="18"/>
      <w:lang w:eastAsia="es-ES"/>
    </w:rPr>
  </w:style>
  <w:style w:type="paragraph" w:customStyle="1" w:styleId="fecha10">
    <w:name w:val="fecha1"/>
    <w:basedOn w:val="Normal"/>
    <w:rsid w:val="00FF04A3"/>
    <w:pPr>
      <w:suppressAutoHyphens w:val="0"/>
    </w:pPr>
    <w:rPr>
      <w:rFonts w:ascii="Courier New" w:hAnsi="Courier New" w:cs="Courier New"/>
      <w:lang w:eastAsia="es-ES"/>
    </w:rPr>
  </w:style>
  <w:style w:type="paragraph" w:customStyle="1" w:styleId="nospacing">
    <w:name w:val="nospacing"/>
    <w:basedOn w:val="Normal"/>
    <w:uiPriority w:val="99"/>
    <w:rsid w:val="00FF04A3"/>
    <w:pPr>
      <w:suppressAutoHyphens w:val="0"/>
    </w:pPr>
    <w:rPr>
      <w:rFonts w:ascii="Calibri" w:hAnsi="Calibri"/>
      <w:sz w:val="22"/>
      <w:szCs w:val="22"/>
      <w:lang w:eastAsia="es-ES"/>
    </w:rPr>
  </w:style>
  <w:style w:type="paragraph" w:customStyle="1" w:styleId="contenidodelatabla00">
    <w:name w:val="contenidodelatabla0"/>
    <w:basedOn w:val="Normal"/>
    <w:rsid w:val="00FF04A3"/>
    <w:pPr>
      <w:suppressAutoHyphens w:val="0"/>
    </w:pPr>
    <w:rPr>
      <w:lang w:eastAsia="es-ES"/>
    </w:rPr>
  </w:style>
  <w:style w:type="paragraph" w:customStyle="1" w:styleId="encabezadoencabezado0">
    <w:name w:val="encabezadoencabezado"/>
    <w:basedOn w:val="Normal"/>
    <w:rsid w:val="00FF04A3"/>
    <w:pPr>
      <w:suppressAutoHyphens w:val="0"/>
      <w:overflowPunct w:val="0"/>
      <w:autoSpaceDE w:val="0"/>
      <w:autoSpaceDN w:val="0"/>
    </w:pPr>
    <w:rPr>
      <w:sz w:val="22"/>
      <w:szCs w:val="22"/>
      <w:lang w:eastAsia="es-ES"/>
    </w:rPr>
  </w:style>
  <w:style w:type="paragraph" w:customStyle="1" w:styleId="cuerpocarta0">
    <w:name w:val="cuerpocarta"/>
    <w:basedOn w:val="Normal"/>
    <w:rsid w:val="00FF04A3"/>
    <w:pPr>
      <w:suppressAutoHyphens w:val="0"/>
      <w:ind w:left="1080"/>
      <w:jc w:val="both"/>
    </w:pPr>
    <w:rPr>
      <w:rFonts w:ascii="Toronto" w:hAnsi="Toronto"/>
      <w:i/>
      <w:iCs/>
      <w:lang w:eastAsia="es-ES"/>
    </w:rPr>
  </w:style>
  <w:style w:type="paragraph" w:customStyle="1" w:styleId="sangra2detindependiente100">
    <w:name w:val="sangra2detindependiente10"/>
    <w:basedOn w:val="Normal"/>
    <w:uiPriority w:val="99"/>
    <w:rsid w:val="00FF04A3"/>
    <w:pPr>
      <w:suppressAutoHyphens w:val="0"/>
      <w:spacing w:before="100" w:beforeAutospacing="1" w:after="100" w:afterAutospacing="1"/>
    </w:pPr>
    <w:rPr>
      <w:lang w:eastAsia="es-ES"/>
    </w:rPr>
  </w:style>
  <w:style w:type="paragraph" w:customStyle="1" w:styleId="ttulodetdc0">
    <w:name w:val="ttulodetdc"/>
    <w:basedOn w:val="Normal"/>
    <w:rsid w:val="00FF04A3"/>
    <w:pPr>
      <w:shd w:val="clear" w:color="auto" w:fill="4F81BD"/>
      <w:suppressAutoHyphens w:val="0"/>
    </w:pPr>
    <w:rPr>
      <w:rFonts w:ascii="Arial" w:hAnsi="Arial" w:cs="Arial"/>
      <w:b/>
      <w:bCs/>
      <w:smallCaps/>
      <w:shadow/>
      <w:spacing w:val="15"/>
      <w:sz w:val="28"/>
      <w:szCs w:val="28"/>
      <w:lang w:eastAsia="es-ES"/>
    </w:rPr>
  </w:style>
  <w:style w:type="paragraph" w:customStyle="1" w:styleId="textosinformato100">
    <w:name w:val="textosinformato10"/>
    <w:basedOn w:val="Normal"/>
    <w:rsid w:val="00FF04A3"/>
    <w:pPr>
      <w:suppressAutoHyphens w:val="0"/>
      <w:autoSpaceDE w:val="0"/>
      <w:autoSpaceDN w:val="0"/>
    </w:pPr>
    <w:rPr>
      <w:rFonts w:ascii="Verdana" w:hAnsi="Verdana"/>
      <w:sz w:val="20"/>
      <w:szCs w:val="20"/>
      <w:lang w:eastAsia="es-ES"/>
    </w:rPr>
  </w:style>
  <w:style w:type="paragraph" w:customStyle="1" w:styleId="listbulletbold0">
    <w:name w:val="listbulletbold"/>
    <w:basedOn w:val="Normal"/>
    <w:uiPriority w:val="99"/>
    <w:rsid w:val="00FF04A3"/>
    <w:pPr>
      <w:keepNext/>
      <w:suppressAutoHyphens w:val="0"/>
      <w:spacing w:before="60" w:after="60"/>
      <w:ind w:left="714" w:hanging="360"/>
      <w:jc w:val="both"/>
    </w:pPr>
    <w:rPr>
      <w:rFonts w:ascii="Tahoma" w:hAnsi="Tahoma" w:cs="Tahoma"/>
      <w:b/>
      <w:bCs/>
      <w:sz w:val="20"/>
      <w:szCs w:val="20"/>
      <w:lang w:eastAsia="es-ES"/>
    </w:rPr>
  </w:style>
  <w:style w:type="paragraph" w:customStyle="1" w:styleId="estilopredeterminado0">
    <w:name w:val="estilopredeterminado"/>
    <w:basedOn w:val="Normal"/>
    <w:uiPriority w:val="99"/>
    <w:rsid w:val="00FF04A3"/>
    <w:pPr>
      <w:suppressAutoHyphens w:val="0"/>
      <w:autoSpaceDE w:val="0"/>
      <w:autoSpaceDN w:val="0"/>
    </w:pPr>
    <w:rPr>
      <w:rFonts w:ascii="Arial" w:hAnsi="Arial" w:cs="Arial"/>
      <w:lang w:eastAsia="es-ES"/>
    </w:rPr>
  </w:style>
  <w:style w:type="paragraph" w:customStyle="1" w:styleId="encabezadodelatabla0">
    <w:name w:val="encabezadodelatabla"/>
    <w:basedOn w:val="Normal"/>
    <w:uiPriority w:val="99"/>
    <w:rsid w:val="00FF04A3"/>
    <w:pPr>
      <w:suppressAutoHyphens w:val="0"/>
      <w:autoSpaceDE w:val="0"/>
      <w:jc w:val="center"/>
    </w:pPr>
    <w:rPr>
      <w:b/>
      <w:bCs/>
      <w:i/>
      <w:iCs/>
      <w:lang w:eastAsia="es-ES"/>
    </w:rPr>
  </w:style>
  <w:style w:type="paragraph" w:customStyle="1" w:styleId="bodytextindent210">
    <w:name w:val="bodytextindent21"/>
    <w:basedOn w:val="Normal"/>
    <w:rsid w:val="00FF04A3"/>
    <w:pPr>
      <w:suppressAutoHyphens w:val="0"/>
      <w:autoSpaceDE w:val="0"/>
      <w:spacing w:line="480" w:lineRule="auto"/>
      <w:ind w:firstLine="708"/>
      <w:jc w:val="both"/>
    </w:pPr>
    <w:rPr>
      <w:rFonts w:ascii="Arial" w:hAnsi="Arial" w:cs="Arial"/>
      <w:u w:val="single"/>
      <w:lang w:eastAsia="es-ES"/>
    </w:rPr>
  </w:style>
  <w:style w:type="paragraph" w:customStyle="1" w:styleId="listaconvietastabla0">
    <w:name w:val="listaconvietastabla"/>
    <w:basedOn w:val="Normal"/>
    <w:uiPriority w:val="99"/>
    <w:rsid w:val="00FF04A3"/>
    <w:pPr>
      <w:suppressAutoHyphens w:val="0"/>
      <w:spacing w:before="60" w:after="60"/>
      <w:ind w:left="1281" w:hanging="360"/>
      <w:jc w:val="both"/>
    </w:pPr>
    <w:rPr>
      <w:rFonts w:ascii="Tahoma" w:hAnsi="Tahoma" w:cs="Tahoma"/>
      <w:sz w:val="20"/>
      <w:szCs w:val="20"/>
      <w:lang w:eastAsia="es-ES"/>
    </w:rPr>
  </w:style>
  <w:style w:type="paragraph" w:customStyle="1" w:styleId="bodytext210">
    <w:name w:val="bodytext21"/>
    <w:basedOn w:val="Normal"/>
    <w:rsid w:val="00FF04A3"/>
    <w:pPr>
      <w:suppressAutoHyphens w:val="0"/>
      <w:ind w:right="334" w:hanging="283"/>
      <w:jc w:val="both"/>
    </w:pPr>
    <w:rPr>
      <w:rFonts w:ascii="Arial" w:hAnsi="Arial" w:cs="Arial"/>
      <w:lang w:eastAsia="es-ES"/>
    </w:rPr>
  </w:style>
  <w:style w:type="paragraph" w:customStyle="1" w:styleId="blocktext10">
    <w:name w:val="blocktext1"/>
    <w:basedOn w:val="Normal"/>
    <w:rsid w:val="00FF04A3"/>
    <w:pPr>
      <w:suppressAutoHyphens w:val="0"/>
      <w:ind w:left="283" w:right="334" w:hanging="283"/>
      <w:jc w:val="both"/>
    </w:pPr>
    <w:rPr>
      <w:rFonts w:ascii="Arial" w:hAnsi="Arial" w:cs="Arial"/>
      <w:lang w:eastAsia="es-ES"/>
    </w:rPr>
  </w:style>
  <w:style w:type="paragraph" w:customStyle="1" w:styleId="bodytext310">
    <w:name w:val="bodytext31"/>
    <w:basedOn w:val="Normal"/>
    <w:rsid w:val="00FF04A3"/>
    <w:pPr>
      <w:suppressAutoHyphens w:val="0"/>
      <w:ind w:right="334"/>
      <w:jc w:val="both"/>
    </w:pPr>
    <w:rPr>
      <w:rFonts w:ascii="Arial" w:hAnsi="Arial" w:cs="Arial"/>
      <w:b/>
      <w:bCs/>
      <w:lang w:eastAsia="es-ES"/>
    </w:rPr>
  </w:style>
  <w:style w:type="paragraph" w:customStyle="1" w:styleId="listaconvietas10">
    <w:name w:val="listaconvietas1"/>
    <w:basedOn w:val="Normal"/>
    <w:rsid w:val="00FF04A3"/>
    <w:pPr>
      <w:shd w:val="clear" w:color="auto" w:fill="FFFFFF"/>
      <w:suppressAutoHyphens w:val="0"/>
      <w:autoSpaceDE w:val="0"/>
      <w:autoSpaceDN w:val="0"/>
      <w:ind w:firstLine="708"/>
      <w:jc w:val="both"/>
    </w:pPr>
    <w:rPr>
      <w:rFonts w:ascii="Arial" w:hAnsi="Arial" w:cs="Arial"/>
      <w:lang w:eastAsia="es-ES"/>
    </w:rPr>
  </w:style>
  <w:style w:type="paragraph" w:customStyle="1" w:styleId="lneadeasunto0">
    <w:name w:val="lneadeasunto"/>
    <w:basedOn w:val="Normal"/>
    <w:rsid w:val="00FF04A3"/>
    <w:pPr>
      <w:suppressAutoHyphens w:val="0"/>
      <w:overflowPunct w:val="0"/>
      <w:autoSpaceDE w:val="0"/>
      <w:autoSpaceDN w:val="0"/>
    </w:pPr>
    <w:rPr>
      <w:rFonts w:ascii="Courier" w:hAnsi="Courier"/>
      <w:sz w:val="20"/>
      <w:szCs w:val="20"/>
      <w:lang w:eastAsia="es-ES"/>
    </w:rPr>
  </w:style>
  <w:style w:type="paragraph" w:customStyle="1" w:styleId="encabezado4">
    <w:name w:val="encabezado4"/>
    <w:basedOn w:val="Normal"/>
    <w:rsid w:val="00FF04A3"/>
    <w:pPr>
      <w:shd w:val="clear" w:color="auto" w:fill="FFFFFF"/>
      <w:suppressAutoHyphens w:val="0"/>
      <w:autoSpaceDE w:val="0"/>
      <w:jc w:val="center"/>
    </w:pPr>
    <w:rPr>
      <w:rFonts w:ascii="Arial" w:hAnsi="Arial" w:cs="Arial"/>
      <w:b/>
      <w:bCs/>
      <w:sz w:val="28"/>
      <w:szCs w:val="28"/>
      <w:lang w:eastAsia="es-ES"/>
    </w:rPr>
  </w:style>
  <w:style w:type="paragraph" w:customStyle="1" w:styleId="sangra2detindependiente2">
    <w:name w:val="sangra2detindependiente2"/>
    <w:basedOn w:val="Normal"/>
    <w:rsid w:val="00FF04A3"/>
    <w:pPr>
      <w:suppressAutoHyphens w:val="0"/>
      <w:spacing w:after="120" w:line="480" w:lineRule="auto"/>
      <w:ind w:left="283"/>
    </w:pPr>
    <w:rPr>
      <w:sz w:val="20"/>
      <w:szCs w:val="20"/>
      <w:lang w:eastAsia="es-ES"/>
    </w:rPr>
  </w:style>
  <w:style w:type="paragraph" w:customStyle="1" w:styleId="listaconvietas20">
    <w:name w:val="listaconvietas2"/>
    <w:basedOn w:val="Normal"/>
    <w:rsid w:val="00FF04A3"/>
    <w:pPr>
      <w:suppressAutoHyphens w:val="0"/>
      <w:ind w:left="1080" w:hanging="360"/>
    </w:pPr>
    <w:rPr>
      <w:rFonts w:ascii="Arial" w:hAnsi="Arial" w:cs="Arial"/>
      <w:lang w:eastAsia="es-ES"/>
    </w:rPr>
  </w:style>
  <w:style w:type="paragraph" w:customStyle="1" w:styleId="textocomentario1">
    <w:name w:val="textocomentario1"/>
    <w:basedOn w:val="Normal"/>
    <w:rsid w:val="00FF04A3"/>
    <w:pPr>
      <w:suppressAutoHyphens w:val="0"/>
    </w:pPr>
    <w:rPr>
      <w:sz w:val="20"/>
      <w:szCs w:val="20"/>
      <w:lang w:eastAsia="es-ES"/>
    </w:rPr>
  </w:style>
  <w:style w:type="paragraph" w:customStyle="1" w:styleId="textodebloque2">
    <w:name w:val="textodebloque2"/>
    <w:basedOn w:val="Normal"/>
    <w:rsid w:val="00FF04A3"/>
    <w:pPr>
      <w:suppressAutoHyphens w:val="0"/>
      <w:ind w:left="851" w:right="851" w:firstLine="709"/>
      <w:jc w:val="both"/>
    </w:pPr>
    <w:rPr>
      <w:lang w:eastAsia="es-ES"/>
    </w:rPr>
  </w:style>
  <w:style w:type="paragraph" w:customStyle="1" w:styleId="textoindependiente23">
    <w:name w:val="textoindependiente23"/>
    <w:basedOn w:val="Normal"/>
    <w:rsid w:val="00FF04A3"/>
    <w:pPr>
      <w:suppressAutoHyphens w:val="0"/>
      <w:spacing w:after="120" w:line="480" w:lineRule="auto"/>
    </w:pPr>
    <w:rPr>
      <w:sz w:val="20"/>
      <w:szCs w:val="20"/>
      <w:lang w:eastAsia="es-ES"/>
    </w:rPr>
  </w:style>
  <w:style w:type="paragraph" w:customStyle="1" w:styleId="textosinformato20">
    <w:name w:val="textosinformato2"/>
    <w:basedOn w:val="Normal"/>
    <w:rsid w:val="00FF04A3"/>
    <w:pPr>
      <w:suppressAutoHyphens w:val="0"/>
    </w:pPr>
    <w:rPr>
      <w:rFonts w:ascii="Bookman Old Style" w:hAnsi="Bookman Old Style"/>
      <w:i/>
      <w:iCs/>
      <w:lang w:eastAsia="es-ES"/>
    </w:rPr>
  </w:style>
  <w:style w:type="paragraph" w:customStyle="1" w:styleId="textoindependiente32">
    <w:name w:val="textoindependiente32"/>
    <w:basedOn w:val="Normal"/>
    <w:rsid w:val="00FF04A3"/>
    <w:pPr>
      <w:suppressAutoHyphens w:val="0"/>
      <w:jc w:val="both"/>
    </w:pPr>
    <w:rPr>
      <w:rFonts w:ascii="Arial" w:hAnsi="Arial" w:cs="Arial"/>
      <w:lang w:eastAsia="es-ES"/>
    </w:rPr>
  </w:style>
  <w:style w:type="paragraph" w:customStyle="1" w:styleId="sangra3detindependiente2">
    <w:name w:val="sangra3detindependiente2"/>
    <w:basedOn w:val="Normal"/>
    <w:rsid w:val="00FF04A3"/>
    <w:pPr>
      <w:suppressAutoHyphens w:val="0"/>
      <w:spacing w:after="120"/>
      <w:ind w:left="283"/>
    </w:pPr>
    <w:rPr>
      <w:sz w:val="16"/>
      <w:szCs w:val="16"/>
      <w:lang w:eastAsia="es-ES"/>
    </w:rPr>
  </w:style>
  <w:style w:type="paragraph" w:customStyle="1" w:styleId="ww-predeterminado11">
    <w:name w:val="ww-predeterminado11"/>
    <w:basedOn w:val="Normal"/>
    <w:rsid w:val="00FF04A3"/>
    <w:pPr>
      <w:suppressAutoHyphens w:val="0"/>
      <w:autoSpaceDE w:val="0"/>
    </w:pPr>
    <w:rPr>
      <w:rFonts w:ascii="Arial" w:hAnsi="Arial" w:cs="Arial"/>
      <w:color w:val="000000"/>
      <w:lang w:eastAsia="es-ES"/>
    </w:rPr>
  </w:style>
  <w:style w:type="paragraph" w:customStyle="1" w:styleId="ww-cuerpodetexto0">
    <w:name w:val="ww-cuerpodetexto"/>
    <w:basedOn w:val="Normal"/>
    <w:rsid w:val="00FF04A3"/>
    <w:pPr>
      <w:suppressAutoHyphens w:val="0"/>
    </w:pPr>
    <w:rPr>
      <w:sz w:val="20"/>
      <w:szCs w:val="20"/>
      <w:lang w:eastAsia="es-ES"/>
    </w:rPr>
  </w:style>
  <w:style w:type="paragraph" w:customStyle="1" w:styleId="normal30">
    <w:name w:val="normal3"/>
    <w:basedOn w:val="Normal"/>
    <w:rsid w:val="00FF04A3"/>
    <w:pPr>
      <w:suppressAutoHyphens w:val="0"/>
      <w:autoSpaceDE w:val="0"/>
    </w:pPr>
    <w:rPr>
      <w:rFonts w:ascii="Verdana" w:hAnsi="Verdana"/>
      <w:color w:val="000000"/>
      <w:lang w:eastAsia="es-ES"/>
    </w:rPr>
  </w:style>
  <w:style w:type="paragraph" w:customStyle="1" w:styleId="epgrafe10">
    <w:name w:val="epgrafe1"/>
    <w:basedOn w:val="Normal"/>
    <w:rsid w:val="00FF04A3"/>
    <w:pPr>
      <w:suppressAutoHyphens w:val="0"/>
      <w:autoSpaceDE w:val="0"/>
    </w:pPr>
    <w:rPr>
      <w:rFonts w:ascii="Arial" w:hAnsi="Arial" w:cs="Arial"/>
      <w:b/>
      <w:bCs/>
      <w:color w:val="000000"/>
      <w:sz w:val="16"/>
      <w:szCs w:val="16"/>
      <w:lang w:eastAsia="es-ES"/>
    </w:rPr>
  </w:style>
  <w:style w:type="paragraph" w:customStyle="1" w:styleId="lista21">
    <w:name w:val="lista21"/>
    <w:basedOn w:val="Normal"/>
    <w:rsid w:val="00FF04A3"/>
    <w:pPr>
      <w:suppressAutoHyphens w:val="0"/>
      <w:ind w:left="566" w:hanging="283"/>
    </w:pPr>
    <w:rPr>
      <w:sz w:val="20"/>
      <w:szCs w:val="20"/>
      <w:lang w:eastAsia="es-ES"/>
    </w:rPr>
  </w:style>
  <w:style w:type="paragraph" w:customStyle="1" w:styleId="textoindependienteprimerasangra1">
    <w:name w:val="textoindependienteprimerasangra1"/>
    <w:basedOn w:val="Normal"/>
    <w:rsid w:val="00FF04A3"/>
    <w:pPr>
      <w:suppressAutoHyphens w:val="0"/>
      <w:spacing w:after="120"/>
      <w:ind w:firstLine="210"/>
    </w:pPr>
    <w:rPr>
      <w:sz w:val="20"/>
      <w:szCs w:val="20"/>
      <w:lang w:eastAsia="es-ES"/>
    </w:rPr>
  </w:style>
  <w:style w:type="paragraph" w:customStyle="1" w:styleId="textoindependienteprimerasangra21">
    <w:name w:val="textoindependienteprimerasangra21"/>
    <w:basedOn w:val="Normal"/>
    <w:rsid w:val="00FF04A3"/>
    <w:pPr>
      <w:suppressAutoHyphens w:val="0"/>
      <w:spacing w:after="120"/>
      <w:ind w:left="283" w:firstLine="210"/>
    </w:pPr>
    <w:rPr>
      <w:sz w:val="20"/>
      <w:szCs w:val="20"/>
      <w:lang w:eastAsia="es-ES"/>
    </w:rPr>
  </w:style>
  <w:style w:type="paragraph" w:customStyle="1" w:styleId="lista31">
    <w:name w:val="lista31"/>
    <w:basedOn w:val="Normal"/>
    <w:rsid w:val="00FF04A3"/>
    <w:pPr>
      <w:suppressAutoHyphens w:val="0"/>
      <w:ind w:left="849" w:hanging="283"/>
    </w:pPr>
    <w:rPr>
      <w:sz w:val="20"/>
      <w:szCs w:val="20"/>
      <w:lang w:eastAsia="es-ES"/>
    </w:rPr>
  </w:style>
  <w:style w:type="paragraph" w:customStyle="1" w:styleId="fecha2">
    <w:name w:val="fecha2"/>
    <w:basedOn w:val="Normal"/>
    <w:rsid w:val="00FF04A3"/>
    <w:pPr>
      <w:suppressAutoHyphens w:val="0"/>
    </w:pPr>
    <w:rPr>
      <w:rFonts w:ascii="Courier New" w:hAnsi="Courier New" w:cs="Courier New"/>
      <w:lang w:eastAsia="es-ES"/>
    </w:rPr>
  </w:style>
  <w:style w:type="paragraph" w:customStyle="1" w:styleId="ww-encabezado1">
    <w:name w:val="ww-encabezado1"/>
    <w:basedOn w:val="Normal"/>
    <w:rsid w:val="00FF04A3"/>
    <w:pPr>
      <w:keepNext/>
      <w:suppressAutoHyphens w:val="0"/>
      <w:autoSpaceDE w:val="0"/>
      <w:jc w:val="both"/>
    </w:pPr>
    <w:rPr>
      <w:rFonts w:ascii="Comic Sans MS" w:hAnsi="Comic Sans MS"/>
      <w:b/>
      <w:bCs/>
      <w:sz w:val="28"/>
      <w:szCs w:val="28"/>
      <w:lang w:eastAsia="es-ES"/>
    </w:rPr>
  </w:style>
  <w:style w:type="paragraph" w:customStyle="1" w:styleId="ww-encabezado2">
    <w:name w:val="ww-encabezado2"/>
    <w:basedOn w:val="Normal"/>
    <w:rsid w:val="00FF04A3"/>
    <w:pPr>
      <w:keepNext/>
      <w:suppressAutoHyphens w:val="0"/>
      <w:autoSpaceDE w:val="0"/>
    </w:pPr>
    <w:rPr>
      <w:b/>
      <w:bCs/>
      <w:sz w:val="18"/>
      <w:szCs w:val="18"/>
      <w:lang w:eastAsia="es-ES"/>
    </w:rPr>
  </w:style>
  <w:style w:type="paragraph" w:customStyle="1" w:styleId="ww-encabezado3">
    <w:name w:val="ww-encabezado3"/>
    <w:basedOn w:val="Normal"/>
    <w:rsid w:val="00FF04A3"/>
    <w:pPr>
      <w:keepNext/>
      <w:suppressAutoHyphens w:val="0"/>
      <w:autoSpaceDE w:val="0"/>
      <w:jc w:val="center"/>
    </w:pPr>
    <w:rPr>
      <w:b/>
      <w:bCs/>
      <w:sz w:val="18"/>
      <w:szCs w:val="18"/>
      <w:lang w:eastAsia="es-ES"/>
    </w:rPr>
  </w:style>
  <w:style w:type="paragraph" w:customStyle="1" w:styleId="listaconnmeros1">
    <w:name w:val="listaconnmeros1"/>
    <w:basedOn w:val="Normal"/>
    <w:rsid w:val="00FF04A3"/>
    <w:pPr>
      <w:suppressAutoHyphens w:val="0"/>
      <w:ind w:left="1281" w:hanging="360"/>
    </w:pPr>
    <w:rPr>
      <w:sz w:val="20"/>
      <w:szCs w:val="20"/>
      <w:lang w:eastAsia="es-ES"/>
    </w:rPr>
  </w:style>
  <w:style w:type="paragraph" w:customStyle="1" w:styleId="continuarlista1">
    <w:name w:val="continuarlista1"/>
    <w:basedOn w:val="Normal"/>
    <w:rsid w:val="00FF04A3"/>
    <w:pPr>
      <w:suppressAutoHyphens w:val="0"/>
      <w:spacing w:after="120"/>
      <w:ind w:left="283"/>
    </w:pPr>
    <w:rPr>
      <w:sz w:val="20"/>
      <w:szCs w:val="20"/>
      <w:lang w:eastAsia="es-ES"/>
    </w:rPr>
  </w:style>
  <w:style w:type="paragraph" w:customStyle="1" w:styleId="listaconvietas21">
    <w:name w:val="listaconvietas21"/>
    <w:basedOn w:val="Normal"/>
    <w:rsid w:val="00FF04A3"/>
    <w:pPr>
      <w:suppressAutoHyphens w:val="0"/>
      <w:ind w:left="643" w:hanging="360"/>
    </w:pPr>
    <w:rPr>
      <w:sz w:val="20"/>
      <w:szCs w:val="20"/>
      <w:lang w:eastAsia="es-ES"/>
    </w:rPr>
  </w:style>
  <w:style w:type="paragraph" w:customStyle="1" w:styleId="mapadeldocumento1">
    <w:name w:val="mapadeldocumento1"/>
    <w:basedOn w:val="Normal"/>
    <w:rsid w:val="00FF04A3"/>
    <w:pPr>
      <w:shd w:val="clear" w:color="auto" w:fill="000080"/>
      <w:suppressAutoHyphens w:val="0"/>
      <w:autoSpaceDE w:val="0"/>
    </w:pPr>
    <w:rPr>
      <w:rFonts w:ascii="Tahoma" w:hAnsi="Tahoma" w:cs="Tahoma"/>
      <w:color w:val="000000"/>
      <w:sz w:val="20"/>
      <w:szCs w:val="20"/>
      <w:lang w:eastAsia="es-ES"/>
    </w:rPr>
  </w:style>
  <w:style w:type="paragraph" w:customStyle="1" w:styleId="saludo1">
    <w:name w:val="saludo1"/>
    <w:basedOn w:val="Normal"/>
    <w:rsid w:val="00FF04A3"/>
    <w:pPr>
      <w:suppressAutoHyphens w:val="0"/>
    </w:pPr>
    <w:rPr>
      <w:rFonts w:ascii="Calibri" w:hAnsi="Calibri"/>
      <w:sz w:val="20"/>
      <w:szCs w:val="20"/>
      <w:lang w:eastAsia="es-ES"/>
    </w:rPr>
  </w:style>
  <w:style w:type="paragraph" w:customStyle="1" w:styleId="cierre1">
    <w:name w:val="cierre1"/>
    <w:basedOn w:val="Normal"/>
    <w:rsid w:val="00FF04A3"/>
    <w:pPr>
      <w:suppressAutoHyphens w:val="0"/>
      <w:ind w:left="4252"/>
    </w:pPr>
    <w:rPr>
      <w:rFonts w:ascii="Century Schoolbook" w:hAnsi="Century Schoolbook"/>
      <w:i/>
      <w:iCs/>
      <w:lang w:eastAsia="es-ES"/>
    </w:rPr>
  </w:style>
  <w:style w:type="paragraph" w:customStyle="1" w:styleId="continuarlista21">
    <w:name w:val="continuarlista21"/>
    <w:basedOn w:val="Normal"/>
    <w:rsid w:val="00FF04A3"/>
    <w:pPr>
      <w:suppressAutoHyphens w:val="0"/>
      <w:spacing w:after="120"/>
      <w:ind w:left="566"/>
    </w:pPr>
    <w:rPr>
      <w:lang w:eastAsia="es-ES"/>
    </w:rPr>
  </w:style>
  <w:style w:type="paragraph" w:customStyle="1" w:styleId="xl28">
    <w:name w:val="xl28"/>
    <w:basedOn w:val="Normal"/>
    <w:uiPriority w:val="99"/>
    <w:rsid w:val="00FF04A3"/>
    <w:pPr>
      <w:suppressAutoHyphens w:val="0"/>
      <w:spacing w:before="100" w:after="100"/>
    </w:pPr>
    <w:rPr>
      <w:lang w:eastAsia="es-ES"/>
    </w:rPr>
  </w:style>
  <w:style w:type="paragraph" w:customStyle="1" w:styleId="xl29">
    <w:name w:val="xl29"/>
    <w:basedOn w:val="Normal"/>
    <w:uiPriority w:val="99"/>
    <w:rsid w:val="00FF04A3"/>
    <w:pPr>
      <w:suppressAutoHyphens w:val="0"/>
      <w:spacing w:before="100" w:after="100"/>
    </w:pPr>
    <w:rPr>
      <w:b/>
      <w:bCs/>
      <w:color w:val="FFFFFF"/>
      <w:lang w:eastAsia="es-ES"/>
    </w:rPr>
  </w:style>
  <w:style w:type="paragraph" w:customStyle="1" w:styleId="xl30">
    <w:name w:val="xl30"/>
    <w:basedOn w:val="Normal"/>
    <w:uiPriority w:val="99"/>
    <w:rsid w:val="00FF04A3"/>
    <w:pPr>
      <w:suppressAutoHyphens w:val="0"/>
      <w:spacing w:before="100" w:after="100"/>
    </w:pPr>
    <w:rPr>
      <w:b/>
      <w:bCs/>
      <w:color w:val="FFFFFF"/>
      <w:lang w:eastAsia="es-ES"/>
    </w:rPr>
  </w:style>
  <w:style w:type="paragraph" w:customStyle="1" w:styleId="xl31">
    <w:name w:val="xl31"/>
    <w:basedOn w:val="Normal"/>
    <w:uiPriority w:val="99"/>
    <w:rsid w:val="00FF04A3"/>
    <w:pPr>
      <w:shd w:val="clear" w:color="auto" w:fill="333399"/>
      <w:suppressAutoHyphens w:val="0"/>
      <w:spacing w:before="100" w:after="100"/>
      <w:jc w:val="center"/>
    </w:pPr>
    <w:rPr>
      <w:b/>
      <w:bCs/>
      <w:color w:val="FFFFFF"/>
      <w:lang w:eastAsia="es-ES"/>
    </w:rPr>
  </w:style>
  <w:style w:type="paragraph" w:customStyle="1" w:styleId="xl32">
    <w:name w:val="xl32"/>
    <w:basedOn w:val="Normal"/>
    <w:uiPriority w:val="99"/>
    <w:rsid w:val="00FF04A3"/>
    <w:pPr>
      <w:shd w:val="clear" w:color="auto" w:fill="000080"/>
      <w:suppressAutoHyphens w:val="0"/>
      <w:spacing w:before="100" w:after="100"/>
    </w:pPr>
    <w:rPr>
      <w:b/>
      <w:bCs/>
      <w:color w:val="FFFFFF"/>
      <w:lang w:eastAsia="es-ES"/>
    </w:rPr>
  </w:style>
  <w:style w:type="paragraph" w:customStyle="1" w:styleId="xl33">
    <w:name w:val="xl33"/>
    <w:basedOn w:val="Normal"/>
    <w:uiPriority w:val="99"/>
    <w:rsid w:val="00FF04A3"/>
    <w:pPr>
      <w:shd w:val="clear" w:color="auto" w:fill="000080"/>
      <w:suppressAutoHyphens w:val="0"/>
      <w:spacing w:before="100" w:after="100"/>
      <w:jc w:val="center"/>
    </w:pPr>
    <w:rPr>
      <w:b/>
      <w:bCs/>
      <w:color w:val="FFFFFF"/>
      <w:lang w:eastAsia="es-ES"/>
    </w:rPr>
  </w:style>
  <w:style w:type="paragraph" w:customStyle="1" w:styleId="xl34">
    <w:name w:val="xl34"/>
    <w:basedOn w:val="Normal"/>
    <w:uiPriority w:val="99"/>
    <w:rsid w:val="00FF04A3"/>
    <w:pPr>
      <w:suppressAutoHyphens w:val="0"/>
      <w:spacing w:before="100" w:after="100"/>
      <w:jc w:val="center"/>
    </w:pPr>
    <w:rPr>
      <w:b/>
      <w:bCs/>
      <w:color w:val="FFFFFF"/>
      <w:lang w:eastAsia="es-ES"/>
    </w:rPr>
  </w:style>
  <w:style w:type="paragraph" w:customStyle="1" w:styleId="xl35">
    <w:name w:val="xl35"/>
    <w:basedOn w:val="Normal"/>
    <w:uiPriority w:val="99"/>
    <w:rsid w:val="00FF04A3"/>
    <w:pPr>
      <w:shd w:val="clear" w:color="auto" w:fill="333399"/>
      <w:suppressAutoHyphens w:val="0"/>
      <w:spacing w:before="100" w:after="100"/>
    </w:pPr>
    <w:rPr>
      <w:b/>
      <w:bCs/>
      <w:color w:val="FFFFFF"/>
      <w:lang w:eastAsia="es-ES"/>
    </w:rPr>
  </w:style>
  <w:style w:type="paragraph" w:customStyle="1" w:styleId="xl36">
    <w:name w:val="xl36"/>
    <w:basedOn w:val="Normal"/>
    <w:uiPriority w:val="99"/>
    <w:rsid w:val="00FF04A3"/>
    <w:pPr>
      <w:shd w:val="clear" w:color="auto" w:fill="333399"/>
      <w:suppressAutoHyphens w:val="0"/>
      <w:spacing w:before="100" w:after="100"/>
      <w:jc w:val="center"/>
    </w:pPr>
    <w:rPr>
      <w:b/>
      <w:bCs/>
      <w:color w:val="FFFFFF"/>
      <w:sz w:val="18"/>
      <w:szCs w:val="18"/>
      <w:lang w:eastAsia="es-ES"/>
    </w:rPr>
  </w:style>
  <w:style w:type="paragraph" w:customStyle="1" w:styleId="xl37">
    <w:name w:val="xl37"/>
    <w:basedOn w:val="Normal"/>
    <w:uiPriority w:val="99"/>
    <w:rsid w:val="00FF04A3"/>
    <w:pPr>
      <w:shd w:val="clear" w:color="auto" w:fill="CCCCFF"/>
      <w:suppressAutoHyphens w:val="0"/>
      <w:spacing w:before="100" w:after="100"/>
      <w:jc w:val="center"/>
    </w:pPr>
    <w:rPr>
      <w:lang w:eastAsia="es-ES"/>
    </w:rPr>
  </w:style>
  <w:style w:type="paragraph" w:customStyle="1" w:styleId="xl38">
    <w:name w:val="xl38"/>
    <w:basedOn w:val="Normal"/>
    <w:uiPriority w:val="99"/>
    <w:rsid w:val="00FF04A3"/>
    <w:pPr>
      <w:shd w:val="clear" w:color="auto" w:fill="CCCCFF"/>
      <w:suppressAutoHyphens w:val="0"/>
      <w:spacing w:before="100" w:after="100"/>
      <w:jc w:val="center"/>
    </w:pPr>
    <w:rPr>
      <w:lang w:eastAsia="es-ES"/>
    </w:rPr>
  </w:style>
  <w:style w:type="paragraph" w:customStyle="1" w:styleId="xl39">
    <w:name w:val="xl39"/>
    <w:basedOn w:val="Normal"/>
    <w:uiPriority w:val="99"/>
    <w:rsid w:val="00FF04A3"/>
    <w:pPr>
      <w:shd w:val="clear" w:color="auto" w:fill="CCCCFF"/>
      <w:suppressAutoHyphens w:val="0"/>
      <w:spacing w:before="100" w:after="100"/>
      <w:jc w:val="center"/>
    </w:pPr>
    <w:rPr>
      <w:lang w:eastAsia="es-ES"/>
    </w:rPr>
  </w:style>
  <w:style w:type="paragraph" w:customStyle="1" w:styleId="xl41">
    <w:name w:val="xl41"/>
    <w:basedOn w:val="Normal"/>
    <w:uiPriority w:val="99"/>
    <w:rsid w:val="00FF04A3"/>
    <w:pPr>
      <w:shd w:val="clear" w:color="auto" w:fill="CC99FF"/>
      <w:suppressAutoHyphens w:val="0"/>
      <w:spacing w:before="100" w:after="100"/>
    </w:pPr>
    <w:rPr>
      <w:lang w:eastAsia="es-ES"/>
    </w:rPr>
  </w:style>
  <w:style w:type="paragraph" w:customStyle="1" w:styleId="xl42">
    <w:name w:val="xl42"/>
    <w:basedOn w:val="Normal"/>
    <w:uiPriority w:val="99"/>
    <w:rsid w:val="00FF04A3"/>
    <w:pPr>
      <w:shd w:val="clear" w:color="auto" w:fill="CC99FF"/>
      <w:suppressAutoHyphens w:val="0"/>
      <w:spacing w:before="100" w:after="100"/>
      <w:jc w:val="center"/>
    </w:pPr>
    <w:rPr>
      <w:lang w:eastAsia="es-ES"/>
    </w:rPr>
  </w:style>
  <w:style w:type="paragraph" w:customStyle="1" w:styleId="xl43">
    <w:name w:val="xl43"/>
    <w:basedOn w:val="Normal"/>
    <w:link w:val="xl43Car"/>
    <w:rsid w:val="00FF04A3"/>
    <w:pPr>
      <w:shd w:val="clear" w:color="auto" w:fill="CCCCFF"/>
      <w:suppressAutoHyphens w:val="0"/>
      <w:spacing w:before="100" w:after="100"/>
    </w:pPr>
    <w:rPr>
      <w:lang w:eastAsia="es-ES"/>
    </w:rPr>
  </w:style>
  <w:style w:type="paragraph" w:customStyle="1" w:styleId="xl44">
    <w:name w:val="xl44"/>
    <w:basedOn w:val="Normal"/>
    <w:uiPriority w:val="99"/>
    <w:rsid w:val="00FF04A3"/>
    <w:pPr>
      <w:shd w:val="clear" w:color="auto" w:fill="CC99FF"/>
      <w:suppressAutoHyphens w:val="0"/>
      <w:spacing w:before="100" w:after="100"/>
    </w:pPr>
    <w:rPr>
      <w:lang w:eastAsia="es-ES"/>
    </w:rPr>
  </w:style>
  <w:style w:type="paragraph" w:customStyle="1" w:styleId="xl45">
    <w:name w:val="xl45"/>
    <w:basedOn w:val="Normal"/>
    <w:uiPriority w:val="99"/>
    <w:rsid w:val="00FF04A3"/>
    <w:pPr>
      <w:shd w:val="clear" w:color="auto" w:fill="CC99FF"/>
      <w:suppressAutoHyphens w:val="0"/>
      <w:spacing w:before="100" w:after="100"/>
    </w:pPr>
    <w:rPr>
      <w:lang w:eastAsia="es-ES"/>
    </w:rPr>
  </w:style>
  <w:style w:type="paragraph" w:customStyle="1" w:styleId="xl46">
    <w:name w:val="xl46"/>
    <w:basedOn w:val="Normal"/>
    <w:uiPriority w:val="99"/>
    <w:rsid w:val="00FF04A3"/>
    <w:pPr>
      <w:shd w:val="clear" w:color="auto" w:fill="CC99FF"/>
      <w:suppressAutoHyphens w:val="0"/>
      <w:spacing w:before="100" w:after="100"/>
    </w:pPr>
    <w:rPr>
      <w:lang w:eastAsia="es-ES"/>
    </w:rPr>
  </w:style>
  <w:style w:type="paragraph" w:customStyle="1" w:styleId="xl47">
    <w:name w:val="xl47"/>
    <w:basedOn w:val="Normal"/>
    <w:uiPriority w:val="99"/>
    <w:rsid w:val="00FF04A3"/>
    <w:pPr>
      <w:shd w:val="clear" w:color="auto" w:fill="CC99FF"/>
      <w:suppressAutoHyphens w:val="0"/>
      <w:spacing w:before="100" w:after="100"/>
    </w:pPr>
    <w:rPr>
      <w:lang w:eastAsia="es-ES"/>
    </w:rPr>
  </w:style>
  <w:style w:type="paragraph" w:customStyle="1" w:styleId="xl48">
    <w:name w:val="xl48"/>
    <w:basedOn w:val="Normal"/>
    <w:uiPriority w:val="99"/>
    <w:rsid w:val="00FF04A3"/>
    <w:pPr>
      <w:shd w:val="clear" w:color="auto" w:fill="CCCCFF"/>
      <w:suppressAutoHyphens w:val="0"/>
      <w:spacing w:before="100" w:after="100"/>
      <w:jc w:val="center"/>
    </w:pPr>
    <w:rPr>
      <w:rFonts w:ascii="Calibri" w:hAnsi="Calibri"/>
      <w:lang w:eastAsia="es-ES"/>
    </w:rPr>
  </w:style>
  <w:style w:type="paragraph" w:customStyle="1" w:styleId="xl27">
    <w:name w:val="xl27"/>
    <w:basedOn w:val="Normal"/>
    <w:uiPriority w:val="99"/>
    <w:rsid w:val="00FF04A3"/>
    <w:pPr>
      <w:suppressAutoHyphens w:val="0"/>
      <w:spacing w:before="100" w:after="100"/>
      <w:jc w:val="center"/>
    </w:pPr>
    <w:rPr>
      <w:rFonts w:ascii="Arial" w:hAnsi="Arial" w:cs="Arial"/>
      <w:lang w:eastAsia="es-ES"/>
    </w:rPr>
  </w:style>
  <w:style w:type="paragraph" w:customStyle="1" w:styleId="contenidodelmarco0">
    <w:name w:val="contenidodelmarco"/>
    <w:basedOn w:val="Normal"/>
    <w:uiPriority w:val="99"/>
    <w:rsid w:val="00FF04A3"/>
    <w:pPr>
      <w:suppressAutoHyphens w:val="0"/>
      <w:jc w:val="both"/>
    </w:pPr>
    <w:rPr>
      <w:sz w:val="28"/>
      <w:szCs w:val="28"/>
      <w:lang w:eastAsia="es-ES"/>
    </w:rPr>
  </w:style>
  <w:style w:type="paragraph" w:customStyle="1" w:styleId="textoindependiente3100">
    <w:name w:val="textoindependiente310"/>
    <w:basedOn w:val="Normal"/>
    <w:uiPriority w:val="99"/>
    <w:rsid w:val="00FF04A3"/>
    <w:pPr>
      <w:suppressAutoHyphens w:val="0"/>
      <w:spacing w:before="100" w:beforeAutospacing="1" w:after="100" w:afterAutospacing="1"/>
    </w:pPr>
    <w:rPr>
      <w:lang w:eastAsia="es-ES"/>
    </w:rPr>
  </w:style>
  <w:style w:type="paragraph" w:customStyle="1" w:styleId="lneahorizontal">
    <w:name w:val="lneahorizontal"/>
    <w:basedOn w:val="Normal"/>
    <w:rsid w:val="00FF04A3"/>
    <w:pPr>
      <w:suppressAutoHyphens w:val="0"/>
      <w:spacing w:after="283"/>
    </w:pPr>
    <w:rPr>
      <w:sz w:val="12"/>
      <w:szCs w:val="12"/>
      <w:lang w:eastAsia="es-ES"/>
    </w:rPr>
  </w:style>
  <w:style w:type="paragraph" w:customStyle="1" w:styleId="estilo100">
    <w:name w:val="estilo10"/>
    <w:basedOn w:val="Normal"/>
    <w:rsid w:val="00FF04A3"/>
    <w:pPr>
      <w:suppressAutoHyphens w:val="0"/>
      <w:spacing w:before="100" w:beforeAutospacing="1" w:after="100" w:afterAutospacing="1"/>
    </w:pPr>
    <w:rPr>
      <w:rFonts w:ascii="Arial" w:hAnsi="Arial" w:cs="Arial"/>
      <w:lang w:eastAsia="es-ES"/>
    </w:rPr>
  </w:style>
  <w:style w:type="paragraph" w:customStyle="1" w:styleId="estilo29">
    <w:name w:val="estilo29"/>
    <w:basedOn w:val="Normal"/>
    <w:uiPriority w:val="99"/>
    <w:rsid w:val="00FF04A3"/>
    <w:pPr>
      <w:suppressAutoHyphens w:val="0"/>
      <w:spacing w:before="100" w:beforeAutospacing="1" w:after="100" w:afterAutospacing="1"/>
    </w:pPr>
    <w:rPr>
      <w:rFonts w:ascii="Arial" w:hAnsi="Arial" w:cs="Arial"/>
      <w:b/>
      <w:bCs/>
      <w:lang w:eastAsia="es-ES"/>
    </w:rPr>
  </w:style>
  <w:style w:type="paragraph" w:customStyle="1" w:styleId="xl25">
    <w:name w:val="xl25"/>
    <w:basedOn w:val="Normal"/>
    <w:uiPriority w:val="99"/>
    <w:rsid w:val="00FF04A3"/>
    <w:pPr>
      <w:suppressAutoHyphens w:val="0"/>
      <w:spacing w:before="100" w:beforeAutospacing="1" w:after="100" w:afterAutospacing="1"/>
    </w:pPr>
    <w:rPr>
      <w:rFonts w:ascii="Book Antiqua" w:hAnsi="Book Antiqua"/>
      <w:b/>
      <w:bCs/>
      <w:sz w:val="22"/>
      <w:szCs w:val="22"/>
      <w:lang w:eastAsia="es-ES"/>
    </w:rPr>
  </w:style>
  <w:style w:type="paragraph" w:customStyle="1" w:styleId="xl26">
    <w:name w:val="xl26"/>
    <w:basedOn w:val="Normal"/>
    <w:uiPriority w:val="99"/>
    <w:rsid w:val="00FF04A3"/>
    <w:pPr>
      <w:suppressAutoHyphens w:val="0"/>
      <w:spacing w:before="100" w:beforeAutospacing="1" w:after="100" w:afterAutospacing="1"/>
    </w:pPr>
    <w:rPr>
      <w:rFonts w:ascii="Book Antiqua" w:hAnsi="Book Antiqua"/>
      <w:sz w:val="22"/>
      <w:szCs w:val="22"/>
      <w:lang w:eastAsia="es-ES"/>
    </w:rPr>
  </w:style>
  <w:style w:type="paragraph" w:customStyle="1" w:styleId="xl49">
    <w:name w:val="xl49"/>
    <w:basedOn w:val="Normal"/>
    <w:uiPriority w:val="99"/>
    <w:rsid w:val="00FF04A3"/>
    <w:pPr>
      <w:suppressAutoHyphens w:val="0"/>
      <w:spacing w:before="100" w:beforeAutospacing="1" w:after="100" w:afterAutospacing="1"/>
    </w:pPr>
    <w:rPr>
      <w:rFonts w:ascii="Book Antiqua" w:hAnsi="Book Antiqua"/>
      <w:b/>
      <w:bCs/>
      <w:sz w:val="22"/>
      <w:szCs w:val="22"/>
      <w:lang w:eastAsia="es-ES"/>
    </w:rPr>
  </w:style>
  <w:style w:type="paragraph" w:customStyle="1" w:styleId="xl50">
    <w:name w:val="xl50"/>
    <w:basedOn w:val="Normal"/>
    <w:uiPriority w:val="99"/>
    <w:rsid w:val="00FF04A3"/>
    <w:pPr>
      <w:suppressAutoHyphens w:val="0"/>
      <w:spacing w:before="100" w:beforeAutospacing="1" w:after="100" w:afterAutospacing="1"/>
    </w:pPr>
    <w:rPr>
      <w:rFonts w:ascii="Book Antiqua" w:hAnsi="Book Antiqua"/>
      <w:sz w:val="22"/>
      <w:szCs w:val="22"/>
      <w:lang w:eastAsia="es-ES"/>
    </w:rPr>
  </w:style>
  <w:style w:type="paragraph" w:customStyle="1" w:styleId="xl51">
    <w:name w:val="xl51"/>
    <w:basedOn w:val="Normal"/>
    <w:uiPriority w:val="99"/>
    <w:rsid w:val="00FF04A3"/>
    <w:pPr>
      <w:suppressAutoHyphens w:val="0"/>
      <w:spacing w:before="100" w:beforeAutospacing="1" w:after="100" w:afterAutospacing="1"/>
      <w:jc w:val="center"/>
    </w:pPr>
    <w:rPr>
      <w:rFonts w:ascii="Book Antiqua" w:hAnsi="Book Antiqua"/>
      <w:b/>
      <w:bCs/>
      <w:sz w:val="22"/>
      <w:szCs w:val="22"/>
      <w:lang w:eastAsia="es-ES"/>
    </w:rPr>
  </w:style>
  <w:style w:type="paragraph" w:customStyle="1" w:styleId="xl52">
    <w:name w:val="xl52"/>
    <w:basedOn w:val="Normal"/>
    <w:uiPriority w:val="99"/>
    <w:rsid w:val="00FF04A3"/>
    <w:pPr>
      <w:suppressAutoHyphens w:val="0"/>
      <w:spacing w:before="100" w:beforeAutospacing="1" w:after="100" w:afterAutospacing="1"/>
    </w:pPr>
    <w:rPr>
      <w:rFonts w:ascii="Book Antiqua" w:hAnsi="Book Antiqua"/>
      <w:b/>
      <w:bCs/>
      <w:sz w:val="22"/>
      <w:szCs w:val="22"/>
      <w:lang w:eastAsia="es-ES"/>
    </w:rPr>
  </w:style>
  <w:style w:type="paragraph" w:customStyle="1" w:styleId="xl53">
    <w:name w:val="xl53"/>
    <w:basedOn w:val="Normal"/>
    <w:uiPriority w:val="99"/>
    <w:rsid w:val="00FF04A3"/>
    <w:pPr>
      <w:suppressAutoHyphens w:val="0"/>
      <w:spacing w:before="100" w:beforeAutospacing="1" w:after="100" w:afterAutospacing="1"/>
      <w:jc w:val="right"/>
    </w:pPr>
    <w:rPr>
      <w:rFonts w:ascii="Book Antiqua" w:hAnsi="Book Antiqua"/>
      <w:b/>
      <w:bCs/>
      <w:sz w:val="22"/>
      <w:szCs w:val="22"/>
      <w:lang w:eastAsia="es-ES"/>
    </w:rPr>
  </w:style>
  <w:style w:type="paragraph" w:customStyle="1" w:styleId="xl54">
    <w:name w:val="xl54"/>
    <w:basedOn w:val="Normal"/>
    <w:uiPriority w:val="99"/>
    <w:rsid w:val="00FF04A3"/>
    <w:pPr>
      <w:shd w:val="clear" w:color="auto" w:fill="FFFFFF"/>
      <w:suppressAutoHyphens w:val="0"/>
      <w:spacing w:before="100" w:beforeAutospacing="1" w:after="100" w:afterAutospacing="1"/>
    </w:pPr>
    <w:rPr>
      <w:rFonts w:ascii="Book Antiqua" w:hAnsi="Book Antiqua"/>
      <w:b/>
      <w:bCs/>
      <w:sz w:val="22"/>
      <w:szCs w:val="22"/>
      <w:lang w:eastAsia="es-ES"/>
    </w:rPr>
  </w:style>
  <w:style w:type="paragraph" w:customStyle="1" w:styleId="xl55">
    <w:name w:val="xl55"/>
    <w:basedOn w:val="Normal"/>
    <w:uiPriority w:val="99"/>
    <w:rsid w:val="00FF04A3"/>
    <w:pPr>
      <w:suppressAutoHyphens w:val="0"/>
      <w:spacing w:before="100" w:beforeAutospacing="1" w:after="100" w:afterAutospacing="1"/>
    </w:pPr>
    <w:rPr>
      <w:rFonts w:ascii="Book Antiqua" w:hAnsi="Book Antiqua"/>
      <w:b/>
      <w:bCs/>
      <w:sz w:val="26"/>
      <w:szCs w:val="26"/>
      <w:lang w:eastAsia="es-ES"/>
    </w:rPr>
  </w:style>
  <w:style w:type="paragraph" w:customStyle="1" w:styleId="xl56">
    <w:name w:val="xl56"/>
    <w:basedOn w:val="Normal"/>
    <w:uiPriority w:val="99"/>
    <w:rsid w:val="00FF04A3"/>
    <w:pPr>
      <w:suppressAutoHyphens w:val="0"/>
      <w:spacing w:before="100" w:beforeAutospacing="1" w:after="100" w:afterAutospacing="1"/>
    </w:pPr>
    <w:rPr>
      <w:rFonts w:ascii="Book Antiqua" w:hAnsi="Book Antiqua"/>
      <w:b/>
      <w:bCs/>
      <w:sz w:val="26"/>
      <w:szCs w:val="26"/>
      <w:lang w:eastAsia="es-ES"/>
    </w:rPr>
  </w:style>
  <w:style w:type="paragraph" w:customStyle="1" w:styleId="xl58">
    <w:name w:val="xl58"/>
    <w:basedOn w:val="Normal"/>
    <w:uiPriority w:val="99"/>
    <w:rsid w:val="00FF04A3"/>
    <w:pPr>
      <w:suppressAutoHyphens w:val="0"/>
      <w:spacing w:before="100" w:beforeAutospacing="1" w:after="100" w:afterAutospacing="1"/>
    </w:pPr>
    <w:rPr>
      <w:rFonts w:ascii="Book Antiqua" w:hAnsi="Book Antiqua"/>
      <w:sz w:val="26"/>
      <w:szCs w:val="26"/>
      <w:lang w:eastAsia="es-ES"/>
    </w:rPr>
  </w:style>
  <w:style w:type="paragraph" w:customStyle="1" w:styleId="xl59">
    <w:name w:val="xl59"/>
    <w:basedOn w:val="Normal"/>
    <w:uiPriority w:val="99"/>
    <w:rsid w:val="00FF04A3"/>
    <w:pPr>
      <w:suppressAutoHyphens w:val="0"/>
      <w:spacing w:before="100" w:beforeAutospacing="1" w:after="100" w:afterAutospacing="1"/>
    </w:pPr>
    <w:rPr>
      <w:rFonts w:ascii="Book Antiqua" w:hAnsi="Book Antiqua"/>
      <w:sz w:val="26"/>
      <w:szCs w:val="26"/>
      <w:lang w:eastAsia="es-ES"/>
    </w:rPr>
  </w:style>
  <w:style w:type="paragraph" w:customStyle="1" w:styleId="xl60">
    <w:name w:val="xl60"/>
    <w:basedOn w:val="Normal"/>
    <w:uiPriority w:val="99"/>
    <w:rsid w:val="00FF04A3"/>
    <w:pPr>
      <w:suppressAutoHyphens w:val="0"/>
      <w:spacing w:before="100" w:beforeAutospacing="1" w:after="100" w:afterAutospacing="1"/>
    </w:pPr>
    <w:rPr>
      <w:rFonts w:ascii="Book Antiqua" w:hAnsi="Book Antiqua"/>
      <w:b/>
      <w:bCs/>
      <w:sz w:val="26"/>
      <w:szCs w:val="26"/>
      <w:lang w:eastAsia="es-ES"/>
    </w:rPr>
  </w:style>
  <w:style w:type="paragraph" w:customStyle="1" w:styleId="xl61">
    <w:name w:val="xl61"/>
    <w:basedOn w:val="Normal"/>
    <w:uiPriority w:val="99"/>
    <w:rsid w:val="00FF04A3"/>
    <w:pPr>
      <w:suppressAutoHyphens w:val="0"/>
      <w:spacing w:before="100" w:beforeAutospacing="1" w:after="100" w:afterAutospacing="1"/>
    </w:pPr>
    <w:rPr>
      <w:rFonts w:ascii="Book Antiqua" w:hAnsi="Book Antiqua"/>
      <w:sz w:val="26"/>
      <w:szCs w:val="26"/>
      <w:lang w:eastAsia="es-ES"/>
    </w:rPr>
  </w:style>
  <w:style w:type="paragraph" w:customStyle="1" w:styleId="xl62">
    <w:name w:val="xl62"/>
    <w:basedOn w:val="Normal"/>
    <w:uiPriority w:val="99"/>
    <w:rsid w:val="00FF04A3"/>
    <w:pPr>
      <w:suppressAutoHyphens w:val="0"/>
      <w:spacing w:before="100" w:beforeAutospacing="1" w:after="100" w:afterAutospacing="1"/>
    </w:pPr>
    <w:rPr>
      <w:rFonts w:ascii="Book Antiqua" w:hAnsi="Book Antiqua"/>
      <w:b/>
      <w:bCs/>
      <w:sz w:val="26"/>
      <w:szCs w:val="26"/>
      <w:lang w:eastAsia="es-ES"/>
    </w:rPr>
  </w:style>
  <w:style w:type="paragraph" w:customStyle="1" w:styleId="xl79">
    <w:name w:val="xl79"/>
    <w:basedOn w:val="Normal"/>
    <w:uiPriority w:val="99"/>
    <w:rsid w:val="00FF04A3"/>
    <w:pPr>
      <w:suppressAutoHyphens w:val="0"/>
      <w:spacing w:before="100" w:beforeAutospacing="1" w:after="100" w:afterAutospacing="1"/>
      <w:jc w:val="center"/>
    </w:pPr>
    <w:rPr>
      <w:rFonts w:ascii="Arial" w:hAnsi="Arial" w:cs="Arial"/>
      <w:lang w:eastAsia="es-ES"/>
    </w:rPr>
  </w:style>
  <w:style w:type="paragraph" w:customStyle="1" w:styleId="xl80">
    <w:name w:val="xl80"/>
    <w:basedOn w:val="Normal"/>
    <w:uiPriority w:val="99"/>
    <w:rsid w:val="00FF04A3"/>
    <w:pPr>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81">
    <w:name w:val="xl81"/>
    <w:basedOn w:val="Normal"/>
    <w:uiPriority w:val="99"/>
    <w:rsid w:val="00FF04A3"/>
    <w:pPr>
      <w:suppressAutoHyphens w:val="0"/>
      <w:spacing w:before="100" w:beforeAutospacing="1" w:after="100" w:afterAutospacing="1"/>
    </w:pPr>
    <w:rPr>
      <w:rFonts w:ascii="Arial" w:hAnsi="Arial" w:cs="Arial"/>
      <w:b/>
      <w:bCs/>
      <w:lang w:eastAsia="es-ES"/>
    </w:rPr>
  </w:style>
  <w:style w:type="paragraph" w:customStyle="1" w:styleId="xl82">
    <w:name w:val="xl82"/>
    <w:basedOn w:val="Normal"/>
    <w:uiPriority w:val="99"/>
    <w:rsid w:val="00FF04A3"/>
    <w:pPr>
      <w:suppressAutoHyphens w:val="0"/>
      <w:spacing w:before="100" w:beforeAutospacing="1" w:after="100" w:afterAutospacing="1"/>
    </w:pPr>
    <w:rPr>
      <w:rFonts w:ascii="Arial" w:hAnsi="Arial" w:cs="Arial"/>
      <w:lang w:eastAsia="es-ES"/>
    </w:rPr>
  </w:style>
  <w:style w:type="paragraph" w:customStyle="1" w:styleId="xl90">
    <w:name w:val="xl90"/>
    <w:basedOn w:val="Normal"/>
    <w:uiPriority w:val="99"/>
    <w:rsid w:val="00FF04A3"/>
    <w:pPr>
      <w:suppressAutoHyphens w:val="0"/>
      <w:spacing w:before="100" w:beforeAutospacing="1" w:after="100" w:afterAutospacing="1"/>
      <w:jc w:val="center"/>
    </w:pPr>
    <w:rPr>
      <w:rFonts w:ascii="Arial" w:hAnsi="Arial" w:cs="Arial"/>
      <w:b/>
      <w:bCs/>
      <w:lang w:eastAsia="es-ES"/>
    </w:rPr>
  </w:style>
  <w:style w:type="paragraph" w:customStyle="1" w:styleId="xl91">
    <w:name w:val="xl91"/>
    <w:basedOn w:val="Normal"/>
    <w:uiPriority w:val="99"/>
    <w:rsid w:val="00FF04A3"/>
    <w:pPr>
      <w:suppressAutoHyphens w:val="0"/>
      <w:spacing w:before="100" w:beforeAutospacing="1" w:after="100" w:afterAutospacing="1"/>
      <w:jc w:val="center"/>
    </w:pPr>
    <w:rPr>
      <w:rFonts w:ascii="Arial" w:hAnsi="Arial" w:cs="Arial"/>
      <w:b/>
      <w:bCs/>
      <w:lang w:eastAsia="es-ES"/>
    </w:rPr>
  </w:style>
  <w:style w:type="paragraph" w:customStyle="1" w:styleId="xl92">
    <w:name w:val="xl92"/>
    <w:basedOn w:val="Normal"/>
    <w:uiPriority w:val="99"/>
    <w:rsid w:val="00FF04A3"/>
    <w:pPr>
      <w:suppressAutoHyphens w:val="0"/>
      <w:spacing w:before="100" w:beforeAutospacing="1" w:after="100" w:afterAutospacing="1"/>
      <w:jc w:val="center"/>
    </w:pPr>
    <w:rPr>
      <w:rFonts w:ascii="Arial" w:hAnsi="Arial" w:cs="Arial"/>
      <w:b/>
      <w:bCs/>
      <w:lang w:eastAsia="es-ES"/>
    </w:rPr>
  </w:style>
  <w:style w:type="paragraph" w:customStyle="1" w:styleId="xl93">
    <w:name w:val="xl93"/>
    <w:basedOn w:val="Normal"/>
    <w:uiPriority w:val="99"/>
    <w:rsid w:val="00FF04A3"/>
    <w:pPr>
      <w:suppressAutoHyphens w:val="0"/>
      <w:spacing w:before="100" w:beforeAutospacing="1" w:after="100" w:afterAutospacing="1"/>
      <w:jc w:val="center"/>
    </w:pPr>
    <w:rPr>
      <w:rFonts w:ascii="Arial" w:hAnsi="Arial" w:cs="Arial"/>
      <w:b/>
      <w:bCs/>
      <w:lang w:eastAsia="es-ES"/>
    </w:rPr>
  </w:style>
  <w:style w:type="paragraph" w:customStyle="1" w:styleId="xl94">
    <w:name w:val="xl94"/>
    <w:basedOn w:val="Normal"/>
    <w:uiPriority w:val="99"/>
    <w:rsid w:val="00FF04A3"/>
    <w:pPr>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95">
    <w:name w:val="xl95"/>
    <w:basedOn w:val="Normal"/>
    <w:uiPriority w:val="99"/>
    <w:rsid w:val="00FF04A3"/>
    <w:pPr>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96">
    <w:name w:val="xl96"/>
    <w:basedOn w:val="Normal"/>
    <w:uiPriority w:val="99"/>
    <w:rsid w:val="00FF04A3"/>
    <w:pPr>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97">
    <w:name w:val="xl97"/>
    <w:basedOn w:val="Normal"/>
    <w:uiPriority w:val="99"/>
    <w:rsid w:val="00FF04A3"/>
    <w:pPr>
      <w:shd w:val="clear" w:color="auto" w:fill="808080"/>
      <w:suppressAutoHyphens w:val="0"/>
      <w:spacing w:before="100" w:beforeAutospacing="1" w:after="100" w:afterAutospacing="1"/>
      <w:jc w:val="center"/>
    </w:pPr>
    <w:rPr>
      <w:rFonts w:ascii="Arial" w:hAnsi="Arial" w:cs="Arial"/>
      <w:b/>
      <w:bCs/>
      <w:lang w:eastAsia="es-ES"/>
    </w:rPr>
  </w:style>
  <w:style w:type="paragraph" w:customStyle="1" w:styleId="xl98">
    <w:name w:val="xl98"/>
    <w:basedOn w:val="Normal"/>
    <w:uiPriority w:val="99"/>
    <w:rsid w:val="00FF04A3"/>
    <w:pPr>
      <w:shd w:val="clear" w:color="auto" w:fill="808080"/>
      <w:suppressAutoHyphens w:val="0"/>
      <w:spacing w:before="100" w:beforeAutospacing="1" w:after="100" w:afterAutospacing="1"/>
      <w:jc w:val="center"/>
    </w:pPr>
    <w:rPr>
      <w:rFonts w:ascii="Arial" w:hAnsi="Arial" w:cs="Arial"/>
      <w:b/>
      <w:bCs/>
      <w:lang w:eastAsia="es-ES"/>
    </w:rPr>
  </w:style>
  <w:style w:type="paragraph" w:customStyle="1" w:styleId="xl99">
    <w:name w:val="xl99"/>
    <w:basedOn w:val="Normal"/>
    <w:uiPriority w:val="99"/>
    <w:rsid w:val="00FF04A3"/>
    <w:pPr>
      <w:suppressAutoHyphens w:val="0"/>
      <w:spacing w:before="100" w:beforeAutospacing="1" w:after="100" w:afterAutospacing="1"/>
    </w:pPr>
    <w:rPr>
      <w:rFonts w:ascii="Arial" w:hAnsi="Arial" w:cs="Arial"/>
      <w:lang w:eastAsia="es-ES"/>
    </w:rPr>
  </w:style>
  <w:style w:type="paragraph" w:customStyle="1" w:styleId="xl100">
    <w:name w:val="xl100"/>
    <w:basedOn w:val="Normal"/>
    <w:uiPriority w:val="99"/>
    <w:rsid w:val="00FF04A3"/>
    <w:pPr>
      <w:suppressAutoHyphens w:val="0"/>
      <w:spacing w:before="100" w:beforeAutospacing="1" w:after="100" w:afterAutospacing="1"/>
    </w:pPr>
    <w:rPr>
      <w:rFonts w:ascii="Arial" w:hAnsi="Arial" w:cs="Arial"/>
      <w:lang w:eastAsia="es-ES"/>
    </w:rPr>
  </w:style>
  <w:style w:type="paragraph" w:customStyle="1" w:styleId="xl101">
    <w:name w:val="xl101"/>
    <w:basedOn w:val="Normal"/>
    <w:uiPriority w:val="99"/>
    <w:rsid w:val="00FF04A3"/>
    <w:pPr>
      <w:suppressAutoHyphens w:val="0"/>
      <w:spacing w:before="100" w:beforeAutospacing="1" w:after="100" w:afterAutospacing="1"/>
    </w:pPr>
    <w:rPr>
      <w:rFonts w:ascii="Arial" w:hAnsi="Arial" w:cs="Arial"/>
      <w:b/>
      <w:bCs/>
      <w:lang w:eastAsia="es-ES"/>
    </w:rPr>
  </w:style>
  <w:style w:type="paragraph" w:customStyle="1" w:styleId="xl102">
    <w:name w:val="xl102"/>
    <w:basedOn w:val="Normal"/>
    <w:uiPriority w:val="99"/>
    <w:rsid w:val="00FF04A3"/>
    <w:pPr>
      <w:shd w:val="clear" w:color="auto" w:fill="FFFFFF"/>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103">
    <w:name w:val="xl103"/>
    <w:basedOn w:val="Normal"/>
    <w:uiPriority w:val="99"/>
    <w:rsid w:val="00FF04A3"/>
    <w:pPr>
      <w:shd w:val="clear" w:color="auto" w:fill="FFFFFF"/>
      <w:suppressAutoHyphens w:val="0"/>
      <w:spacing w:before="100" w:beforeAutospacing="1" w:after="100" w:afterAutospacing="1"/>
    </w:pPr>
    <w:rPr>
      <w:rFonts w:ascii="Arial Unicode MS" w:eastAsia="Arial Unicode MS" w:hAnsi="Arial Unicode MS" w:cs="Arial Unicode MS"/>
      <w:lang w:eastAsia="es-ES"/>
    </w:rPr>
  </w:style>
  <w:style w:type="paragraph" w:customStyle="1" w:styleId="xl105">
    <w:name w:val="xl105"/>
    <w:basedOn w:val="Normal"/>
    <w:uiPriority w:val="99"/>
    <w:rsid w:val="00FF04A3"/>
    <w:pPr>
      <w:suppressAutoHyphens w:val="0"/>
      <w:spacing w:before="100" w:beforeAutospacing="1" w:after="100" w:afterAutospacing="1"/>
      <w:jc w:val="center"/>
    </w:pPr>
    <w:rPr>
      <w:b/>
      <w:bCs/>
      <w:lang w:eastAsia="es-ES"/>
    </w:rPr>
  </w:style>
  <w:style w:type="paragraph" w:customStyle="1" w:styleId="xl106">
    <w:name w:val="xl106"/>
    <w:basedOn w:val="Normal"/>
    <w:uiPriority w:val="99"/>
    <w:rsid w:val="00FF04A3"/>
    <w:pPr>
      <w:suppressAutoHyphens w:val="0"/>
      <w:spacing w:before="100" w:beforeAutospacing="1" w:after="100" w:afterAutospacing="1"/>
      <w:jc w:val="center"/>
    </w:pPr>
    <w:rPr>
      <w:b/>
      <w:bCs/>
      <w:lang w:eastAsia="es-ES"/>
    </w:rPr>
  </w:style>
  <w:style w:type="paragraph" w:customStyle="1" w:styleId="xl107">
    <w:name w:val="xl107"/>
    <w:basedOn w:val="Normal"/>
    <w:uiPriority w:val="99"/>
    <w:rsid w:val="00FF04A3"/>
    <w:pPr>
      <w:suppressAutoHyphens w:val="0"/>
      <w:spacing w:before="100" w:beforeAutospacing="1" w:after="100" w:afterAutospacing="1"/>
      <w:jc w:val="center"/>
    </w:pPr>
    <w:rPr>
      <w:b/>
      <w:bCs/>
      <w:lang w:eastAsia="es-ES"/>
    </w:rPr>
  </w:style>
  <w:style w:type="paragraph" w:customStyle="1" w:styleId="heading4">
    <w:name w:val="heading4"/>
    <w:basedOn w:val="Normal"/>
    <w:rsid w:val="00FF04A3"/>
    <w:pPr>
      <w:keepNext/>
      <w:shd w:val="clear" w:color="auto" w:fill="FFFFFF"/>
      <w:suppressAutoHyphens w:val="0"/>
      <w:autoSpaceDE w:val="0"/>
      <w:spacing w:line="480" w:lineRule="auto"/>
      <w:ind w:left="2880" w:hanging="360"/>
      <w:jc w:val="center"/>
    </w:pPr>
    <w:rPr>
      <w:rFonts w:ascii="Arial" w:hAnsi="Arial" w:cs="Arial"/>
      <w:b/>
      <w:bCs/>
      <w:u w:val="single"/>
      <w:lang w:eastAsia="es-ES"/>
    </w:rPr>
  </w:style>
  <w:style w:type="paragraph" w:customStyle="1" w:styleId="heading1">
    <w:name w:val="heading1"/>
    <w:basedOn w:val="Normal"/>
    <w:uiPriority w:val="99"/>
    <w:rsid w:val="00FF04A3"/>
    <w:pPr>
      <w:keepNext/>
      <w:suppressAutoHyphens w:val="0"/>
      <w:autoSpaceDE w:val="0"/>
      <w:spacing w:line="480" w:lineRule="auto"/>
      <w:ind w:left="720"/>
      <w:jc w:val="center"/>
    </w:pPr>
    <w:rPr>
      <w:rFonts w:ascii="Arial" w:hAnsi="Arial" w:cs="Arial"/>
      <w:b/>
      <w:bCs/>
      <w:u w:val="single"/>
      <w:lang w:eastAsia="es-ES"/>
    </w:rPr>
  </w:style>
  <w:style w:type="paragraph" w:customStyle="1" w:styleId="ttulo300">
    <w:name w:val="ttulo30"/>
    <w:basedOn w:val="Normal"/>
    <w:uiPriority w:val="99"/>
    <w:rsid w:val="00FF04A3"/>
    <w:pPr>
      <w:keepNext/>
      <w:suppressAutoHyphens w:val="0"/>
      <w:autoSpaceDE w:val="0"/>
      <w:jc w:val="both"/>
    </w:pPr>
    <w:rPr>
      <w:rFonts w:ascii="Tahoma" w:hAnsi="Tahoma" w:cs="Tahoma"/>
      <w:b/>
      <w:bCs/>
      <w:u w:val="single"/>
      <w:lang w:eastAsia="es-ES"/>
    </w:rPr>
  </w:style>
  <w:style w:type="paragraph" w:customStyle="1" w:styleId="ttulo70">
    <w:name w:val="ttulo7"/>
    <w:basedOn w:val="Normal"/>
    <w:uiPriority w:val="99"/>
    <w:rsid w:val="00FF04A3"/>
    <w:pPr>
      <w:keepNext/>
      <w:suppressAutoHyphens w:val="0"/>
      <w:autoSpaceDE w:val="0"/>
      <w:jc w:val="both"/>
    </w:pPr>
    <w:rPr>
      <w:rFonts w:ascii="Arial" w:hAnsi="Arial" w:cs="Arial"/>
      <w:b/>
      <w:bCs/>
      <w:u w:val="single"/>
      <w:lang w:eastAsia="es-ES"/>
    </w:rPr>
  </w:style>
  <w:style w:type="paragraph" w:customStyle="1" w:styleId="bodytextindent20">
    <w:name w:val="bodytextindent20"/>
    <w:basedOn w:val="Normal"/>
    <w:rsid w:val="00FF04A3"/>
    <w:pPr>
      <w:suppressAutoHyphens w:val="0"/>
      <w:autoSpaceDE w:val="0"/>
      <w:spacing w:line="480" w:lineRule="auto"/>
      <w:ind w:firstLine="708"/>
      <w:jc w:val="both"/>
    </w:pPr>
    <w:rPr>
      <w:rFonts w:ascii="Arial" w:hAnsi="Arial" w:cs="Arial"/>
      <w:u w:val="single"/>
      <w:lang w:eastAsia="es-ES"/>
    </w:rPr>
  </w:style>
  <w:style w:type="paragraph" w:customStyle="1" w:styleId="estilo12">
    <w:name w:val="estilo12"/>
    <w:basedOn w:val="Normal"/>
    <w:uiPriority w:val="99"/>
    <w:rsid w:val="00FF04A3"/>
    <w:pPr>
      <w:suppressAutoHyphens w:val="0"/>
      <w:spacing w:before="100" w:beforeAutospacing="1" w:after="100" w:afterAutospacing="1"/>
    </w:pPr>
    <w:rPr>
      <w:rFonts w:ascii="Arial" w:hAnsi="Arial" w:cs="Arial"/>
      <w:color w:val="003366"/>
      <w:sz w:val="21"/>
      <w:szCs w:val="21"/>
      <w:lang w:eastAsia="es-ES"/>
    </w:rPr>
  </w:style>
  <w:style w:type="paragraph" w:customStyle="1" w:styleId="cita">
    <w:name w:val="cita"/>
    <w:basedOn w:val="Normal"/>
    <w:uiPriority w:val="99"/>
    <w:rsid w:val="00FF04A3"/>
    <w:pPr>
      <w:suppressAutoHyphens w:val="0"/>
      <w:spacing w:after="283"/>
      <w:ind w:left="567" w:right="567"/>
    </w:pPr>
    <w:rPr>
      <w:lang w:eastAsia="es-ES"/>
    </w:rPr>
  </w:style>
  <w:style w:type="paragraph" w:customStyle="1" w:styleId="heading20">
    <w:name w:val="heading20"/>
    <w:basedOn w:val="Normal"/>
    <w:rsid w:val="00FF04A3"/>
    <w:pPr>
      <w:keepNext/>
      <w:shd w:val="clear" w:color="auto" w:fill="FFFFFF"/>
      <w:suppressAutoHyphens w:val="0"/>
      <w:autoSpaceDE w:val="0"/>
      <w:spacing w:line="480" w:lineRule="auto"/>
      <w:ind w:left="1068" w:hanging="360"/>
      <w:jc w:val="both"/>
    </w:pPr>
    <w:rPr>
      <w:rFonts w:ascii="Arial" w:hAnsi="Arial" w:cs="Arial"/>
      <w:b/>
      <w:bCs/>
      <w:u w:val="single"/>
      <w:lang w:eastAsia="es-ES"/>
    </w:rPr>
  </w:style>
  <w:style w:type="paragraph" w:customStyle="1" w:styleId="normaldespestabla">
    <w:name w:val="normaldespestabla"/>
    <w:basedOn w:val="Normal"/>
    <w:uiPriority w:val="99"/>
    <w:rsid w:val="00FF04A3"/>
    <w:pPr>
      <w:suppressAutoHyphens w:val="0"/>
      <w:spacing w:before="120" w:after="120"/>
      <w:ind w:left="851"/>
      <w:jc w:val="both"/>
    </w:pPr>
    <w:rPr>
      <w:rFonts w:ascii="Tahoma" w:hAnsi="Tahoma" w:cs="Tahoma"/>
      <w:sz w:val="20"/>
      <w:szCs w:val="20"/>
      <w:lang w:eastAsia="es-ES"/>
    </w:rPr>
  </w:style>
  <w:style w:type="paragraph" w:customStyle="1" w:styleId="ttulo61">
    <w:name w:val="ttulo6"/>
    <w:basedOn w:val="Normal"/>
    <w:uiPriority w:val="99"/>
    <w:rsid w:val="00FF04A3"/>
    <w:pPr>
      <w:keepNext/>
      <w:suppressAutoHyphens w:val="0"/>
      <w:jc w:val="center"/>
    </w:pPr>
    <w:rPr>
      <w:rFonts w:ascii="Arial" w:hAnsi="Arial" w:cs="Arial"/>
      <w:b/>
      <w:bCs/>
      <w:spacing w:val="-3"/>
      <w:sz w:val="22"/>
      <w:szCs w:val="22"/>
      <w:lang w:eastAsia="es-ES"/>
    </w:rPr>
  </w:style>
  <w:style w:type="paragraph" w:customStyle="1" w:styleId="piedepgina0">
    <w:name w:val="piedepgina"/>
    <w:basedOn w:val="Normal"/>
    <w:uiPriority w:val="99"/>
    <w:rsid w:val="00FF04A3"/>
    <w:pPr>
      <w:suppressAutoHyphens w:val="0"/>
    </w:pPr>
    <w:rPr>
      <w:rFonts w:ascii="Arial" w:hAnsi="Arial" w:cs="Arial"/>
      <w:lang w:eastAsia="es-ES"/>
    </w:rPr>
  </w:style>
  <w:style w:type="paragraph" w:customStyle="1" w:styleId="normaltabla">
    <w:name w:val="normaltabla"/>
    <w:basedOn w:val="Normal"/>
    <w:uiPriority w:val="99"/>
    <w:rsid w:val="00FF04A3"/>
    <w:pPr>
      <w:suppressAutoHyphens w:val="0"/>
      <w:spacing w:before="60" w:after="60"/>
    </w:pPr>
    <w:rPr>
      <w:rFonts w:ascii="Tahoma" w:hAnsi="Tahoma" w:cs="Tahoma"/>
      <w:sz w:val="18"/>
      <w:szCs w:val="18"/>
      <w:lang w:eastAsia="es-ES"/>
    </w:rPr>
  </w:style>
  <w:style w:type="paragraph" w:customStyle="1" w:styleId="normaltabla10">
    <w:name w:val="normaltabla10"/>
    <w:basedOn w:val="Normal"/>
    <w:uiPriority w:val="99"/>
    <w:rsid w:val="00FF04A3"/>
    <w:pPr>
      <w:suppressAutoHyphens w:val="0"/>
      <w:spacing w:before="60" w:after="60"/>
    </w:pPr>
    <w:rPr>
      <w:rFonts w:ascii="Tahoma" w:hAnsi="Tahoma" w:cs="Tahoma"/>
      <w:sz w:val="20"/>
      <w:szCs w:val="20"/>
      <w:lang w:eastAsia="es-ES"/>
    </w:rPr>
  </w:style>
  <w:style w:type="paragraph" w:customStyle="1" w:styleId="ttulo50">
    <w:name w:val="ttulo5"/>
    <w:basedOn w:val="Normal"/>
    <w:uiPriority w:val="99"/>
    <w:rsid w:val="00FF04A3"/>
    <w:pPr>
      <w:keepNext/>
      <w:suppressAutoHyphens w:val="0"/>
      <w:jc w:val="both"/>
    </w:pPr>
    <w:rPr>
      <w:rFonts w:ascii="Arial" w:hAnsi="Arial" w:cs="Arial"/>
      <w:b/>
      <w:bCs/>
      <w:spacing w:val="-3"/>
      <w:lang w:eastAsia="es-ES"/>
    </w:rPr>
  </w:style>
  <w:style w:type="paragraph" w:customStyle="1" w:styleId="capitulonombre">
    <w:name w:val="capitulonombre"/>
    <w:basedOn w:val="Normal"/>
    <w:uiPriority w:val="99"/>
    <w:rsid w:val="00FF04A3"/>
    <w:pPr>
      <w:suppressAutoHyphens w:val="0"/>
      <w:spacing w:before="120" w:after="480"/>
      <w:jc w:val="center"/>
    </w:pPr>
    <w:rPr>
      <w:rFonts w:ascii="Tahoma" w:hAnsi="Tahoma" w:cs="Tahoma"/>
      <w:b/>
      <w:bCs/>
      <w:smallCaps/>
      <w:color w:val="800000"/>
      <w:sz w:val="40"/>
      <w:szCs w:val="40"/>
      <w:lang w:eastAsia="es-ES"/>
    </w:rPr>
  </w:style>
  <w:style w:type="paragraph" w:customStyle="1" w:styleId="normalnegrita">
    <w:name w:val="normalnegrita"/>
    <w:basedOn w:val="Normal"/>
    <w:uiPriority w:val="99"/>
    <w:rsid w:val="00FF04A3"/>
    <w:pPr>
      <w:keepNext/>
      <w:suppressAutoHyphens w:val="0"/>
      <w:spacing w:before="120" w:after="120"/>
      <w:ind w:left="851"/>
      <w:jc w:val="both"/>
    </w:pPr>
    <w:rPr>
      <w:rFonts w:ascii="Tahoma" w:hAnsi="Tahoma" w:cs="Tahoma"/>
      <w:b/>
      <w:bCs/>
      <w:sz w:val="20"/>
      <w:szCs w:val="20"/>
      <w:lang w:eastAsia="es-ES"/>
    </w:rPr>
  </w:style>
  <w:style w:type="paragraph" w:customStyle="1" w:styleId="figura">
    <w:name w:val="figura"/>
    <w:basedOn w:val="Normal"/>
    <w:uiPriority w:val="99"/>
    <w:rsid w:val="00FF04A3"/>
    <w:pPr>
      <w:suppressAutoHyphens w:val="0"/>
      <w:spacing w:before="60"/>
      <w:ind w:left="851"/>
      <w:jc w:val="center"/>
    </w:pPr>
    <w:rPr>
      <w:rFonts w:ascii="Tahoma" w:hAnsi="Tahoma" w:cs="Tahoma"/>
      <w:sz w:val="20"/>
      <w:szCs w:val="20"/>
      <w:lang w:eastAsia="es-ES"/>
    </w:rPr>
  </w:style>
  <w:style w:type="paragraph" w:customStyle="1" w:styleId="heading10">
    <w:name w:val="heading10"/>
    <w:basedOn w:val="Normal"/>
    <w:rsid w:val="00FF04A3"/>
    <w:pPr>
      <w:keepNext/>
      <w:suppressAutoHyphens w:val="0"/>
      <w:autoSpaceDE w:val="0"/>
      <w:spacing w:line="480" w:lineRule="auto"/>
      <w:ind w:left="720"/>
      <w:jc w:val="center"/>
    </w:pPr>
    <w:rPr>
      <w:rFonts w:ascii="Arial" w:hAnsi="Arial" w:cs="Arial"/>
      <w:b/>
      <w:bCs/>
      <w:u w:val="single"/>
      <w:lang w:eastAsia="es-ES"/>
    </w:rPr>
  </w:style>
  <w:style w:type="paragraph" w:customStyle="1" w:styleId="ttulo310">
    <w:name w:val="ttulo31"/>
    <w:basedOn w:val="Normal"/>
    <w:rsid w:val="00FF04A3"/>
    <w:pPr>
      <w:keepNext/>
      <w:suppressAutoHyphens w:val="0"/>
      <w:autoSpaceDE w:val="0"/>
      <w:jc w:val="both"/>
    </w:pPr>
    <w:rPr>
      <w:rFonts w:ascii="Tahoma" w:hAnsi="Tahoma" w:cs="Tahoma"/>
      <w:b/>
      <w:bCs/>
      <w:u w:val="single"/>
      <w:lang w:eastAsia="es-ES"/>
    </w:rPr>
  </w:style>
  <w:style w:type="paragraph" w:customStyle="1" w:styleId="ttulo700">
    <w:name w:val="ttulo70"/>
    <w:basedOn w:val="Normal"/>
    <w:rsid w:val="00FF04A3"/>
    <w:pPr>
      <w:keepNext/>
      <w:suppressAutoHyphens w:val="0"/>
      <w:autoSpaceDE w:val="0"/>
      <w:jc w:val="both"/>
    </w:pPr>
    <w:rPr>
      <w:rFonts w:ascii="Arial" w:hAnsi="Arial" w:cs="Arial"/>
      <w:b/>
      <w:bCs/>
      <w:u w:val="single"/>
      <w:lang w:eastAsia="es-ES"/>
    </w:rPr>
  </w:style>
  <w:style w:type="paragraph" w:customStyle="1" w:styleId="estilo2estilo3">
    <w:name w:val="estilo2estilo3"/>
    <w:basedOn w:val="Normal"/>
    <w:uiPriority w:val="99"/>
    <w:rsid w:val="00FF04A3"/>
    <w:pPr>
      <w:suppressAutoHyphens w:val="0"/>
      <w:spacing w:before="100" w:beforeAutospacing="1" w:after="100" w:afterAutospacing="1"/>
    </w:pPr>
    <w:rPr>
      <w:lang w:eastAsia="es-ES"/>
    </w:rPr>
  </w:style>
  <w:style w:type="paragraph" w:customStyle="1" w:styleId="carcar2carcarcarcarcarcar">
    <w:name w:val="carcar2carcarcarcarcarcar"/>
    <w:basedOn w:val="Normal"/>
    <w:rsid w:val="00FF04A3"/>
    <w:pPr>
      <w:suppressAutoHyphens w:val="0"/>
      <w:spacing w:line="360" w:lineRule="auto"/>
      <w:jc w:val="center"/>
    </w:pPr>
    <w:rPr>
      <w:rFonts w:ascii="Arial" w:hAnsi="Arial" w:cs="Arial"/>
      <w:b/>
      <w:bCs/>
      <w:sz w:val="26"/>
      <w:szCs w:val="26"/>
      <w:lang w:eastAsia="es-ES"/>
    </w:rPr>
  </w:style>
  <w:style w:type="paragraph" w:customStyle="1" w:styleId="carcarcarcar0">
    <w:name w:val="carcarcarcar"/>
    <w:basedOn w:val="Normal"/>
    <w:uiPriority w:val="99"/>
    <w:rsid w:val="00FF04A3"/>
    <w:pPr>
      <w:suppressAutoHyphens w:val="0"/>
      <w:spacing w:after="160" w:line="240" w:lineRule="atLeast"/>
    </w:pPr>
    <w:rPr>
      <w:rFonts w:ascii="Verdana" w:hAnsi="Verdana"/>
      <w:sz w:val="20"/>
      <w:szCs w:val="20"/>
      <w:lang w:eastAsia="es-ES"/>
    </w:rPr>
  </w:style>
  <w:style w:type="paragraph" w:customStyle="1" w:styleId="cm3">
    <w:name w:val="cm3"/>
    <w:basedOn w:val="Normal"/>
    <w:rsid w:val="00FF04A3"/>
    <w:pPr>
      <w:suppressAutoHyphens w:val="0"/>
      <w:autoSpaceDE w:val="0"/>
      <w:autoSpaceDN w:val="0"/>
    </w:pPr>
    <w:rPr>
      <w:rFonts w:ascii="Arial" w:hAnsi="Arial" w:cs="Arial"/>
      <w:lang w:eastAsia="es-ES"/>
    </w:rPr>
  </w:style>
  <w:style w:type="paragraph" w:customStyle="1" w:styleId="autocorrecci3f00">
    <w:name w:val="autocorrecci3f0"/>
    <w:basedOn w:val="Normal"/>
    <w:rsid w:val="00FF04A3"/>
    <w:pPr>
      <w:shd w:val="clear" w:color="auto" w:fill="FFFFFF"/>
      <w:suppressAutoHyphens w:val="0"/>
      <w:autoSpaceDE w:val="0"/>
    </w:pPr>
    <w:rPr>
      <w:rFonts w:ascii="Arial" w:hAnsi="Arial" w:cs="Arial"/>
      <w:sz w:val="20"/>
      <w:szCs w:val="20"/>
      <w:u w:val="single"/>
      <w:lang w:eastAsia="es-ES"/>
    </w:rPr>
  </w:style>
  <w:style w:type="paragraph" w:customStyle="1" w:styleId="tulo100">
    <w:name w:val="tulo10"/>
    <w:basedOn w:val="Normal"/>
    <w:rsid w:val="00FF04A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msolistparagraphcxspmiddle">
    <w:name w:val="msolistparagraphcxspmiddle"/>
    <w:basedOn w:val="Normal"/>
    <w:uiPriority w:val="99"/>
    <w:rsid w:val="00FF04A3"/>
    <w:pPr>
      <w:suppressAutoHyphens w:val="0"/>
      <w:spacing w:before="100" w:beforeAutospacing="1" w:after="100" w:afterAutospacing="1"/>
    </w:pPr>
    <w:rPr>
      <w:lang w:eastAsia="es-ES"/>
    </w:rPr>
  </w:style>
  <w:style w:type="paragraph" w:customStyle="1" w:styleId="x4000">
    <w:name w:val="x4000"/>
    <w:basedOn w:val="Normal"/>
    <w:uiPriority w:val="99"/>
    <w:rsid w:val="00FF04A3"/>
    <w:pPr>
      <w:suppressAutoHyphens w:val="0"/>
      <w:overflowPunct w:val="0"/>
      <w:autoSpaceDE w:val="0"/>
      <w:autoSpaceDN w:val="0"/>
      <w:ind w:right="567"/>
    </w:pPr>
    <w:rPr>
      <w:rFonts w:ascii="Courier" w:hAnsi="Courier"/>
      <w:caps/>
      <w:sz w:val="22"/>
      <w:szCs w:val="22"/>
      <w:lang w:eastAsia="es-ES"/>
    </w:rPr>
  </w:style>
  <w:style w:type="paragraph" w:customStyle="1" w:styleId="standard00">
    <w:name w:val="standard0"/>
    <w:basedOn w:val="Normal"/>
    <w:rsid w:val="00FF04A3"/>
    <w:pPr>
      <w:suppressAutoHyphens w:val="0"/>
      <w:autoSpaceDE w:val="0"/>
      <w:autoSpaceDN w:val="0"/>
    </w:pPr>
    <w:rPr>
      <w:lang w:eastAsia="es-ES"/>
    </w:rPr>
  </w:style>
  <w:style w:type="paragraph" w:customStyle="1" w:styleId="textbody0">
    <w:name w:val="textbody"/>
    <w:basedOn w:val="Normal"/>
    <w:rsid w:val="00FF04A3"/>
    <w:pPr>
      <w:suppressAutoHyphens w:val="0"/>
      <w:autoSpaceDE w:val="0"/>
      <w:autoSpaceDN w:val="0"/>
      <w:spacing w:after="120"/>
    </w:pPr>
    <w:rPr>
      <w:lang w:eastAsia="es-ES"/>
    </w:rPr>
  </w:style>
  <w:style w:type="paragraph" w:customStyle="1" w:styleId="index0">
    <w:name w:val="index"/>
    <w:basedOn w:val="Normal"/>
    <w:rsid w:val="00FF04A3"/>
    <w:pPr>
      <w:suppressAutoHyphens w:val="0"/>
      <w:autoSpaceDE w:val="0"/>
      <w:autoSpaceDN w:val="0"/>
    </w:pPr>
    <w:rPr>
      <w:lang w:eastAsia="es-ES"/>
    </w:rPr>
  </w:style>
  <w:style w:type="paragraph" w:customStyle="1" w:styleId="xl76">
    <w:name w:val="xl76"/>
    <w:basedOn w:val="Normal"/>
    <w:uiPriority w:val="99"/>
    <w:rsid w:val="00FF04A3"/>
    <w:pPr>
      <w:suppressAutoHyphens w:val="0"/>
      <w:autoSpaceDE w:val="0"/>
      <w:autoSpaceDN w:val="0"/>
      <w:spacing w:before="100" w:after="100"/>
      <w:jc w:val="center"/>
    </w:pPr>
    <w:rPr>
      <w:lang w:eastAsia="es-ES"/>
    </w:rPr>
  </w:style>
  <w:style w:type="paragraph" w:customStyle="1" w:styleId="xl77">
    <w:name w:val="xl77"/>
    <w:basedOn w:val="Normal"/>
    <w:uiPriority w:val="99"/>
    <w:rsid w:val="00FF04A3"/>
    <w:pPr>
      <w:suppressAutoHyphens w:val="0"/>
      <w:autoSpaceDE w:val="0"/>
      <w:autoSpaceDN w:val="0"/>
      <w:spacing w:before="100" w:after="100"/>
      <w:jc w:val="center"/>
    </w:pPr>
    <w:rPr>
      <w:lang w:eastAsia="es-ES"/>
    </w:rPr>
  </w:style>
  <w:style w:type="paragraph" w:customStyle="1" w:styleId="xl78">
    <w:name w:val="xl78"/>
    <w:basedOn w:val="Normal"/>
    <w:uiPriority w:val="99"/>
    <w:rsid w:val="00FF04A3"/>
    <w:pPr>
      <w:suppressAutoHyphens w:val="0"/>
      <w:autoSpaceDE w:val="0"/>
      <w:autoSpaceDN w:val="0"/>
      <w:spacing w:before="100" w:after="100"/>
      <w:jc w:val="center"/>
    </w:pPr>
    <w:rPr>
      <w:lang w:eastAsia="es-ES"/>
    </w:rPr>
  </w:style>
  <w:style w:type="paragraph" w:customStyle="1" w:styleId="font0">
    <w:name w:val="font0"/>
    <w:basedOn w:val="Normal"/>
    <w:rsid w:val="00FF04A3"/>
    <w:pPr>
      <w:suppressAutoHyphens w:val="0"/>
      <w:autoSpaceDE w:val="0"/>
      <w:autoSpaceDN w:val="0"/>
      <w:spacing w:before="100" w:after="100"/>
    </w:pPr>
    <w:rPr>
      <w:rFonts w:ascii="Arial" w:hAnsi="Arial" w:cs="Arial"/>
      <w:sz w:val="20"/>
      <w:szCs w:val="20"/>
      <w:lang w:eastAsia="es-ES"/>
    </w:rPr>
  </w:style>
  <w:style w:type="paragraph" w:customStyle="1" w:styleId="xl83">
    <w:name w:val="xl83"/>
    <w:basedOn w:val="Normal"/>
    <w:uiPriority w:val="99"/>
    <w:rsid w:val="00FF04A3"/>
    <w:pPr>
      <w:suppressAutoHyphens w:val="0"/>
      <w:autoSpaceDE w:val="0"/>
      <w:autoSpaceDN w:val="0"/>
      <w:spacing w:before="100" w:after="100"/>
    </w:pPr>
    <w:rPr>
      <w:lang w:eastAsia="es-ES"/>
    </w:rPr>
  </w:style>
  <w:style w:type="paragraph" w:customStyle="1" w:styleId="xl84">
    <w:name w:val="xl84"/>
    <w:basedOn w:val="Normal"/>
    <w:uiPriority w:val="99"/>
    <w:rsid w:val="00FF04A3"/>
    <w:pPr>
      <w:suppressAutoHyphens w:val="0"/>
      <w:autoSpaceDE w:val="0"/>
      <w:autoSpaceDN w:val="0"/>
      <w:spacing w:before="100" w:after="100"/>
    </w:pPr>
    <w:rPr>
      <w:lang w:eastAsia="es-ES"/>
    </w:rPr>
  </w:style>
  <w:style w:type="paragraph" w:customStyle="1" w:styleId="xl86">
    <w:name w:val="xl86"/>
    <w:basedOn w:val="Normal"/>
    <w:uiPriority w:val="99"/>
    <w:rsid w:val="00FF04A3"/>
    <w:pPr>
      <w:suppressAutoHyphens w:val="0"/>
      <w:autoSpaceDE w:val="0"/>
      <w:autoSpaceDN w:val="0"/>
      <w:spacing w:before="100" w:after="100"/>
    </w:pPr>
    <w:rPr>
      <w:lang w:eastAsia="es-ES"/>
    </w:rPr>
  </w:style>
  <w:style w:type="paragraph" w:customStyle="1" w:styleId="xl87">
    <w:name w:val="xl87"/>
    <w:basedOn w:val="Normal"/>
    <w:uiPriority w:val="99"/>
    <w:rsid w:val="00FF04A3"/>
    <w:pPr>
      <w:suppressAutoHyphens w:val="0"/>
      <w:autoSpaceDE w:val="0"/>
      <w:autoSpaceDN w:val="0"/>
      <w:spacing w:before="100" w:after="100"/>
    </w:pPr>
    <w:rPr>
      <w:lang w:eastAsia="es-ES"/>
    </w:rPr>
  </w:style>
  <w:style w:type="character" w:customStyle="1" w:styleId="ttulo1car0">
    <w:name w:val="ttulo1car"/>
    <w:rsid w:val="00FF04A3"/>
    <w:rPr>
      <w:rFonts w:ascii="Arial" w:hAnsi="Arial" w:cs="Arial" w:hint="default"/>
      <w:b/>
      <w:bCs/>
      <w:color w:val="000080"/>
      <w:u w:val="single"/>
    </w:rPr>
  </w:style>
  <w:style w:type="character" w:customStyle="1" w:styleId="tdc1car0">
    <w:name w:val="tdc1car"/>
    <w:rsid w:val="00FF04A3"/>
    <w:rPr>
      <w:b/>
      <w:bCs/>
      <w:color w:val="000080"/>
      <w:u w:val="single"/>
    </w:rPr>
  </w:style>
  <w:style w:type="character" w:customStyle="1" w:styleId="ttulo2car0">
    <w:name w:val="ttulo2car"/>
    <w:rsid w:val="00FF04A3"/>
    <w:rPr>
      <w:rFonts w:ascii="Arial" w:hAnsi="Arial" w:cs="Arial" w:hint="default"/>
      <w:b/>
      <w:bCs/>
      <w:i/>
      <w:iCs/>
    </w:rPr>
  </w:style>
  <w:style w:type="character" w:customStyle="1" w:styleId="ttulo3car0">
    <w:name w:val="ttulo3car"/>
    <w:rsid w:val="00FF04A3"/>
    <w:rPr>
      <w:rFonts w:ascii="Arial" w:hAnsi="Arial" w:cs="Arial" w:hint="default"/>
      <w:b/>
      <w:bCs/>
    </w:rPr>
  </w:style>
  <w:style w:type="character" w:customStyle="1" w:styleId="h4carcar1">
    <w:name w:val="h4carcar1"/>
    <w:rsid w:val="00FF04A3"/>
    <w:rPr>
      <w:b/>
      <w:bCs/>
    </w:rPr>
  </w:style>
  <w:style w:type="character" w:customStyle="1" w:styleId="carcar19">
    <w:name w:val="carcar19"/>
    <w:rsid w:val="00FF04A3"/>
    <w:rPr>
      <w:b/>
      <w:bCs/>
      <w:u w:val="single"/>
    </w:rPr>
  </w:style>
  <w:style w:type="character" w:customStyle="1" w:styleId="carcar17">
    <w:name w:val="carcar17"/>
    <w:rsid w:val="00FF04A3"/>
    <w:rPr>
      <w:b/>
      <w:bCs/>
    </w:rPr>
  </w:style>
  <w:style w:type="character" w:customStyle="1" w:styleId="carcar21">
    <w:name w:val="carcar2"/>
    <w:rsid w:val="00FF04A3"/>
    <w:rPr>
      <w:rFonts w:ascii="Calibri" w:hAnsi="Calibri" w:hint="default"/>
      <w:i/>
      <w:iCs/>
    </w:rPr>
  </w:style>
  <w:style w:type="character" w:customStyle="1" w:styleId="carcar14">
    <w:name w:val="carcar14"/>
    <w:rsid w:val="00FF04A3"/>
    <w:rPr>
      <w:rFonts w:ascii="Arial" w:hAnsi="Arial" w:cs="Arial" w:hint="default"/>
    </w:rPr>
  </w:style>
  <w:style w:type="character" w:customStyle="1" w:styleId="sinespaciadocar0">
    <w:name w:val="sinespaciadocar"/>
    <w:rsid w:val="00FF04A3"/>
    <w:rPr>
      <w:rFonts w:ascii="Calibri" w:hAnsi="Calibri" w:hint="default"/>
    </w:rPr>
  </w:style>
  <w:style w:type="character" w:customStyle="1" w:styleId="ww8num1z00">
    <w:name w:val="ww8num1z0"/>
    <w:rsid w:val="00FF04A3"/>
    <w:rPr>
      <w:rFonts w:ascii="Symbol" w:hAnsi="Symbol" w:hint="default"/>
    </w:rPr>
  </w:style>
  <w:style w:type="character" w:customStyle="1" w:styleId="vietas0">
    <w:name w:val="vietas"/>
    <w:rsid w:val="00FF04A3"/>
    <w:rPr>
      <w:rFonts w:ascii="StarSymbol" w:hAnsi="StarSymbol" w:hint="default"/>
    </w:rPr>
  </w:style>
  <w:style w:type="character" w:customStyle="1" w:styleId="carcar50">
    <w:name w:val="carcar5"/>
    <w:rsid w:val="00FF04A3"/>
    <w:rPr>
      <w:rFonts w:ascii="Tahoma" w:hAnsi="Tahoma" w:cs="Tahoma" w:hint="default"/>
    </w:rPr>
  </w:style>
  <w:style w:type="character" w:customStyle="1" w:styleId="ww8num46z00">
    <w:name w:val="ww8num46z0"/>
    <w:rsid w:val="00FF04A3"/>
    <w:rPr>
      <w:rFonts w:ascii="Symbol" w:hAnsi="Symbol" w:hint="default"/>
    </w:rPr>
  </w:style>
  <w:style w:type="character" w:customStyle="1" w:styleId="caracteresdenotaalpie0">
    <w:name w:val="caracteresdenotaalpie"/>
    <w:rsid w:val="00FF04A3"/>
    <w:rPr>
      <w:vertAlign w:val="superscript"/>
    </w:rPr>
  </w:style>
  <w:style w:type="character" w:customStyle="1" w:styleId="estilottulo3rojocar0">
    <w:name w:val="estilottulo3rojocar"/>
    <w:rsid w:val="00FF04A3"/>
    <w:rPr>
      <w:rFonts w:ascii="Arial" w:hAnsi="Arial" w:cs="Arial" w:hint="default"/>
      <w:b/>
      <w:bCs/>
      <w:color w:val="000080"/>
    </w:rPr>
  </w:style>
  <w:style w:type="character" w:customStyle="1" w:styleId="refdenotaalpie10">
    <w:name w:val="refdenotaalpie1"/>
    <w:rsid w:val="00FF04A3"/>
    <w:rPr>
      <w:vertAlign w:val="superscript"/>
    </w:rPr>
  </w:style>
  <w:style w:type="character" w:customStyle="1" w:styleId="prrafodelistacar0">
    <w:name w:val="prrafodelistacar"/>
    <w:rsid w:val="00FF04A3"/>
    <w:rPr>
      <w:rFonts w:ascii="Calibri" w:hAnsi="Calibri" w:hint="default"/>
    </w:rPr>
  </w:style>
  <w:style w:type="character" w:customStyle="1" w:styleId="destacado0">
    <w:name w:val="destacado"/>
    <w:rsid w:val="00FF04A3"/>
    <w:rPr>
      <w:i/>
      <w:iCs/>
    </w:rPr>
  </w:style>
  <w:style w:type="character" w:customStyle="1" w:styleId="carcterdecarcter0">
    <w:name w:val="carcterdecarcter"/>
    <w:rsid w:val="00FF04A3"/>
    <w:rPr>
      <w:rFonts w:ascii="Tahoma" w:hAnsi="Tahoma" w:cs="Tahoma" w:hint="default"/>
      <w:b/>
      <w:bCs/>
      <w:color w:val="FFFFFF"/>
    </w:rPr>
  </w:style>
  <w:style w:type="character" w:customStyle="1" w:styleId="programa0">
    <w:name w:val="programa"/>
    <w:rsid w:val="00FF04A3"/>
    <w:rPr>
      <w:rFonts w:ascii="Tahoma" w:hAnsi="Tahoma" w:cs="Tahoma" w:hint="default"/>
      <w:color w:val="000000"/>
    </w:rPr>
  </w:style>
  <w:style w:type="character" w:customStyle="1" w:styleId="ww8num1z10">
    <w:name w:val="ww8num1z1"/>
    <w:rsid w:val="00FF04A3"/>
    <w:rPr>
      <w:rFonts w:ascii="Courier New" w:hAnsi="Courier New" w:cs="Courier New" w:hint="default"/>
    </w:rPr>
  </w:style>
  <w:style w:type="character" w:customStyle="1" w:styleId="ww8num1z20">
    <w:name w:val="ww8num1z2"/>
    <w:rsid w:val="00FF04A3"/>
    <w:rPr>
      <w:rFonts w:ascii="Wingdings" w:hAnsi="Wingdings" w:hint="default"/>
    </w:rPr>
  </w:style>
  <w:style w:type="character" w:customStyle="1" w:styleId="ww8num1z30">
    <w:name w:val="ww8num1z3"/>
    <w:rsid w:val="00FF04A3"/>
    <w:rPr>
      <w:rFonts w:ascii="Symbol" w:hAnsi="Symbol" w:hint="default"/>
    </w:rPr>
  </w:style>
  <w:style w:type="character" w:customStyle="1" w:styleId="definition0">
    <w:name w:val="definition"/>
    <w:rsid w:val="00FF04A3"/>
    <w:rPr>
      <w:i/>
      <w:iCs/>
    </w:rPr>
  </w:style>
  <w:style w:type="character" w:customStyle="1" w:styleId="cite0">
    <w:name w:val="cite"/>
    <w:rsid w:val="00FF04A3"/>
    <w:rPr>
      <w:i/>
      <w:iCs/>
    </w:rPr>
  </w:style>
  <w:style w:type="character" w:customStyle="1" w:styleId="code0">
    <w:name w:val="code"/>
    <w:rsid w:val="00FF04A3"/>
    <w:rPr>
      <w:rFonts w:ascii="Courier New" w:hAnsi="Courier New" w:cs="Courier New" w:hint="default"/>
    </w:rPr>
  </w:style>
  <w:style w:type="character" w:customStyle="1" w:styleId="keyboard0">
    <w:name w:val="keyboard"/>
    <w:rsid w:val="00FF04A3"/>
    <w:rPr>
      <w:rFonts w:ascii="Courier New" w:hAnsi="Courier New" w:cs="Courier New" w:hint="default"/>
      <w:b/>
      <w:bCs/>
    </w:rPr>
  </w:style>
  <w:style w:type="character" w:customStyle="1" w:styleId="sample0">
    <w:name w:val="sample"/>
    <w:rsid w:val="00FF04A3"/>
    <w:rPr>
      <w:rFonts w:ascii="Courier New" w:hAnsi="Courier New" w:cs="Courier New" w:hint="default"/>
    </w:rPr>
  </w:style>
  <w:style w:type="character" w:customStyle="1" w:styleId="typewriter0">
    <w:name w:val="typewriter"/>
    <w:rsid w:val="00FF04A3"/>
    <w:rPr>
      <w:rFonts w:ascii="Courier New" w:hAnsi="Courier New" w:cs="Courier New" w:hint="default"/>
    </w:rPr>
  </w:style>
  <w:style w:type="character" w:customStyle="1" w:styleId="variable0">
    <w:name w:val="variable"/>
    <w:rsid w:val="00FF04A3"/>
    <w:rPr>
      <w:i/>
      <w:iCs/>
    </w:rPr>
  </w:style>
  <w:style w:type="character" w:customStyle="1" w:styleId="htmlmarkup0">
    <w:name w:val="htmlmarkup"/>
    <w:rsid w:val="00FF04A3"/>
    <w:rPr>
      <w:vanish/>
      <w:webHidden w:val="0"/>
      <w:color w:val="FF0000"/>
      <w:specVanish w:val="0"/>
    </w:rPr>
  </w:style>
  <w:style w:type="character" w:customStyle="1" w:styleId="comment0">
    <w:name w:val="comment"/>
    <w:rsid w:val="00FF04A3"/>
    <w:rPr>
      <w:vanish/>
      <w:webHidden w:val="0"/>
      <w:specVanish w:val="0"/>
    </w:rPr>
  </w:style>
  <w:style w:type="character" w:customStyle="1" w:styleId="carcar60">
    <w:name w:val="carcar6"/>
    <w:rsid w:val="00FF04A3"/>
    <w:rPr>
      <w:rFonts w:ascii="Arial" w:hAnsi="Arial" w:cs="Arial" w:hint="default"/>
      <w:color w:val="000000"/>
    </w:rPr>
  </w:style>
  <w:style w:type="character" w:customStyle="1" w:styleId="muydestacado0">
    <w:name w:val="muydestacado"/>
    <w:rsid w:val="00FF04A3"/>
    <w:rPr>
      <w:b/>
      <w:bCs/>
    </w:rPr>
  </w:style>
  <w:style w:type="character" w:customStyle="1" w:styleId="ttuloprincipalcarcar0">
    <w:name w:val="ttuloprincipalcarcar"/>
    <w:rsid w:val="00FF04A3"/>
    <w:rPr>
      <w:rFonts w:ascii="Arial" w:hAnsi="Arial" w:cs="Arial" w:hint="default"/>
      <w:b/>
      <w:bCs/>
    </w:rPr>
  </w:style>
  <w:style w:type="character" w:customStyle="1" w:styleId="carcar200">
    <w:name w:val="carcar200"/>
    <w:rsid w:val="00FF04A3"/>
    <w:rPr>
      <w:b/>
      <w:bCs/>
      <w:u w:val="single"/>
    </w:rPr>
  </w:style>
  <w:style w:type="character" w:customStyle="1" w:styleId="subttulosdehallazgocarcar0">
    <w:name w:val="subttulosdehallazgocarcar"/>
    <w:rsid w:val="00FF04A3"/>
    <w:rPr>
      <w:rFonts w:ascii="Arial" w:hAnsi="Arial" w:cs="Arial" w:hint="default"/>
      <w:b/>
      <w:bCs/>
    </w:rPr>
  </w:style>
  <w:style w:type="character" w:customStyle="1" w:styleId="carcar150">
    <w:name w:val="carcar15"/>
    <w:rsid w:val="00FF04A3"/>
    <w:rPr>
      <w:i/>
      <w:iCs/>
    </w:rPr>
  </w:style>
  <w:style w:type="character" w:customStyle="1" w:styleId="h4carcar0">
    <w:name w:val="h4carcar"/>
    <w:rsid w:val="00FF04A3"/>
    <w:rPr>
      <w:rFonts w:ascii="Book Antiqua" w:hAnsi="Book Antiqua" w:hint="default"/>
      <w:b/>
      <w:bCs/>
    </w:rPr>
  </w:style>
  <w:style w:type="character" w:customStyle="1" w:styleId="carcar180">
    <w:name w:val="carcar18"/>
    <w:rsid w:val="00FF04A3"/>
    <w:rPr>
      <w:rFonts w:ascii="Arial" w:hAnsi="Arial" w:cs="Arial" w:hint="default"/>
    </w:rPr>
  </w:style>
  <w:style w:type="character" w:customStyle="1" w:styleId="carcar100">
    <w:name w:val="carcar10"/>
    <w:rsid w:val="00FF04A3"/>
    <w:rPr>
      <w:rFonts w:ascii="Arial" w:hAnsi="Arial" w:cs="Arial" w:hint="default"/>
    </w:rPr>
  </w:style>
  <w:style w:type="character" w:customStyle="1" w:styleId="ww8num4z00">
    <w:name w:val="ww8num4z0"/>
    <w:rsid w:val="00FF04A3"/>
    <w:rPr>
      <w:rFonts w:ascii="Symbol" w:hAnsi="Symbol" w:hint="default"/>
    </w:rPr>
  </w:style>
  <w:style w:type="character" w:customStyle="1" w:styleId="ww8num5z00">
    <w:name w:val="ww8num5z0"/>
    <w:rsid w:val="00FF04A3"/>
    <w:rPr>
      <w:rFonts w:ascii="Symbol" w:hAnsi="Symbol" w:hint="default"/>
    </w:rPr>
  </w:style>
  <w:style w:type="character" w:customStyle="1" w:styleId="ww8num6z00">
    <w:name w:val="ww8num6z0"/>
    <w:rsid w:val="00FF04A3"/>
    <w:rPr>
      <w:rFonts w:ascii="Symbol" w:hAnsi="Symbol" w:hint="default"/>
    </w:rPr>
  </w:style>
  <w:style w:type="character" w:customStyle="1" w:styleId="ww8num7z00">
    <w:name w:val="ww8num7z0"/>
    <w:rsid w:val="00FF04A3"/>
    <w:rPr>
      <w:rFonts w:ascii="Wingdings 2" w:hAnsi="Wingdings 2" w:hint="default"/>
    </w:rPr>
  </w:style>
  <w:style w:type="character" w:customStyle="1" w:styleId="ww8num7z10">
    <w:name w:val="ww8num7z1"/>
    <w:rsid w:val="00FF04A3"/>
    <w:rPr>
      <w:rFonts w:ascii="OpenSymbol" w:hAnsi="OpenSymbol" w:hint="default"/>
    </w:rPr>
  </w:style>
  <w:style w:type="character" w:customStyle="1" w:styleId="ww8num8z00">
    <w:name w:val="ww8num8z0"/>
    <w:rsid w:val="00FF04A3"/>
    <w:rPr>
      <w:rFonts w:ascii="Wingdings 2" w:hAnsi="Wingdings 2" w:hint="default"/>
    </w:rPr>
  </w:style>
  <w:style w:type="character" w:customStyle="1" w:styleId="ww8num8z10">
    <w:name w:val="ww8num8z1"/>
    <w:rsid w:val="00FF04A3"/>
    <w:rPr>
      <w:rFonts w:ascii="OpenSymbol" w:hAnsi="OpenSymbol" w:hint="default"/>
    </w:rPr>
  </w:style>
  <w:style w:type="character" w:customStyle="1" w:styleId="ww8num9z00">
    <w:name w:val="ww8num9z0"/>
    <w:rsid w:val="00FF04A3"/>
    <w:rPr>
      <w:rFonts w:ascii="Symbol" w:hAnsi="Symbol" w:hint="default"/>
    </w:rPr>
  </w:style>
  <w:style w:type="character" w:customStyle="1" w:styleId="ww8num11z00">
    <w:name w:val="ww8num11z0"/>
    <w:rsid w:val="00FF04A3"/>
    <w:rPr>
      <w:rFonts w:ascii="Symbol" w:hAnsi="Symbol" w:hint="default"/>
    </w:rPr>
  </w:style>
  <w:style w:type="character" w:customStyle="1" w:styleId="ww8num12z00">
    <w:name w:val="ww8num12z0"/>
    <w:rsid w:val="00FF04A3"/>
    <w:rPr>
      <w:rFonts w:ascii="Symbol" w:hAnsi="Symbol" w:hint="default"/>
    </w:rPr>
  </w:style>
  <w:style w:type="character" w:customStyle="1" w:styleId="ww8num13z00">
    <w:name w:val="ww8num13z0"/>
    <w:rsid w:val="00FF04A3"/>
    <w:rPr>
      <w:rFonts w:ascii="Symbol" w:hAnsi="Symbol" w:hint="default"/>
    </w:rPr>
  </w:style>
  <w:style w:type="character" w:customStyle="1" w:styleId="ww8num13z10">
    <w:name w:val="ww8num13z1"/>
    <w:rsid w:val="00FF04A3"/>
    <w:rPr>
      <w:rFonts w:ascii="Courier New" w:hAnsi="Courier New" w:cs="Courier New" w:hint="default"/>
    </w:rPr>
  </w:style>
  <w:style w:type="character" w:customStyle="1" w:styleId="ww8num14z00">
    <w:name w:val="ww8num14z0"/>
    <w:rsid w:val="00FF04A3"/>
    <w:rPr>
      <w:rFonts w:ascii="Symbol" w:hAnsi="Symbol" w:hint="default"/>
    </w:rPr>
  </w:style>
  <w:style w:type="character" w:customStyle="1" w:styleId="ww8num18z00">
    <w:name w:val="ww8num18z0"/>
    <w:rsid w:val="00FF04A3"/>
    <w:rPr>
      <w:rFonts w:ascii="Symbol" w:hAnsi="Symbol" w:hint="default"/>
    </w:rPr>
  </w:style>
  <w:style w:type="character" w:customStyle="1" w:styleId="ww8num18z10">
    <w:name w:val="ww8num18z1"/>
    <w:rsid w:val="00FF04A3"/>
    <w:rPr>
      <w:rFonts w:ascii="Courier New" w:hAnsi="Courier New" w:cs="Courier New" w:hint="default"/>
    </w:rPr>
  </w:style>
  <w:style w:type="character" w:customStyle="1" w:styleId="ww8num18z20">
    <w:name w:val="ww8num18z2"/>
    <w:rsid w:val="00FF04A3"/>
    <w:rPr>
      <w:rFonts w:ascii="Wingdings" w:hAnsi="Wingdings" w:hint="default"/>
    </w:rPr>
  </w:style>
  <w:style w:type="character" w:customStyle="1" w:styleId="ww8num20z00">
    <w:name w:val="ww8num20z0"/>
    <w:rsid w:val="00FF04A3"/>
    <w:rPr>
      <w:rFonts w:ascii="Symbol" w:hAnsi="Symbol" w:hint="default"/>
    </w:rPr>
  </w:style>
  <w:style w:type="character" w:customStyle="1" w:styleId="ww8num20z10">
    <w:name w:val="ww8num20z1"/>
    <w:rsid w:val="00FF04A3"/>
    <w:rPr>
      <w:rFonts w:ascii="Courier New" w:hAnsi="Courier New" w:cs="Courier New" w:hint="default"/>
    </w:rPr>
  </w:style>
  <w:style w:type="character" w:customStyle="1" w:styleId="ww8num20z20">
    <w:name w:val="ww8num20z2"/>
    <w:rsid w:val="00FF04A3"/>
    <w:rPr>
      <w:rFonts w:ascii="Wingdings" w:hAnsi="Wingdings" w:hint="default"/>
    </w:rPr>
  </w:style>
  <w:style w:type="character" w:customStyle="1" w:styleId="ww8num21z00">
    <w:name w:val="ww8num21z0"/>
    <w:rsid w:val="00FF04A3"/>
    <w:rPr>
      <w:rFonts w:ascii="Times New Roman" w:hAnsi="Times New Roman" w:cs="Times New Roman" w:hint="default"/>
    </w:rPr>
  </w:style>
  <w:style w:type="character" w:customStyle="1" w:styleId="ww8num21z10">
    <w:name w:val="ww8num21z1"/>
    <w:rsid w:val="00FF04A3"/>
    <w:rPr>
      <w:rFonts w:ascii="Courier New" w:hAnsi="Courier New" w:cs="Courier New" w:hint="default"/>
    </w:rPr>
  </w:style>
  <w:style w:type="character" w:customStyle="1" w:styleId="ww8num21z20">
    <w:name w:val="ww8num21z2"/>
    <w:rsid w:val="00FF04A3"/>
    <w:rPr>
      <w:rFonts w:ascii="Wingdings" w:hAnsi="Wingdings" w:hint="default"/>
    </w:rPr>
  </w:style>
  <w:style w:type="character" w:customStyle="1" w:styleId="ww8num21z30">
    <w:name w:val="ww8num21z3"/>
    <w:rsid w:val="00FF04A3"/>
    <w:rPr>
      <w:rFonts w:ascii="Symbol" w:hAnsi="Symbol" w:hint="default"/>
    </w:rPr>
  </w:style>
  <w:style w:type="character" w:customStyle="1" w:styleId="ww8num22z00">
    <w:name w:val="ww8num22z0"/>
    <w:rsid w:val="00FF04A3"/>
    <w:rPr>
      <w:rFonts w:ascii="Wingdings" w:hAnsi="Wingdings" w:hint="default"/>
    </w:rPr>
  </w:style>
  <w:style w:type="character" w:customStyle="1" w:styleId="ww8num22z10">
    <w:name w:val="ww8num22z1"/>
    <w:rsid w:val="00FF04A3"/>
    <w:rPr>
      <w:rFonts w:ascii="Courier New" w:hAnsi="Courier New" w:cs="Courier New" w:hint="default"/>
    </w:rPr>
  </w:style>
  <w:style w:type="character" w:customStyle="1" w:styleId="ww8num22z30">
    <w:name w:val="ww8num22z3"/>
    <w:rsid w:val="00FF04A3"/>
    <w:rPr>
      <w:rFonts w:ascii="Symbol" w:hAnsi="Symbol" w:hint="default"/>
    </w:rPr>
  </w:style>
  <w:style w:type="character" w:customStyle="1" w:styleId="ww8num23z00">
    <w:name w:val="ww8num23z0"/>
    <w:rsid w:val="00FF04A3"/>
    <w:rPr>
      <w:rFonts w:ascii="Symbol" w:hAnsi="Symbol" w:hint="default"/>
    </w:rPr>
  </w:style>
  <w:style w:type="character" w:customStyle="1" w:styleId="ww8num23z10">
    <w:name w:val="ww8num23z1"/>
    <w:rsid w:val="00FF04A3"/>
    <w:rPr>
      <w:rFonts w:ascii="Courier New" w:hAnsi="Courier New" w:cs="Courier New" w:hint="default"/>
    </w:rPr>
  </w:style>
  <w:style w:type="character" w:customStyle="1" w:styleId="ww8num23z20">
    <w:name w:val="ww8num23z2"/>
    <w:rsid w:val="00FF04A3"/>
    <w:rPr>
      <w:rFonts w:ascii="Wingdings" w:hAnsi="Wingdings" w:hint="default"/>
    </w:rPr>
  </w:style>
  <w:style w:type="character" w:customStyle="1" w:styleId="ww8num24z00">
    <w:name w:val="ww8num24z0"/>
    <w:rsid w:val="00FF04A3"/>
    <w:rPr>
      <w:rFonts w:ascii="Symbol" w:hAnsi="Symbol" w:hint="default"/>
    </w:rPr>
  </w:style>
  <w:style w:type="character" w:customStyle="1" w:styleId="ww8num24z10">
    <w:name w:val="ww8num24z1"/>
    <w:rsid w:val="00FF04A3"/>
    <w:rPr>
      <w:rFonts w:ascii="Courier New" w:hAnsi="Courier New" w:cs="Courier New" w:hint="default"/>
    </w:rPr>
  </w:style>
  <w:style w:type="character" w:customStyle="1" w:styleId="ww8num24z20">
    <w:name w:val="ww8num24z2"/>
    <w:rsid w:val="00FF04A3"/>
    <w:rPr>
      <w:rFonts w:ascii="Wingdings" w:hAnsi="Wingdings" w:hint="default"/>
    </w:rPr>
  </w:style>
  <w:style w:type="character" w:customStyle="1" w:styleId="ww8num25z00">
    <w:name w:val="ww8num25z0"/>
    <w:rsid w:val="00FF04A3"/>
    <w:rPr>
      <w:rFonts w:ascii="Symbol" w:hAnsi="Symbol" w:hint="default"/>
    </w:rPr>
  </w:style>
  <w:style w:type="character" w:customStyle="1" w:styleId="ww8num25z10">
    <w:name w:val="ww8num25z1"/>
    <w:rsid w:val="00FF04A3"/>
    <w:rPr>
      <w:rFonts w:ascii="Courier New" w:hAnsi="Courier New" w:cs="Courier New" w:hint="default"/>
    </w:rPr>
  </w:style>
  <w:style w:type="character" w:customStyle="1" w:styleId="ww8num25z20">
    <w:name w:val="ww8num25z2"/>
    <w:rsid w:val="00FF04A3"/>
    <w:rPr>
      <w:rFonts w:ascii="Wingdings" w:hAnsi="Wingdings" w:hint="default"/>
    </w:rPr>
  </w:style>
  <w:style w:type="character" w:customStyle="1" w:styleId="ww8num26z00">
    <w:name w:val="ww8num26z0"/>
    <w:rsid w:val="00FF04A3"/>
    <w:rPr>
      <w:rFonts w:ascii="Times New Roman" w:hAnsi="Times New Roman" w:cs="Times New Roman" w:hint="default"/>
    </w:rPr>
  </w:style>
  <w:style w:type="character" w:customStyle="1" w:styleId="ww8num26z10">
    <w:name w:val="ww8num26z1"/>
    <w:rsid w:val="00FF04A3"/>
    <w:rPr>
      <w:rFonts w:ascii="Courier New" w:hAnsi="Courier New" w:cs="Courier New" w:hint="default"/>
    </w:rPr>
  </w:style>
  <w:style w:type="character" w:customStyle="1" w:styleId="ww8num26z20">
    <w:name w:val="ww8num26z2"/>
    <w:rsid w:val="00FF04A3"/>
    <w:rPr>
      <w:rFonts w:ascii="Wingdings" w:hAnsi="Wingdings" w:hint="default"/>
    </w:rPr>
  </w:style>
  <w:style w:type="character" w:customStyle="1" w:styleId="ww8num26z30">
    <w:name w:val="ww8num26z3"/>
    <w:rsid w:val="00FF04A3"/>
    <w:rPr>
      <w:rFonts w:ascii="Symbol" w:hAnsi="Symbol" w:hint="default"/>
    </w:rPr>
  </w:style>
  <w:style w:type="character" w:customStyle="1" w:styleId="ww8num27z00">
    <w:name w:val="ww8num27z0"/>
    <w:rsid w:val="00FF04A3"/>
    <w:rPr>
      <w:rFonts w:ascii="Symbol" w:hAnsi="Symbol" w:hint="default"/>
    </w:rPr>
  </w:style>
  <w:style w:type="character" w:customStyle="1" w:styleId="ww8num27z10">
    <w:name w:val="ww8num27z1"/>
    <w:rsid w:val="00FF04A3"/>
    <w:rPr>
      <w:rFonts w:ascii="Courier New" w:hAnsi="Courier New" w:cs="Courier New" w:hint="default"/>
    </w:rPr>
  </w:style>
  <w:style w:type="character" w:customStyle="1" w:styleId="ww8num27z20">
    <w:name w:val="ww8num27z2"/>
    <w:rsid w:val="00FF04A3"/>
    <w:rPr>
      <w:rFonts w:ascii="Wingdings" w:hAnsi="Wingdings" w:hint="default"/>
    </w:rPr>
  </w:style>
  <w:style w:type="character" w:customStyle="1" w:styleId="ww8num34z00">
    <w:name w:val="ww8num34z0"/>
    <w:rsid w:val="00FF04A3"/>
    <w:rPr>
      <w:rFonts w:ascii="Symbol" w:hAnsi="Symbol" w:hint="default"/>
    </w:rPr>
  </w:style>
  <w:style w:type="character" w:customStyle="1" w:styleId="ww8num34z10">
    <w:name w:val="ww8num34z1"/>
    <w:rsid w:val="00FF04A3"/>
    <w:rPr>
      <w:rFonts w:ascii="Times New Roman" w:hAnsi="Times New Roman" w:cs="Times New Roman" w:hint="default"/>
    </w:rPr>
  </w:style>
  <w:style w:type="character" w:customStyle="1" w:styleId="ww8num34z40">
    <w:name w:val="ww8num34z4"/>
    <w:rsid w:val="00FF04A3"/>
    <w:rPr>
      <w:rFonts w:ascii="Courier New" w:hAnsi="Courier New" w:cs="Courier New" w:hint="default"/>
    </w:rPr>
  </w:style>
  <w:style w:type="character" w:customStyle="1" w:styleId="ww8num34z50">
    <w:name w:val="ww8num34z5"/>
    <w:rsid w:val="00FF04A3"/>
    <w:rPr>
      <w:rFonts w:ascii="Wingdings" w:hAnsi="Wingdings" w:hint="default"/>
    </w:rPr>
  </w:style>
  <w:style w:type="character" w:customStyle="1" w:styleId="ww8num35z00">
    <w:name w:val="ww8num35z0"/>
    <w:rsid w:val="00FF04A3"/>
    <w:rPr>
      <w:b/>
      <w:bCs/>
    </w:rPr>
  </w:style>
  <w:style w:type="character" w:customStyle="1" w:styleId="ww8num35z10">
    <w:name w:val="ww8num35z1"/>
    <w:rsid w:val="00FF04A3"/>
    <w:rPr>
      <w:b/>
      <w:bCs/>
      <w:i w:val="0"/>
      <w:iCs w:val="0"/>
    </w:rPr>
  </w:style>
  <w:style w:type="character" w:customStyle="1" w:styleId="ww8num39z00">
    <w:name w:val="ww8num39z0"/>
    <w:rsid w:val="00FF04A3"/>
    <w:rPr>
      <w:rFonts w:ascii="Wingdings" w:hAnsi="Wingdings" w:hint="default"/>
    </w:rPr>
  </w:style>
  <w:style w:type="character" w:customStyle="1" w:styleId="ww8num39z10">
    <w:name w:val="ww8num39z1"/>
    <w:rsid w:val="00FF04A3"/>
    <w:rPr>
      <w:rFonts w:ascii="Courier New" w:hAnsi="Courier New" w:cs="Courier New" w:hint="default"/>
    </w:rPr>
  </w:style>
  <w:style w:type="character" w:customStyle="1" w:styleId="ww8num39z30">
    <w:name w:val="ww8num39z3"/>
    <w:rsid w:val="00FF04A3"/>
    <w:rPr>
      <w:rFonts w:ascii="Symbol" w:hAnsi="Symbol" w:hint="default"/>
    </w:rPr>
  </w:style>
  <w:style w:type="character" w:customStyle="1" w:styleId="ww8num41z00">
    <w:name w:val="ww8num41z0"/>
    <w:rsid w:val="00FF04A3"/>
    <w:rPr>
      <w:b/>
      <w:bCs/>
    </w:rPr>
  </w:style>
  <w:style w:type="character" w:customStyle="1" w:styleId="ww8num42z00">
    <w:name w:val="ww8num42z0"/>
    <w:rsid w:val="00FF04A3"/>
    <w:rPr>
      <w:rFonts w:ascii="Symbol" w:hAnsi="Symbol" w:hint="default"/>
    </w:rPr>
  </w:style>
  <w:style w:type="character" w:customStyle="1" w:styleId="ww8num42z10">
    <w:name w:val="ww8num42z1"/>
    <w:rsid w:val="00FF04A3"/>
    <w:rPr>
      <w:rFonts w:ascii="Courier New" w:hAnsi="Courier New" w:cs="Courier New" w:hint="default"/>
    </w:rPr>
  </w:style>
  <w:style w:type="character" w:customStyle="1" w:styleId="ww8num42z20">
    <w:name w:val="ww8num42z2"/>
    <w:rsid w:val="00FF04A3"/>
    <w:rPr>
      <w:rFonts w:ascii="Wingdings" w:hAnsi="Wingdings" w:hint="default"/>
    </w:rPr>
  </w:style>
  <w:style w:type="character" w:customStyle="1" w:styleId="ww8num44z00">
    <w:name w:val="ww8num44z0"/>
    <w:rsid w:val="00FF04A3"/>
    <w:rPr>
      <w:rFonts w:ascii="Symbol" w:hAnsi="Symbol" w:hint="default"/>
    </w:rPr>
  </w:style>
  <w:style w:type="character" w:customStyle="1" w:styleId="ww8num44z10">
    <w:name w:val="ww8num44z1"/>
    <w:rsid w:val="00FF04A3"/>
    <w:rPr>
      <w:rFonts w:ascii="Courier New" w:hAnsi="Courier New" w:cs="Courier New" w:hint="default"/>
    </w:rPr>
  </w:style>
  <w:style w:type="character" w:customStyle="1" w:styleId="ww8num44z20">
    <w:name w:val="ww8num44z2"/>
    <w:rsid w:val="00FF04A3"/>
    <w:rPr>
      <w:rFonts w:ascii="Wingdings" w:hAnsi="Wingdings" w:hint="default"/>
    </w:rPr>
  </w:style>
  <w:style w:type="character" w:customStyle="1" w:styleId="ww8num45z00">
    <w:name w:val="ww8num45z0"/>
    <w:rsid w:val="00FF04A3"/>
    <w:rPr>
      <w:rFonts w:ascii="Symbol" w:hAnsi="Symbol" w:hint="default"/>
    </w:rPr>
  </w:style>
  <w:style w:type="character" w:customStyle="1" w:styleId="ww8num47z00">
    <w:name w:val="ww8num47z0"/>
    <w:rsid w:val="00FF04A3"/>
    <w:rPr>
      <w:rFonts w:ascii="Wingdings" w:hAnsi="Wingdings" w:hint="default"/>
    </w:rPr>
  </w:style>
  <w:style w:type="character" w:customStyle="1" w:styleId="ww8num47z10">
    <w:name w:val="ww8num47z1"/>
    <w:rsid w:val="00FF04A3"/>
    <w:rPr>
      <w:rFonts w:ascii="Courier New" w:hAnsi="Courier New" w:cs="Courier New" w:hint="default"/>
    </w:rPr>
  </w:style>
  <w:style w:type="character" w:customStyle="1" w:styleId="ww8num47z30">
    <w:name w:val="ww8num47z3"/>
    <w:rsid w:val="00FF04A3"/>
    <w:rPr>
      <w:rFonts w:ascii="Symbol" w:hAnsi="Symbol" w:hint="default"/>
    </w:rPr>
  </w:style>
  <w:style w:type="character" w:customStyle="1" w:styleId="ww8num51z0">
    <w:name w:val="ww8num51z0"/>
    <w:rsid w:val="00FF04A3"/>
    <w:rPr>
      <w:rFonts w:ascii="Symbol" w:hAnsi="Symbol" w:hint="default"/>
    </w:rPr>
  </w:style>
  <w:style w:type="character" w:customStyle="1" w:styleId="ww8num51z1">
    <w:name w:val="ww8num51z1"/>
    <w:rsid w:val="00FF04A3"/>
    <w:rPr>
      <w:rFonts w:ascii="Courier New" w:hAnsi="Courier New" w:cs="Courier New" w:hint="default"/>
    </w:rPr>
  </w:style>
  <w:style w:type="character" w:customStyle="1" w:styleId="ww8num51z2">
    <w:name w:val="ww8num51z2"/>
    <w:rsid w:val="00FF04A3"/>
    <w:rPr>
      <w:rFonts w:ascii="Wingdings" w:hAnsi="Wingdings" w:hint="default"/>
    </w:rPr>
  </w:style>
  <w:style w:type="character" w:customStyle="1" w:styleId="ww8num54z0">
    <w:name w:val="ww8num54z0"/>
    <w:rsid w:val="00FF04A3"/>
    <w:rPr>
      <w:rFonts w:ascii="Symbol" w:hAnsi="Symbol" w:hint="default"/>
    </w:rPr>
  </w:style>
  <w:style w:type="character" w:customStyle="1" w:styleId="ww8num54z1">
    <w:name w:val="ww8num54z1"/>
    <w:rsid w:val="00FF04A3"/>
    <w:rPr>
      <w:rFonts w:ascii="Courier New" w:hAnsi="Courier New" w:cs="Courier New" w:hint="default"/>
    </w:rPr>
  </w:style>
  <w:style w:type="character" w:customStyle="1" w:styleId="ww8num54z2">
    <w:name w:val="ww8num54z2"/>
    <w:rsid w:val="00FF04A3"/>
    <w:rPr>
      <w:rFonts w:ascii="Wingdings" w:hAnsi="Wingdings" w:hint="default"/>
    </w:rPr>
  </w:style>
  <w:style w:type="character" w:customStyle="1" w:styleId="ww8num56z0">
    <w:name w:val="ww8num56z0"/>
    <w:rsid w:val="00FF04A3"/>
    <w:rPr>
      <w:rFonts w:ascii="Symbol" w:hAnsi="Symbol" w:hint="default"/>
    </w:rPr>
  </w:style>
  <w:style w:type="character" w:customStyle="1" w:styleId="ww8num56z1">
    <w:name w:val="ww8num56z1"/>
    <w:rsid w:val="00FF04A3"/>
    <w:rPr>
      <w:rFonts w:ascii="Wingdings" w:hAnsi="Wingdings" w:hint="default"/>
    </w:rPr>
  </w:style>
  <w:style w:type="character" w:customStyle="1" w:styleId="ww8num56z4">
    <w:name w:val="ww8num56z4"/>
    <w:rsid w:val="00FF04A3"/>
    <w:rPr>
      <w:rFonts w:ascii="Courier New" w:hAnsi="Courier New" w:cs="Courier New" w:hint="default"/>
    </w:rPr>
  </w:style>
  <w:style w:type="character" w:customStyle="1" w:styleId="ww8num58z0">
    <w:name w:val="ww8num58z0"/>
    <w:rsid w:val="00FF04A3"/>
    <w:rPr>
      <w:rFonts w:ascii="Symbol" w:hAnsi="Symbol" w:hint="default"/>
    </w:rPr>
  </w:style>
  <w:style w:type="character" w:customStyle="1" w:styleId="ww8num58z1">
    <w:name w:val="ww8num58z1"/>
    <w:rsid w:val="00FF04A3"/>
    <w:rPr>
      <w:rFonts w:ascii="Courier New" w:hAnsi="Courier New" w:cs="Courier New" w:hint="default"/>
    </w:rPr>
  </w:style>
  <w:style w:type="character" w:customStyle="1" w:styleId="ww8num58z2">
    <w:name w:val="ww8num58z2"/>
    <w:rsid w:val="00FF04A3"/>
    <w:rPr>
      <w:rFonts w:ascii="Wingdings" w:hAnsi="Wingdings" w:hint="default"/>
    </w:rPr>
  </w:style>
  <w:style w:type="character" w:customStyle="1" w:styleId="ww8num59z0">
    <w:name w:val="ww8num59z0"/>
    <w:rsid w:val="00FF04A3"/>
    <w:rPr>
      <w:rFonts w:ascii="Symbol" w:hAnsi="Symbol" w:hint="default"/>
    </w:rPr>
  </w:style>
  <w:style w:type="character" w:customStyle="1" w:styleId="ww8num59z1">
    <w:name w:val="ww8num59z1"/>
    <w:rsid w:val="00FF04A3"/>
    <w:rPr>
      <w:rFonts w:ascii="Courier New" w:hAnsi="Courier New" w:cs="Courier New" w:hint="default"/>
    </w:rPr>
  </w:style>
  <w:style w:type="character" w:customStyle="1" w:styleId="ww8num59z2">
    <w:name w:val="ww8num59z2"/>
    <w:rsid w:val="00FF04A3"/>
    <w:rPr>
      <w:rFonts w:ascii="Wingdings" w:hAnsi="Wingdings" w:hint="default"/>
    </w:rPr>
  </w:style>
  <w:style w:type="character" w:customStyle="1" w:styleId="ww8num60z0">
    <w:name w:val="ww8num60z0"/>
    <w:rsid w:val="00FF04A3"/>
    <w:rPr>
      <w:b/>
      <w:bCs/>
    </w:rPr>
  </w:style>
  <w:style w:type="character" w:customStyle="1" w:styleId="ww8num61z0">
    <w:name w:val="ww8num61z0"/>
    <w:rsid w:val="00FF04A3"/>
    <w:rPr>
      <w:rFonts w:ascii="Symbol" w:hAnsi="Symbol" w:hint="default"/>
      <w:b/>
      <w:bCs/>
    </w:rPr>
  </w:style>
  <w:style w:type="character" w:customStyle="1" w:styleId="ww8num62z0">
    <w:name w:val="ww8num62z0"/>
    <w:rsid w:val="00FF04A3"/>
    <w:rPr>
      <w:b/>
      <w:bCs/>
    </w:rPr>
  </w:style>
  <w:style w:type="character" w:customStyle="1" w:styleId="ww8num64z0">
    <w:name w:val="ww8num64z0"/>
    <w:rsid w:val="00FF04A3"/>
    <w:rPr>
      <w:rFonts w:ascii="Wingdings" w:hAnsi="Wingdings" w:hint="default"/>
    </w:rPr>
  </w:style>
  <w:style w:type="character" w:customStyle="1" w:styleId="ww8num64z1">
    <w:name w:val="ww8num64z1"/>
    <w:rsid w:val="00FF04A3"/>
    <w:rPr>
      <w:rFonts w:ascii="Courier New" w:hAnsi="Courier New" w:cs="Courier New" w:hint="default"/>
    </w:rPr>
  </w:style>
  <w:style w:type="character" w:customStyle="1" w:styleId="ww8num64z3">
    <w:name w:val="ww8num64z3"/>
    <w:rsid w:val="00FF04A3"/>
    <w:rPr>
      <w:rFonts w:ascii="Symbol" w:hAnsi="Symbol" w:hint="default"/>
    </w:rPr>
  </w:style>
  <w:style w:type="character" w:customStyle="1" w:styleId="ww8num66z0">
    <w:name w:val="ww8num66z0"/>
    <w:rsid w:val="00FF04A3"/>
    <w:rPr>
      <w:rFonts w:ascii="Calibri" w:hAnsi="Calibri" w:hint="default"/>
    </w:rPr>
  </w:style>
  <w:style w:type="character" w:customStyle="1" w:styleId="ww8num67z0">
    <w:name w:val="ww8num67z0"/>
    <w:rsid w:val="00FF04A3"/>
    <w:rPr>
      <w:rFonts w:ascii="Symbol" w:hAnsi="Symbol" w:hint="default"/>
    </w:rPr>
  </w:style>
  <w:style w:type="character" w:customStyle="1" w:styleId="ww8num67z1">
    <w:name w:val="ww8num67z1"/>
    <w:rsid w:val="00FF04A3"/>
    <w:rPr>
      <w:rFonts w:ascii="Courier New" w:hAnsi="Courier New" w:cs="Courier New" w:hint="default"/>
    </w:rPr>
  </w:style>
  <w:style w:type="character" w:customStyle="1" w:styleId="ww8num67z2">
    <w:name w:val="ww8num67z2"/>
    <w:rsid w:val="00FF04A3"/>
    <w:rPr>
      <w:rFonts w:ascii="Wingdings" w:hAnsi="Wingdings" w:hint="default"/>
    </w:rPr>
  </w:style>
  <w:style w:type="character" w:customStyle="1" w:styleId="ww8num68z0">
    <w:name w:val="ww8num68z0"/>
    <w:rsid w:val="00FF04A3"/>
    <w:rPr>
      <w:rFonts w:ascii="Symbol" w:hAnsi="Symbol" w:hint="default"/>
    </w:rPr>
  </w:style>
  <w:style w:type="character" w:customStyle="1" w:styleId="ww8num68z1">
    <w:name w:val="ww8num68z1"/>
    <w:rsid w:val="00FF04A3"/>
    <w:rPr>
      <w:rFonts w:ascii="Courier New" w:hAnsi="Courier New" w:cs="Courier New" w:hint="default"/>
    </w:rPr>
  </w:style>
  <w:style w:type="character" w:customStyle="1" w:styleId="ww8num68z2">
    <w:name w:val="ww8num68z2"/>
    <w:rsid w:val="00FF04A3"/>
    <w:rPr>
      <w:rFonts w:ascii="Wingdings" w:hAnsi="Wingdings" w:hint="default"/>
    </w:rPr>
  </w:style>
  <w:style w:type="character" w:customStyle="1" w:styleId="ww8num70z0">
    <w:name w:val="ww8num70z0"/>
    <w:rsid w:val="00FF04A3"/>
    <w:rPr>
      <w:rFonts w:ascii="Symbol" w:hAnsi="Symbol" w:hint="default"/>
    </w:rPr>
  </w:style>
  <w:style w:type="character" w:customStyle="1" w:styleId="ww8num70z1">
    <w:name w:val="ww8num70z1"/>
    <w:rsid w:val="00FF04A3"/>
    <w:rPr>
      <w:rFonts w:ascii="Courier New" w:hAnsi="Courier New" w:cs="Courier New" w:hint="default"/>
    </w:rPr>
  </w:style>
  <w:style w:type="character" w:customStyle="1" w:styleId="ww8num70z2">
    <w:name w:val="ww8num70z2"/>
    <w:rsid w:val="00FF04A3"/>
    <w:rPr>
      <w:rFonts w:ascii="Wingdings" w:hAnsi="Wingdings" w:hint="default"/>
    </w:rPr>
  </w:style>
  <w:style w:type="character" w:customStyle="1" w:styleId="ww8num71z0">
    <w:name w:val="ww8num71z0"/>
    <w:rsid w:val="00FF04A3"/>
    <w:rPr>
      <w:rFonts w:ascii="Symbol" w:hAnsi="Symbol" w:hint="default"/>
    </w:rPr>
  </w:style>
  <w:style w:type="character" w:customStyle="1" w:styleId="ww8num71z1">
    <w:name w:val="ww8num71z1"/>
    <w:rsid w:val="00FF04A3"/>
    <w:rPr>
      <w:rFonts w:ascii="Courier New" w:hAnsi="Courier New" w:cs="Courier New" w:hint="default"/>
    </w:rPr>
  </w:style>
  <w:style w:type="character" w:customStyle="1" w:styleId="ww8num71z2">
    <w:name w:val="ww8num71z2"/>
    <w:rsid w:val="00FF04A3"/>
    <w:rPr>
      <w:rFonts w:ascii="Wingdings" w:hAnsi="Wingdings" w:hint="default"/>
    </w:rPr>
  </w:style>
  <w:style w:type="character" w:customStyle="1" w:styleId="ww8num73z0">
    <w:name w:val="ww8num73z0"/>
    <w:rsid w:val="00FF04A3"/>
    <w:rPr>
      <w:rFonts w:ascii="Symbol" w:hAnsi="Symbol" w:hint="default"/>
    </w:rPr>
  </w:style>
  <w:style w:type="character" w:customStyle="1" w:styleId="ww8num73z1">
    <w:name w:val="ww8num73z1"/>
    <w:rsid w:val="00FF04A3"/>
    <w:rPr>
      <w:rFonts w:ascii="Courier New" w:hAnsi="Courier New" w:cs="Courier New" w:hint="default"/>
    </w:rPr>
  </w:style>
  <w:style w:type="character" w:customStyle="1" w:styleId="ww8num73z2">
    <w:name w:val="ww8num73z2"/>
    <w:rsid w:val="00FF04A3"/>
    <w:rPr>
      <w:rFonts w:ascii="Wingdings" w:hAnsi="Wingdings" w:hint="default"/>
    </w:rPr>
  </w:style>
  <w:style w:type="character" w:customStyle="1" w:styleId="ww8num74z0">
    <w:name w:val="ww8num74z0"/>
    <w:rsid w:val="00FF04A3"/>
    <w:rPr>
      <w:rFonts w:ascii="Symbol" w:hAnsi="Symbol" w:hint="default"/>
      <w:b/>
      <w:bCs/>
      <w:i w:val="0"/>
      <w:iCs w:val="0"/>
    </w:rPr>
  </w:style>
  <w:style w:type="character" w:customStyle="1" w:styleId="ww8num74z1">
    <w:name w:val="ww8num74z1"/>
    <w:rsid w:val="00FF04A3"/>
    <w:rPr>
      <w:rFonts w:ascii="Courier New" w:hAnsi="Courier New" w:cs="Courier New" w:hint="default"/>
    </w:rPr>
  </w:style>
  <w:style w:type="character" w:customStyle="1" w:styleId="ww8num74z2">
    <w:name w:val="ww8num74z2"/>
    <w:rsid w:val="00FF04A3"/>
    <w:rPr>
      <w:rFonts w:ascii="Wingdings" w:hAnsi="Wingdings" w:hint="default"/>
    </w:rPr>
  </w:style>
  <w:style w:type="character" w:customStyle="1" w:styleId="ww8num74z3">
    <w:name w:val="ww8num74z3"/>
    <w:rsid w:val="00FF04A3"/>
    <w:rPr>
      <w:rFonts w:ascii="Symbol" w:hAnsi="Symbol" w:hint="default"/>
    </w:rPr>
  </w:style>
  <w:style w:type="character" w:customStyle="1" w:styleId="ww8num75z0">
    <w:name w:val="ww8num75z0"/>
    <w:rsid w:val="00FF04A3"/>
    <w:rPr>
      <w:rFonts w:ascii="Symbol" w:hAnsi="Symbol" w:hint="default"/>
    </w:rPr>
  </w:style>
  <w:style w:type="character" w:customStyle="1" w:styleId="ww8num75z1">
    <w:name w:val="ww8num75z1"/>
    <w:rsid w:val="00FF04A3"/>
    <w:rPr>
      <w:rFonts w:ascii="Courier New" w:hAnsi="Courier New" w:cs="Courier New" w:hint="default"/>
    </w:rPr>
  </w:style>
  <w:style w:type="character" w:customStyle="1" w:styleId="ww8num75z2">
    <w:name w:val="ww8num75z2"/>
    <w:rsid w:val="00FF04A3"/>
    <w:rPr>
      <w:rFonts w:ascii="Wingdings" w:hAnsi="Wingdings" w:hint="default"/>
    </w:rPr>
  </w:style>
  <w:style w:type="character" w:customStyle="1" w:styleId="ww-caracteresdenotaalpie">
    <w:name w:val="ww-caracteresdenotaalpie"/>
    <w:rsid w:val="00FF04A3"/>
    <w:rPr>
      <w:vertAlign w:val="superscript"/>
    </w:rPr>
  </w:style>
  <w:style w:type="character" w:customStyle="1" w:styleId="nfasis1">
    <w:name w:val="nfasis1"/>
    <w:rsid w:val="00FF04A3"/>
    <w:rPr>
      <w:i/>
      <w:iCs/>
    </w:rPr>
  </w:style>
  <w:style w:type="character" w:customStyle="1" w:styleId="caracteresdenotafinal">
    <w:name w:val="caracteresdenotafinal"/>
    <w:rsid w:val="00FF04A3"/>
    <w:rPr>
      <w:vertAlign w:val="superscript"/>
    </w:rPr>
  </w:style>
  <w:style w:type="character" w:customStyle="1" w:styleId="ww-muydestacado">
    <w:name w:val="ww-muydestacado"/>
    <w:rsid w:val="00FF04A3"/>
    <w:rPr>
      <w:b/>
      <w:bCs/>
    </w:rPr>
  </w:style>
  <w:style w:type="character" w:customStyle="1" w:styleId="ww8num2z00">
    <w:name w:val="ww8num2z0"/>
    <w:rsid w:val="00FF04A3"/>
    <w:rPr>
      <w:b/>
      <w:bCs/>
      <w:i w:val="0"/>
      <w:iCs w:val="0"/>
    </w:rPr>
  </w:style>
  <w:style w:type="character" w:customStyle="1" w:styleId="ww8num3z00">
    <w:name w:val="ww8num3z0"/>
    <w:rsid w:val="00FF04A3"/>
    <w:rPr>
      <w:rFonts w:ascii="Wingdings" w:hAnsi="Wingdings" w:hint="default"/>
    </w:rPr>
  </w:style>
  <w:style w:type="character" w:customStyle="1" w:styleId="ww8num3z10">
    <w:name w:val="ww8num3z1"/>
    <w:rsid w:val="00FF04A3"/>
    <w:rPr>
      <w:rFonts w:ascii="Courier New" w:hAnsi="Courier New" w:cs="Courier New" w:hint="default"/>
    </w:rPr>
  </w:style>
  <w:style w:type="character" w:customStyle="1" w:styleId="ww8num3z30">
    <w:name w:val="ww8num3z3"/>
    <w:rsid w:val="00FF04A3"/>
    <w:rPr>
      <w:rFonts w:ascii="Symbol" w:hAnsi="Symbol" w:hint="default"/>
    </w:rPr>
  </w:style>
  <w:style w:type="character" w:customStyle="1" w:styleId="ww8num8z30">
    <w:name w:val="ww8num8z3"/>
    <w:rsid w:val="00FF04A3"/>
    <w:rPr>
      <w:rFonts w:ascii="Symbol" w:hAnsi="Symbol" w:hint="default"/>
    </w:rPr>
  </w:style>
  <w:style w:type="character" w:customStyle="1" w:styleId="ww8num10z00">
    <w:name w:val="ww8num10z0"/>
    <w:rsid w:val="00FF04A3"/>
    <w:rPr>
      <w:i w:val="0"/>
      <w:iCs w:val="0"/>
    </w:rPr>
  </w:style>
  <w:style w:type="character" w:customStyle="1" w:styleId="ww8num11z10">
    <w:name w:val="ww8num11z1"/>
    <w:rsid w:val="00FF04A3"/>
    <w:rPr>
      <w:rFonts w:ascii="Courier New" w:hAnsi="Courier New" w:cs="Courier New" w:hint="default"/>
    </w:rPr>
  </w:style>
  <w:style w:type="character" w:customStyle="1" w:styleId="ww8num11z20">
    <w:name w:val="ww8num11z2"/>
    <w:rsid w:val="00FF04A3"/>
    <w:rPr>
      <w:rFonts w:ascii="Wingdings" w:hAnsi="Wingdings" w:hint="default"/>
    </w:rPr>
  </w:style>
  <w:style w:type="character" w:customStyle="1" w:styleId="ww8num11z30">
    <w:name w:val="ww8num11z3"/>
    <w:rsid w:val="00FF04A3"/>
    <w:rPr>
      <w:rFonts w:ascii="Symbol" w:hAnsi="Symbol" w:hint="default"/>
    </w:rPr>
  </w:style>
  <w:style w:type="character" w:customStyle="1" w:styleId="estilo191">
    <w:name w:val="estilo191"/>
    <w:rsid w:val="00FF04A3"/>
    <w:rPr>
      <w:rFonts w:ascii="Monotype Corsiva" w:hAnsi="Monotype Corsiva" w:hint="default"/>
      <w:b/>
      <w:bCs/>
      <w:i/>
      <w:iCs/>
      <w:color w:val="1D0000"/>
    </w:rPr>
  </w:style>
  <w:style w:type="character" w:customStyle="1" w:styleId="estilo111">
    <w:name w:val="estilo111"/>
    <w:rsid w:val="00FF04A3"/>
    <w:rPr>
      <w:rFonts w:ascii="Arial" w:hAnsi="Arial" w:cs="Arial" w:hint="default"/>
    </w:rPr>
  </w:style>
  <w:style w:type="character" w:customStyle="1" w:styleId="estilo141">
    <w:name w:val="estilo141"/>
    <w:rsid w:val="00FF04A3"/>
    <w:rPr>
      <w:rFonts w:ascii="Arial" w:hAnsi="Arial" w:cs="Arial" w:hint="default"/>
    </w:rPr>
  </w:style>
  <w:style w:type="character" w:customStyle="1" w:styleId="defaultparagraphfont">
    <w:name w:val="defaultparagraphfont"/>
    <w:rsid w:val="00FF04A3"/>
    <w:rPr>
      <w:color w:val="auto"/>
      <w:u w:val="single"/>
      <w:shd w:val="clear" w:color="auto" w:fill="FFFFFF"/>
    </w:rPr>
  </w:style>
  <w:style w:type="character" w:customStyle="1" w:styleId="internetlink">
    <w:name w:val="internetlink"/>
    <w:rsid w:val="00FF04A3"/>
    <w:rPr>
      <w:rFonts w:ascii="Arial" w:hAnsi="Arial" w:cs="Arial" w:hint="default"/>
      <w:color w:val="000080"/>
      <w:u w:val="single"/>
      <w:shd w:val="clear" w:color="auto" w:fill="FFFFFF"/>
    </w:rPr>
  </w:style>
  <w:style w:type="character" w:customStyle="1" w:styleId="carcar2carcarcarcarcarcarcar">
    <w:name w:val="carcar2carcarcarcarcarcarcar"/>
    <w:rsid w:val="00FF04A3"/>
    <w:rPr>
      <w:rFonts w:ascii="Arial" w:hAnsi="Arial" w:cs="Arial" w:hint="default"/>
      <w:b/>
      <w:bCs/>
    </w:rPr>
  </w:style>
  <w:style w:type="character" w:customStyle="1" w:styleId="smbolodenotaalpie">
    <w:name w:val="smbolodenotaalpie"/>
    <w:rsid w:val="00FF04A3"/>
    <w:rPr>
      <w:rFonts w:ascii="Courier New" w:hAnsi="Courier New" w:cs="Courier New" w:hint="default"/>
      <w:vertAlign w:val="superscript"/>
    </w:rPr>
  </w:style>
  <w:style w:type="paragraph" w:customStyle="1" w:styleId="prrafodelista1cxspmiddle">
    <w:name w:val="prrafodelista1cxspmiddle"/>
    <w:basedOn w:val="Normal"/>
    <w:rsid w:val="00FF04A3"/>
    <w:pPr>
      <w:suppressAutoHyphens w:val="0"/>
      <w:spacing w:before="100" w:beforeAutospacing="1" w:after="100" w:afterAutospacing="1"/>
    </w:pPr>
    <w:rPr>
      <w:lang w:eastAsia="es-ES"/>
    </w:rPr>
  </w:style>
  <w:style w:type="paragraph" w:customStyle="1" w:styleId="prrafodelista1cxsplast">
    <w:name w:val="prrafodelista1cxsplast"/>
    <w:basedOn w:val="Normal"/>
    <w:rsid w:val="00FF04A3"/>
    <w:pPr>
      <w:suppressAutoHyphens w:val="0"/>
      <w:spacing w:before="100" w:beforeAutospacing="1" w:after="100" w:afterAutospacing="1"/>
    </w:pPr>
    <w:rPr>
      <w:lang w:eastAsia="es-ES"/>
    </w:rPr>
  </w:style>
  <w:style w:type="paragraph" w:customStyle="1" w:styleId="listparagraphcxspmiddle">
    <w:name w:val="listparagraphcxspmiddle"/>
    <w:basedOn w:val="Normal"/>
    <w:uiPriority w:val="99"/>
    <w:rsid w:val="00FF04A3"/>
    <w:pPr>
      <w:suppressAutoHyphens w:val="0"/>
      <w:spacing w:before="280" w:after="280"/>
    </w:pPr>
    <w:rPr>
      <w:lang w:eastAsia="es-ES"/>
    </w:rPr>
  </w:style>
  <w:style w:type="paragraph" w:customStyle="1" w:styleId="msonormalcxspmiddle">
    <w:name w:val="msonormalcxspmiddle"/>
    <w:basedOn w:val="Normal"/>
    <w:uiPriority w:val="99"/>
    <w:rsid w:val="00FF04A3"/>
    <w:pPr>
      <w:suppressAutoHyphens w:val="0"/>
      <w:spacing w:before="280" w:after="280"/>
    </w:pPr>
    <w:rPr>
      <w:lang w:eastAsia="es-ES"/>
    </w:rPr>
  </w:style>
  <w:style w:type="paragraph" w:customStyle="1" w:styleId="xmsonormal0">
    <w:name w:val="xmsonormal"/>
    <w:basedOn w:val="Normal"/>
    <w:uiPriority w:val="99"/>
    <w:rsid w:val="00FF04A3"/>
    <w:pPr>
      <w:suppressAutoHyphens w:val="0"/>
    </w:pPr>
    <w:rPr>
      <w:rFonts w:eastAsia="Calibri"/>
      <w:lang w:val="es-CR" w:eastAsia="es-CR"/>
    </w:rPr>
  </w:style>
  <w:style w:type="character" w:customStyle="1" w:styleId="normaltextrun1">
    <w:name w:val="normaltextrun1"/>
    <w:rsid w:val="00FF04A3"/>
  </w:style>
  <w:style w:type="character" w:customStyle="1" w:styleId="Ttulo3Car1">
    <w:name w:val="Título 3 Car1"/>
    <w:aliases w:val="Subtítulos de Hallazgo Car1,Graficos Car1,otros Car1"/>
    <w:uiPriority w:val="9"/>
    <w:semiHidden/>
    <w:rsid w:val="00FF04A3"/>
    <w:rPr>
      <w:rFonts w:ascii="Calibri Light" w:hAnsi="Calibri Light" w:hint="default"/>
      <w:color w:val="1F3763"/>
      <w:lang w:eastAsia="ar-SA"/>
    </w:rPr>
  </w:style>
  <w:style w:type="character" w:styleId="MquinadeescribirHTML">
    <w:name w:val="HTML Typewriter"/>
    <w:uiPriority w:val="99"/>
    <w:unhideWhenUsed/>
    <w:rsid w:val="00FF04A3"/>
    <w:rPr>
      <w:rFonts w:ascii="Courier New" w:eastAsia="Calibri" w:hAnsi="Courier New" w:cs="Courier New" w:hint="default"/>
      <w:sz w:val="20"/>
      <w:szCs w:val="20"/>
    </w:rPr>
  </w:style>
  <w:style w:type="paragraph" w:styleId="Sangranormal">
    <w:name w:val="Normal Indent"/>
    <w:basedOn w:val="Normal"/>
    <w:uiPriority w:val="99"/>
    <w:unhideWhenUsed/>
    <w:rsid w:val="00FF04A3"/>
    <w:pPr>
      <w:suppressAutoHyphens w:val="0"/>
      <w:spacing w:line="360" w:lineRule="auto"/>
      <w:ind w:firstLine="567"/>
      <w:jc w:val="both"/>
    </w:pPr>
    <w:rPr>
      <w:rFonts w:ascii="Courier New" w:eastAsia="Calibri" w:hAnsi="Courier New" w:cs="Courier New"/>
      <w:sz w:val="20"/>
      <w:szCs w:val="20"/>
      <w:lang w:val="es-CR" w:eastAsia="es-ES"/>
    </w:rPr>
  </w:style>
  <w:style w:type="paragraph" w:styleId="Lista4">
    <w:name w:val="List 4"/>
    <w:basedOn w:val="Normal"/>
    <w:uiPriority w:val="99"/>
    <w:unhideWhenUsed/>
    <w:rsid w:val="00FF04A3"/>
    <w:pPr>
      <w:suppressAutoHyphens w:val="0"/>
      <w:ind w:left="1132" w:hanging="283"/>
    </w:pPr>
    <w:rPr>
      <w:rFonts w:eastAsia="Calibri"/>
      <w:sz w:val="20"/>
      <w:szCs w:val="20"/>
      <w:lang w:val="es-CR"/>
    </w:rPr>
  </w:style>
  <w:style w:type="paragraph" w:styleId="Lista5">
    <w:name w:val="List 5"/>
    <w:basedOn w:val="Normal"/>
    <w:uiPriority w:val="99"/>
    <w:unhideWhenUsed/>
    <w:rsid w:val="00FF04A3"/>
    <w:pPr>
      <w:suppressAutoHyphens w:val="0"/>
      <w:ind w:left="1415" w:hanging="283"/>
    </w:pPr>
    <w:rPr>
      <w:rFonts w:eastAsia="Calibri"/>
      <w:sz w:val="20"/>
      <w:szCs w:val="20"/>
      <w:lang w:val="es-CR"/>
    </w:rPr>
  </w:style>
  <w:style w:type="paragraph" w:styleId="Listaconnmeros5">
    <w:name w:val="List Number 5"/>
    <w:basedOn w:val="Normal"/>
    <w:uiPriority w:val="99"/>
    <w:unhideWhenUsed/>
    <w:rsid w:val="00FF04A3"/>
    <w:pPr>
      <w:numPr>
        <w:numId w:val="19"/>
      </w:numPr>
      <w:tabs>
        <w:tab w:val="num" w:pos="360"/>
      </w:tabs>
      <w:suppressAutoHyphens w:val="0"/>
      <w:autoSpaceDE w:val="0"/>
      <w:autoSpaceDN w:val="0"/>
      <w:ind w:left="360"/>
    </w:pPr>
    <w:rPr>
      <w:rFonts w:ascii="Arial" w:eastAsia="Calibri" w:hAnsi="Arial" w:cs="Arial"/>
      <w:lang w:val="es-CR" w:eastAsia="es-ES"/>
    </w:rPr>
  </w:style>
  <w:style w:type="paragraph" w:styleId="Cita0">
    <w:name w:val="Quote"/>
    <w:basedOn w:val="Normal"/>
    <w:link w:val="CitaCar"/>
    <w:uiPriority w:val="99"/>
    <w:qFormat/>
    <w:rsid w:val="00FF04A3"/>
    <w:pPr>
      <w:suppressAutoHyphens w:val="0"/>
      <w:spacing w:after="283"/>
      <w:ind w:left="567" w:right="567"/>
    </w:pPr>
    <w:rPr>
      <w:rFonts w:eastAsia="Calibri"/>
      <w:lang w:val="es-CR"/>
    </w:rPr>
  </w:style>
  <w:style w:type="character" w:customStyle="1" w:styleId="CitaCar">
    <w:name w:val="Cita Car"/>
    <w:basedOn w:val="Fuentedeprrafopredeter"/>
    <w:link w:val="Cita0"/>
    <w:uiPriority w:val="99"/>
    <w:rsid w:val="00FF04A3"/>
    <w:rPr>
      <w:rFonts w:eastAsia="Calibri"/>
      <w:sz w:val="24"/>
      <w:szCs w:val="24"/>
      <w:lang w:val="es-CR" w:eastAsia="ar-SA"/>
    </w:rPr>
  </w:style>
  <w:style w:type="character" w:customStyle="1" w:styleId="ListParagraphChar">
    <w:name w:val="List Paragraph Char"/>
    <w:link w:val="Prrafodelista10"/>
    <w:locked/>
    <w:rsid w:val="00FF04A3"/>
    <w:rPr>
      <w:rFonts w:ascii="Arial" w:hAnsi="Arial" w:cs="Arial"/>
      <w:u w:color="000000"/>
    </w:rPr>
  </w:style>
  <w:style w:type="character" w:customStyle="1" w:styleId="NoSpacingChar">
    <w:name w:val="No Spacing Char"/>
    <w:link w:val="Sinespaciado1"/>
    <w:locked/>
    <w:rsid w:val="00FF04A3"/>
    <w:rPr>
      <w:rFonts w:ascii="Calibri" w:hAnsi="Calibri"/>
      <w:sz w:val="22"/>
      <w:szCs w:val="22"/>
      <w:lang w:val="en-US" w:eastAsia="en-US"/>
    </w:rPr>
  </w:style>
  <w:style w:type="character" w:customStyle="1" w:styleId="SupenEncabezadoCar">
    <w:name w:val="Supen_Encabezado Car"/>
    <w:link w:val="SupenEncabezado"/>
    <w:semiHidden/>
    <w:locked/>
    <w:rsid w:val="00FF04A3"/>
    <w:rPr>
      <w:rFonts w:ascii="Calibri" w:hAnsi="Calibri"/>
    </w:rPr>
  </w:style>
  <w:style w:type="paragraph" w:customStyle="1" w:styleId="SupenEncabezado">
    <w:name w:val="Supen_Encabezado"/>
    <w:basedOn w:val="Normal"/>
    <w:link w:val="SupenEncabezadoCar"/>
    <w:semiHidden/>
    <w:rsid w:val="00FF04A3"/>
    <w:pPr>
      <w:suppressAutoHyphens w:val="0"/>
      <w:spacing w:line="276" w:lineRule="auto"/>
      <w:jc w:val="both"/>
    </w:pPr>
    <w:rPr>
      <w:rFonts w:ascii="Calibri" w:hAnsi="Calibri"/>
      <w:sz w:val="20"/>
      <w:szCs w:val="20"/>
      <w:lang w:eastAsia="es-ES"/>
    </w:rPr>
  </w:style>
  <w:style w:type="paragraph" w:customStyle="1" w:styleId="Textopreformateado0">
    <w:name w:val="Texto preformateado"/>
    <w:basedOn w:val="Normal"/>
    <w:uiPriority w:val="99"/>
    <w:qFormat/>
    <w:rsid w:val="00FF04A3"/>
    <w:pPr>
      <w:suppressAutoHyphens w:val="0"/>
    </w:pPr>
    <w:rPr>
      <w:rFonts w:ascii="Courier New" w:eastAsia="Calibri" w:hAnsi="Courier New" w:cs="Courier New"/>
      <w:sz w:val="20"/>
      <w:szCs w:val="20"/>
      <w:lang w:val="es-CR"/>
    </w:rPr>
  </w:style>
  <w:style w:type="paragraph" w:customStyle="1" w:styleId="CarCar6CarCar">
    <w:name w:val="Car Car6 Car Car"/>
    <w:basedOn w:val="Normal"/>
    <w:uiPriority w:val="99"/>
    <w:semiHidden/>
    <w:rsid w:val="00FF04A3"/>
    <w:pPr>
      <w:suppressAutoHyphens w:val="0"/>
      <w:spacing w:after="160" w:line="240" w:lineRule="exact"/>
    </w:pPr>
    <w:rPr>
      <w:rFonts w:ascii="Verdana" w:eastAsia="Calibri" w:hAnsi="Verdana" w:cs="Calibri"/>
      <w:sz w:val="20"/>
      <w:szCs w:val="20"/>
      <w:lang w:val="es-CR" w:eastAsia="en-US"/>
    </w:rPr>
  </w:style>
  <w:style w:type="paragraph" w:customStyle="1" w:styleId="estilo7">
    <w:name w:val="estilo7"/>
    <w:basedOn w:val="Normal"/>
    <w:uiPriority w:val="99"/>
    <w:semiHidden/>
    <w:rsid w:val="00FF04A3"/>
    <w:pPr>
      <w:suppressAutoHyphens w:val="0"/>
      <w:spacing w:before="100" w:beforeAutospacing="1" w:after="100" w:afterAutospacing="1"/>
    </w:pPr>
    <w:rPr>
      <w:rFonts w:eastAsia="Calibri"/>
      <w:i/>
      <w:iCs/>
      <w:sz w:val="21"/>
      <w:szCs w:val="21"/>
      <w:lang w:val="es-CR" w:eastAsia="es-ES"/>
    </w:rPr>
  </w:style>
  <w:style w:type="paragraph" w:customStyle="1" w:styleId="tabul1">
    <w:name w:val="tabul1"/>
    <w:basedOn w:val="Normal"/>
    <w:uiPriority w:val="99"/>
    <w:semiHidden/>
    <w:rsid w:val="00FF04A3"/>
    <w:pPr>
      <w:shd w:val="clear" w:color="auto" w:fill="FFFFFF"/>
      <w:suppressAutoHyphens w:val="0"/>
      <w:autoSpaceDE w:val="0"/>
      <w:autoSpaceDN w:val="0"/>
      <w:ind w:left="1200" w:right="2" w:hanging="420"/>
      <w:jc w:val="both"/>
    </w:pPr>
    <w:rPr>
      <w:rFonts w:ascii="Helvetica" w:eastAsia="Calibri" w:hAnsi="Helvetica" w:cs="Helvetica"/>
      <w:sz w:val="20"/>
      <w:szCs w:val="20"/>
      <w:lang w:val="es-CR" w:eastAsia="es-ES"/>
    </w:rPr>
  </w:style>
  <w:style w:type="paragraph" w:customStyle="1" w:styleId="style500">
    <w:name w:val="style50"/>
    <w:basedOn w:val="Normal"/>
    <w:uiPriority w:val="99"/>
    <w:semiHidden/>
    <w:rsid w:val="00FF04A3"/>
    <w:pPr>
      <w:suppressAutoHyphens w:val="0"/>
      <w:autoSpaceDE w:val="0"/>
      <w:autoSpaceDN w:val="0"/>
    </w:pPr>
    <w:rPr>
      <w:rFonts w:eastAsia="Calibri"/>
      <w:sz w:val="20"/>
      <w:szCs w:val="20"/>
      <w:lang w:val="es-CR" w:eastAsia="es-ES"/>
    </w:rPr>
  </w:style>
  <w:style w:type="paragraph" w:customStyle="1" w:styleId="style110">
    <w:name w:val="style11"/>
    <w:basedOn w:val="Normal"/>
    <w:uiPriority w:val="99"/>
    <w:semiHidden/>
    <w:rsid w:val="00FF04A3"/>
    <w:pPr>
      <w:suppressAutoHyphens w:val="0"/>
      <w:autoSpaceDE w:val="0"/>
      <w:autoSpaceDN w:val="0"/>
    </w:pPr>
    <w:rPr>
      <w:rFonts w:eastAsia="Calibri"/>
      <w:lang w:val="es-CR" w:eastAsia="es-ES"/>
    </w:rPr>
  </w:style>
  <w:style w:type="paragraph" w:customStyle="1" w:styleId="informal100">
    <w:name w:val="informal10"/>
    <w:basedOn w:val="Normal"/>
    <w:uiPriority w:val="99"/>
    <w:semiHidden/>
    <w:rsid w:val="00FF04A3"/>
    <w:pPr>
      <w:suppressAutoHyphens w:val="0"/>
      <w:overflowPunct w:val="0"/>
      <w:autoSpaceDE w:val="0"/>
      <w:autoSpaceDN w:val="0"/>
      <w:spacing w:before="60" w:after="60"/>
    </w:pPr>
    <w:rPr>
      <w:rFonts w:ascii="Arial" w:eastAsia="Calibri" w:hAnsi="Arial" w:cs="Arial"/>
      <w:sz w:val="20"/>
      <w:szCs w:val="20"/>
      <w:lang w:val="es-CR" w:eastAsia="es-ES"/>
    </w:rPr>
  </w:style>
  <w:style w:type="paragraph" w:customStyle="1" w:styleId="style40">
    <w:name w:val="style40"/>
    <w:basedOn w:val="Normal"/>
    <w:uiPriority w:val="99"/>
    <w:semiHidden/>
    <w:rsid w:val="00FF04A3"/>
    <w:pPr>
      <w:suppressAutoHyphens w:val="0"/>
      <w:autoSpaceDE w:val="0"/>
      <w:autoSpaceDN w:val="0"/>
      <w:spacing w:before="108" w:line="360" w:lineRule="auto"/>
      <w:ind w:left="936" w:hanging="432"/>
      <w:jc w:val="both"/>
    </w:pPr>
    <w:rPr>
      <w:rFonts w:ascii="Tahoma" w:eastAsia="Calibri" w:hAnsi="Tahoma" w:cs="Tahoma"/>
      <w:sz w:val="23"/>
      <w:szCs w:val="23"/>
      <w:lang w:val="es-CR" w:eastAsia="es-ES"/>
    </w:rPr>
  </w:style>
  <w:style w:type="paragraph" w:customStyle="1" w:styleId="style1000">
    <w:name w:val="style100"/>
    <w:basedOn w:val="Normal"/>
    <w:uiPriority w:val="99"/>
    <w:semiHidden/>
    <w:rsid w:val="00FF04A3"/>
    <w:pPr>
      <w:suppressAutoHyphens w:val="0"/>
      <w:autoSpaceDE w:val="0"/>
      <w:autoSpaceDN w:val="0"/>
    </w:pPr>
    <w:rPr>
      <w:rFonts w:eastAsia="Calibri"/>
      <w:lang w:val="es-CR" w:eastAsia="es-ES"/>
    </w:rPr>
  </w:style>
  <w:style w:type="paragraph" w:customStyle="1" w:styleId="style200">
    <w:name w:val="style200"/>
    <w:basedOn w:val="Normal"/>
    <w:uiPriority w:val="99"/>
    <w:semiHidden/>
    <w:rsid w:val="00FF04A3"/>
    <w:pPr>
      <w:suppressAutoHyphens w:val="0"/>
      <w:autoSpaceDE w:val="0"/>
      <w:autoSpaceDN w:val="0"/>
      <w:spacing w:before="216"/>
      <w:ind w:left="936" w:right="576" w:firstLine="720"/>
      <w:jc w:val="both"/>
    </w:pPr>
    <w:rPr>
      <w:rFonts w:eastAsia="Calibri"/>
      <w:b/>
      <w:bCs/>
      <w:lang w:val="es-CR" w:eastAsia="es-ES"/>
    </w:rPr>
  </w:style>
  <w:style w:type="paragraph" w:customStyle="1" w:styleId="listparagraphcxsplast">
    <w:name w:val="listparagraphcxsplast"/>
    <w:basedOn w:val="Normal"/>
    <w:uiPriority w:val="99"/>
    <w:semiHidden/>
    <w:rsid w:val="00FF04A3"/>
    <w:pPr>
      <w:suppressAutoHyphens w:val="0"/>
      <w:spacing w:before="100" w:beforeAutospacing="1" w:after="100" w:afterAutospacing="1"/>
    </w:pPr>
    <w:rPr>
      <w:rFonts w:eastAsia="Calibri"/>
      <w:lang w:val="es-CR" w:eastAsia="es-ES"/>
    </w:rPr>
  </w:style>
  <w:style w:type="paragraph" w:customStyle="1" w:styleId="style41">
    <w:name w:val="style41"/>
    <w:basedOn w:val="Normal"/>
    <w:uiPriority w:val="99"/>
    <w:semiHidden/>
    <w:rsid w:val="00FF04A3"/>
    <w:pPr>
      <w:suppressAutoHyphens w:val="0"/>
      <w:autoSpaceDE w:val="0"/>
      <w:autoSpaceDN w:val="0"/>
      <w:spacing w:line="388" w:lineRule="atLeast"/>
      <w:jc w:val="both"/>
    </w:pPr>
    <w:rPr>
      <w:rFonts w:ascii="Bookman Old Style" w:eastAsia="Calibri" w:hAnsi="Bookman Old Style" w:cs="Calibri"/>
      <w:lang w:val="es-CR" w:eastAsia="es-ES"/>
    </w:rPr>
  </w:style>
  <w:style w:type="paragraph" w:customStyle="1" w:styleId="car12">
    <w:name w:val="car1"/>
    <w:basedOn w:val="Normal"/>
    <w:uiPriority w:val="99"/>
    <w:semiHidden/>
    <w:rsid w:val="00FF04A3"/>
    <w:pPr>
      <w:suppressAutoHyphens w:val="0"/>
      <w:spacing w:after="160" w:line="240" w:lineRule="atLeast"/>
    </w:pPr>
    <w:rPr>
      <w:rFonts w:ascii="Verdana" w:eastAsia="Calibri" w:hAnsi="Verdana" w:cs="Calibri"/>
      <w:sz w:val="20"/>
      <w:szCs w:val="20"/>
      <w:lang w:val="es-CR" w:eastAsia="es-ES"/>
    </w:rPr>
  </w:style>
  <w:style w:type="paragraph" w:customStyle="1" w:styleId="WW-Encabezado21">
    <w:name w:val="WW-Encabezado 2"/>
    <w:basedOn w:val="Normal"/>
    <w:uiPriority w:val="99"/>
    <w:semiHidden/>
    <w:rsid w:val="00FF04A3"/>
    <w:pPr>
      <w:keepNext/>
      <w:suppressAutoHyphens w:val="0"/>
      <w:autoSpaceDE w:val="0"/>
      <w:spacing w:before="240" w:after="120"/>
    </w:pPr>
    <w:rPr>
      <w:rFonts w:ascii="Arial" w:eastAsia="Calibri" w:hAnsi="Arial" w:cs="Arial"/>
      <w:b/>
      <w:bCs/>
      <w:i/>
      <w:iCs/>
      <w:sz w:val="28"/>
      <w:szCs w:val="28"/>
      <w:lang w:val="es-CR" w:eastAsia="zh-CN"/>
    </w:rPr>
  </w:style>
  <w:style w:type="paragraph" w:customStyle="1" w:styleId="Style42">
    <w:name w:val="Style 4"/>
    <w:basedOn w:val="Normal"/>
    <w:uiPriority w:val="99"/>
    <w:semiHidden/>
    <w:rsid w:val="00FF04A3"/>
    <w:pPr>
      <w:suppressAutoHyphens w:val="0"/>
      <w:autoSpaceDE w:val="0"/>
      <w:autoSpaceDN w:val="0"/>
    </w:pPr>
    <w:rPr>
      <w:rFonts w:eastAsia="Calibri"/>
      <w:lang w:val="es-CR" w:eastAsia="es-ES"/>
    </w:rPr>
  </w:style>
  <w:style w:type="paragraph" w:customStyle="1" w:styleId="Style80">
    <w:name w:val="Style 8"/>
    <w:basedOn w:val="Normal"/>
    <w:uiPriority w:val="99"/>
    <w:semiHidden/>
    <w:rsid w:val="00FF04A3"/>
    <w:pPr>
      <w:suppressAutoHyphens w:val="0"/>
      <w:autoSpaceDE w:val="0"/>
      <w:autoSpaceDN w:val="0"/>
      <w:spacing w:before="108" w:line="360" w:lineRule="auto"/>
      <w:jc w:val="both"/>
    </w:pPr>
    <w:rPr>
      <w:rFonts w:ascii="Arial" w:eastAsia="Calibri" w:hAnsi="Arial" w:cs="Arial"/>
      <w:sz w:val="21"/>
      <w:szCs w:val="21"/>
      <w:lang w:val="es-CR" w:eastAsia="es-ES"/>
    </w:rPr>
  </w:style>
  <w:style w:type="paragraph" w:customStyle="1" w:styleId="Style7">
    <w:name w:val="Style 7"/>
    <w:basedOn w:val="Normal"/>
    <w:uiPriority w:val="99"/>
    <w:semiHidden/>
    <w:rsid w:val="00FF04A3"/>
    <w:pPr>
      <w:suppressAutoHyphens w:val="0"/>
      <w:autoSpaceDE w:val="0"/>
      <w:autoSpaceDN w:val="0"/>
    </w:pPr>
    <w:rPr>
      <w:rFonts w:eastAsia="Calibri"/>
      <w:sz w:val="20"/>
      <w:szCs w:val="20"/>
      <w:lang w:val="es-CR" w:eastAsia="es-ES"/>
    </w:rPr>
  </w:style>
  <w:style w:type="paragraph" w:customStyle="1" w:styleId="Style22">
    <w:name w:val="Style 2"/>
    <w:basedOn w:val="Normal"/>
    <w:uiPriority w:val="99"/>
    <w:semiHidden/>
    <w:rsid w:val="00FF04A3"/>
    <w:pPr>
      <w:suppressAutoHyphens w:val="0"/>
      <w:autoSpaceDE w:val="0"/>
      <w:autoSpaceDN w:val="0"/>
      <w:spacing w:before="108" w:line="384" w:lineRule="exact"/>
      <w:ind w:left="72" w:right="72" w:firstLine="72"/>
      <w:jc w:val="both"/>
    </w:pPr>
    <w:rPr>
      <w:rFonts w:eastAsia="Calibri"/>
      <w:lang w:val="es-CR" w:eastAsia="es-ES"/>
    </w:rPr>
  </w:style>
  <w:style w:type="paragraph" w:customStyle="1" w:styleId="Style210">
    <w:name w:val="Style 21"/>
    <w:basedOn w:val="Normal"/>
    <w:uiPriority w:val="99"/>
    <w:semiHidden/>
    <w:rsid w:val="00FF04A3"/>
    <w:pPr>
      <w:suppressAutoHyphens w:val="0"/>
      <w:autoSpaceDE w:val="0"/>
      <w:autoSpaceDN w:val="0"/>
    </w:pPr>
    <w:rPr>
      <w:rFonts w:eastAsia="Calibri"/>
      <w:sz w:val="20"/>
      <w:szCs w:val="20"/>
      <w:lang w:val="es-CR" w:eastAsia="es-ES"/>
    </w:rPr>
  </w:style>
  <w:style w:type="paragraph" w:customStyle="1" w:styleId="Style31">
    <w:name w:val="Style 3"/>
    <w:basedOn w:val="Normal"/>
    <w:uiPriority w:val="99"/>
    <w:semiHidden/>
    <w:rsid w:val="00FF04A3"/>
    <w:pPr>
      <w:suppressAutoHyphens w:val="0"/>
      <w:autoSpaceDE w:val="0"/>
      <w:autoSpaceDN w:val="0"/>
      <w:spacing w:before="108" w:line="360" w:lineRule="auto"/>
      <w:ind w:right="72" w:firstLine="72"/>
      <w:jc w:val="both"/>
    </w:pPr>
    <w:rPr>
      <w:rFonts w:eastAsia="Calibri"/>
      <w:lang w:val="es-CR" w:eastAsia="es-ES"/>
    </w:rPr>
  </w:style>
  <w:style w:type="paragraph" w:customStyle="1" w:styleId="CharCarCarChar">
    <w:name w:val="Char Car Car Char"/>
    <w:basedOn w:val="Normal"/>
    <w:uiPriority w:val="99"/>
    <w:semiHidden/>
    <w:rsid w:val="00FF04A3"/>
    <w:pPr>
      <w:suppressAutoHyphens w:val="0"/>
      <w:spacing w:after="160" w:line="240" w:lineRule="exact"/>
    </w:pPr>
    <w:rPr>
      <w:rFonts w:eastAsia="Calibri"/>
      <w:sz w:val="20"/>
      <w:szCs w:val="20"/>
      <w:lang w:val="es-CR" w:eastAsia="en-US"/>
    </w:rPr>
  </w:style>
  <w:style w:type="paragraph" w:customStyle="1" w:styleId="Contenidodelista">
    <w:name w:val="Contenido de lista"/>
    <w:basedOn w:val="Normal"/>
    <w:uiPriority w:val="99"/>
    <w:semiHidden/>
    <w:rsid w:val="00FF04A3"/>
    <w:pPr>
      <w:suppressAutoHyphens w:val="0"/>
      <w:overflowPunct w:val="0"/>
      <w:autoSpaceDE w:val="0"/>
      <w:autoSpaceDN w:val="0"/>
      <w:ind w:left="567"/>
    </w:pPr>
    <w:rPr>
      <w:rFonts w:ascii="Nimbus Roman No9 L" w:eastAsia="Calibri" w:hAnsi="Nimbus Roman No9 L" w:cs="Calibri"/>
      <w:lang w:val="es-CR" w:eastAsia="es-ES"/>
    </w:rPr>
  </w:style>
  <w:style w:type="paragraph" w:customStyle="1" w:styleId="Encabezamientodelista">
    <w:name w:val="Encabezamiento de lista"/>
    <w:basedOn w:val="Normal"/>
    <w:uiPriority w:val="99"/>
    <w:semiHidden/>
    <w:rsid w:val="00FF04A3"/>
    <w:pPr>
      <w:suppressAutoHyphens w:val="0"/>
      <w:overflowPunct w:val="0"/>
      <w:autoSpaceDE w:val="0"/>
      <w:autoSpaceDN w:val="0"/>
    </w:pPr>
    <w:rPr>
      <w:rFonts w:ascii="Nimbus Roman No9 L" w:eastAsia="Calibri" w:hAnsi="Nimbus Roman No9 L" w:cs="Calibri"/>
      <w:lang w:val="es-CR" w:eastAsia="es-ES"/>
    </w:rPr>
  </w:style>
  <w:style w:type="character" w:customStyle="1" w:styleId="Estilo2Car">
    <w:name w:val="Estilo2 Car"/>
    <w:link w:val="Estilo20"/>
    <w:semiHidden/>
    <w:locked/>
    <w:rsid w:val="00FF04A3"/>
    <w:rPr>
      <w:rFonts w:ascii="Arial" w:hAnsi="Arial" w:cs="Arial"/>
    </w:rPr>
  </w:style>
  <w:style w:type="paragraph" w:customStyle="1" w:styleId="Estilo20">
    <w:name w:val="Estilo2"/>
    <w:basedOn w:val="Normal"/>
    <w:link w:val="Estilo2Car"/>
    <w:semiHidden/>
    <w:rsid w:val="00FF04A3"/>
    <w:pPr>
      <w:suppressAutoHyphens w:val="0"/>
      <w:autoSpaceDE w:val="0"/>
      <w:autoSpaceDN w:val="0"/>
    </w:pPr>
    <w:rPr>
      <w:rFonts w:ascii="Arial" w:hAnsi="Arial" w:cs="Arial"/>
      <w:sz w:val="20"/>
      <w:szCs w:val="20"/>
      <w:lang w:eastAsia="es-ES"/>
    </w:rPr>
  </w:style>
  <w:style w:type="paragraph" w:customStyle="1" w:styleId="NormaldespesTabla0">
    <w:name w:val="Normal despúes Tabla"/>
    <w:basedOn w:val="Normal"/>
    <w:uiPriority w:val="99"/>
    <w:semiHidden/>
    <w:rsid w:val="00FF04A3"/>
    <w:pPr>
      <w:suppressAutoHyphens w:val="0"/>
      <w:autoSpaceDE w:val="0"/>
      <w:autoSpaceDN w:val="0"/>
      <w:spacing w:before="120" w:after="120"/>
      <w:ind w:left="851"/>
      <w:jc w:val="both"/>
    </w:pPr>
    <w:rPr>
      <w:rFonts w:ascii="Tahoma" w:eastAsia="Calibri" w:hAnsi="Tahoma" w:cs="Tahoma"/>
      <w:sz w:val="20"/>
      <w:szCs w:val="20"/>
      <w:lang w:val="es-CR" w:eastAsia="es-ES"/>
    </w:rPr>
  </w:style>
  <w:style w:type="paragraph" w:customStyle="1" w:styleId="Ttulo62">
    <w:name w:val="T’tulo 6"/>
    <w:basedOn w:val="Normal"/>
    <w:uiPriority w:val="99"/>
    <w:semiHidden/>
    <w:rsid w:val="00FF04A3"/>
    <w:pPr>
      <w:keepNext/>
      <w:suppressAutoHyphens w:val="0"/>
      <w:autoSpaceDE w:val="0"/>
      <w:autoSpaceDN w:val="0"/>
      <w:jc w:val="center"/>
    </w:pPr>
    <w:rPr>
      <w:rFonts w:ascii="Arial" w:eastAsia="Calibri" w:hAnsi="Arial" w:cs="Arial"/>
      <w:b/>
      <w:bCs/>
      <w:spacing w:val="-3"/>
      <w:sz w:val="22"/>
      <w:szCs w:val="22"/>
      <w:lang w:val="es-CR" w:eastAsia="es-ES"/>
    </w:rPr>
  </w:style>
  <w:style w:type="paragraph" w:customStyle="1" w:styleId="Piedepgina1">
    <w:name w:val="Pie de p‡gina"/>
    <w:basedOn w:val="Normal"/>
    <w:uiPriority w:val="99"/>
    <w:semiHidden/>
    <w:rsid w:val="00FF04A3"/>
    <w:pPr>
      <w:suppressAutoHyphens w:val="0"/>
      <w:autoSpaceDE w:val="0"/>
      <w:autoSpaceDN w:val="0"/>
    </w:pPr>
    <w:rPr>
      <w:rFonts w:ascii="Arial" w:eastAsia="Calibri" w:hAnsi="Arial" w:cs="Arial"/>
      <w:lang w:val="es-CR" w:eastAsia="es-ES"/>
    </w:rPr>
  </w:style>
  <w:style w:type="paragraph" w:customStyle="1" w:styleId="NormalTabla0">
    <w:name w:val="Normal Tabla"/>
    <w:basedOn w:val="Normal"/>
    <w:uiPriority w:val="99"/>
    <w:semiHidden/>
    <w:rsid w:val="00FF04A3"/>
    <w:pPr>
      <w:suppressAutoHyphens w:val="0"/>
      <w:autoSpaceDE w:val="0"/>
      <w:autoSpaceDN w:val="0"/>
      <w:spacing w:before="60" w:after="60"/>
    </w:pPr>
    <w:rPr>
      <w:rFonts w:ascii="Tahoma" w:eastAsia="Calibri" w:hAnsi="Tahoma" w:cs="Tahoma"/>
      <w:sz w:val="18"/>
      <w:szCs w:val="18"/>
      <w:lang w:val="es-CR" w:eastAsia="es-ES"/>
    </w:rPr>
  </w:style>
  <w:style w:type="paragraph" w:customStyle="1" w:styleId="NormalTabla100">
    <w:name w:val="Normal Tabla 10"/>
    <w:basedOn w:val="Normal"/>
    <w:uiPriority w:val="99"/>
    <w:semiHidden/>
    <w:rsid w:val="00FF04A3"/>
    <w:pPr>
      <w:suppressAutoHyphens w:val="0"/>
      <w:autoSpaceDE w:val="0"/>
      <w:autoSpaceDN w:val="0"/>
      <w:spacing w:before="60" w:after="60"/>
    </w:pPr>
    <w:rPr>
      <w:rFonts w:ascii="Tahoma" w:eastAsia="Calibri" w:hAnsi="Tahoma" w:cs="Tahoma"/>
      <w:sz w:val="20"/>
      <w:szCs w:val="20"/>
      <w:lang w:val="es-CR" w:eastAsia="es-ES"/>
    </w:rPr>
  </w:style>
  <w:style w:type="paragraph" w:customStyle="1" w:styleId="Ttulo54">
    <w:name w:val="T’tulo 5"/>
    <w:basedOn w:val="Normal"/>
    <w:uiPriority w:val="99"/>
    <w:semiHidden/>
    <w:rsid w:val="00FF04A3"/>
    <w:pPr>
      <w:keepNext/>
      <w:suppressAutoHyphens w:val="0"/>
      <w:autoSpaceDE w:val="0"/>
      <w:autoSpaceDN w:val="0"/>
      <w:jc w:val="both"/>
    </w:pPr>
    <w:rPr>
      <w:rFonts w:ascii="Arial" w:eastAsia="Calibri" w:hAnsi="Arial" w:cs="Arial"/>
      <w:b/>
      <w:bCs/>
      <w:spacing w:val="-3"/>
      <w:lang w:val="es-CR" w:eastAsia="es-ES"/>
    </w:rPr>
  </w:style>
  <w:style w:type="paragraph" w:customStyle="1" w:styleId="CapituloNombre0">
    <w:name w:val="Capitulo Nombre"/>
    <w:basedOn w:val="Normal"/>
    <w:uiPriority w:val="99"/>
    <w:semiHidden/>
    <w:rsid w:val="00FF04A3"/>
    <w:pPr>
      <w:suppressAutoHyphens w:val="0"/>
      <w:autoSpaceDE w:val="0"/>
      <w:autoSpaceDN w:val="0"/>
      <w:spacing w:before="120" w:after="480"/>
      <w:jc w:val="center"/>
    </w:pPr>
    <w:rPr>
      <w:rFonts w:ascii="Tahoma" w:eastAsia="Calibri" w:hAnsi="Tahoma" w:cs="Tahoma"/>
      <w:b/>
      <w:bCs/>
      <w:smallCaps/>
      <w:color w:val="800000"/>
      <w:sz w:val="40"/>
      <w:szCs w:val="40"/>
      <w:lang w:val="es-CR" w:eastAsia="es-ES"/>
    </w:rPr>
  </w:style>
  <w:style w:type="paragraph" w:customStyle="1" w:styleId="NormalNegrita0">
    <w:name w:val="Normal Negrita"/>
    <w:basedOn w:val="Normal"/>
    <w:uiPriority w:val="99"/>
    <w:semiHidden/>
    <w:rsid w:val="00FF04A3"/>
    <w:pPr>
      <w:keepNext/>
      <w:suppressAutoHyphens w:val="0"/>
      <w:autoSpaceDE w:val="0"/>
      <w:autoSpaceDN w:val="0"/>
      <w:spacing w:before="120" w:after="120"/>
      <w:ind w:left="851"/>
      <w:jc w:val="both"/>
    </w:pPr>
    <w:rPr>
      <w:rFonts w:ascii="Tahoma" w:eastAsia="Calibri" w:hAnsi="Tahoma" w:cs="Tahoma"/>
      <w:b/>
      <w:bCs/>
      <w:sz w:val="20"/>
      <w:szCs w:val="20"/>
      <w:lang w:val="es-CR" w:eastAsia="es-ES"/>
    </w:rPr>
  </w:style>
  <w:style w:type="paragraph" w:customStyle="1" w:styleId="Figura0">
    <w:name w:val="Figura"/>
    <w:basedOn w:val="Normal"/>
    <w:uiPriority w:val="99"/>
    <w:semiHidden/>
    <w:rsid w:val="00FF04A3"/>
    <w:pPr>
      <w:suppressAutoHyphens w:val="0"/>
      <w:autoSpaceDE w:val="0"/>
      <w:autoSpaceDN w:val="0"/>
      <w:spacing w:before="60"/>
      <w:ind w:left="851"/>
      <w:jc w:val="center"/>
    </w:pPr>
    <w:rPr>
      <w:rFonts w:ascii="Tahoma" w:eastAsia="Calibri" w:hAnsi="Tahoma" w:cs="Tahoma"/>
      <w:sz w:val="20"/>
      <w:szCs w:val="20"/>
      <w:lang w:val="es-CR" w:eastAsia="es-ES"/>
    </w:rPr>
  </w:style>
  <w:style w:type="paragraph" w:customStyle="1" w:styleId="Nombredireccininterior">
    <w:name w:val="Nombre dirección interior"/>
    <w:basedOn w:val="Normal"/>
    <w:uiPriority w:val="99"/>
    <w:semiHidden/>
    <w:rsid w:val="00FF04A3"/>
    <w:pPr>
      <w:suppressAutoHyphens w:val="0"/>
      <w:spacing w:before="220" w:line="240" w:lineRule="atLeast"/>
      <w:jc w:val="both"/>
    </w:pPr>
    <w:rPr>
      <w:rFonts w:ascii="Arial" w:eastAsia="Calibri" w:hAnsi="Arial" w:cs="Arial"/>
      <w:lang w:val="es-CR"/>
    </w:rPr>
  </w:style>
  <w:style w:type="paragraph" w:customStyle="1" w:styleId="Sangranormal1">
    <w:name w:val="Sangría normal1"/>
    <w:basedOn w:val="Normal"/>
    <w:uiPriority w:val="99"/>
    <w:semiHidden/>
    <w:rsid w:val="00FF04A3"/>
    <w:pPr>
      <w:suppressAutoHyphens w:val="0"/>
      <w:spacing w:line="360" w:lineRule="auto"/>
      <w:ind w:firstLine="567"/>
      <w:jc w:val="both"/>
    </w:pPr>
    <w:rPr>
      <w:rFonts w:ascii="Courier New" w:eastAsia="Calibri" w:hAnsi="Courier New" w:cs="Courier New"/>
      <w:sz w:val="20"/>
      <w:szCs w:val="20"/>
      <w:lang w:val="es-CR"/>
    </w:rPr>
  </w:style>
  <w:style w:type="paragraph" w:customStyle="1" w:styleId="Textocomentario10">
    <w:name w:val="Texto comentario1"/>
    <w:basedOn w:val="Normal"/>
    <w:uiPriority w:val="99"/>
    <w:rsid w:val="00FF04A3"/>
    <w:pPr>
      <w:suppressAutoHyphens w:val="0"/>
    </w:pPr>
    <w:rPr>
      <w:rFonts w:eastAsia="Calibri"/>
      <w:sz w:val="20"/>
      <w:szCs w:val="20"/>
      <w:lang w:val="es-CR"/>
    </w:rPr>
  </w:style>
  <w:style w:type="paragraph" w:customStyle="1" w:styleId="Listaconvietas210">
    <w:name w:val="Lista con viñetas 21"/>
    <w:basedOn w:val="Normal"/>
    <w:uiPriority w:val="99"/>
    <w:semiHidden/>
    <w:rsid w:val="00FF04A3"/>
    <w:pPr>
      <w:suppressAutoHyphens w:val="0"/>
      <w:autoSpaceDE w:val="0"/>
      <w:spacing w:before="60" w:after="60"/>
      <w:ind w:left="1565" w:hanging="357"/>
      <w:jc w:val="both"/>
    </w:pPr>
    <w:rPr>
      <w:rFonts w:ascii="Tahoma" w:eastAsia="Calibri" w:hAnsi="Tahoma" w:cs="Tahoma"/>
      <w:sz w:val="20"/>
      <w:szCs w:val="20"/>
      <w:lang w:val="es-CR"/>
    </w:rPr>
  </w:style>
  <w:style w:type="paragraph" w:customStyle="1" w:styleId="Listaconnmeros21">
    <w:name w:val="Lista con números 21"/>
    <w:basedOn w:val="Normal"/>
    <w:uiPriority w:val="99"/>
    <w:semiHidden/>
    <w:rsid w:val="00FF04A3"/>
    <w:pPr>
      <w:suppressAutoHyphens w:val="0"/>
      <w:autoSpaceDE w:val="0"/>
      <w:ind w:left="720" w:hanging="360"/>
    </w:pPr>
    <w:rPr>
      <w:rFonts w:ascii="Arial" w:eastAsia="Calibri" w:hAnsi="Arial" w:cs="Arial"/>
      <w:lang w:val="es-CR"/>
    </w:rPr>
  </w:style>
  <w:style w:type="paragraph" w:customStyle="1" w:styleId="Listaconnmeros51">
    <w:name w:val="Lista con números 51"/>
    <w:basedOn w:val="Normal"/>
    <w:uiPriority w:val="99"/>
    <w:semiHidden/>
    <w:rsid w:val="00FF04A3"/>
    <w:pPr>
      <w:suppressAutoHyphens w:val="0"/>
      <w:autoSpaceDE w:val="0"/>
      <w:ind w:left="1492" w:hanging="360"/>
    </w:pPr>
    <w:rPr>
      <w:rFonts w:ascii="Arial" w:eastAsia="Calibri" w:hAnsi="Arial" w:cs="Arial"/>
      <w:lang w:val="es-CR"/>
    </w:rPr>
  </w:style>
  <w:style w:type="paragraph" w:customStyle="1" w:styleId="Continuarlista10">
    <w:name w:val="Continuar lista1"/>
    <w:basedOn w:val="Normal"/>
    <w:uiPriority w:val="99"/>
    <w:semiHidden/>
    <w:rsid w:val="00FF04A3"/>
    <w:pPr>
      <w:suppressAutoHyphens w:val="0"/>
      <w:autoSpaceDE w:val="0"/>
      <w:spacing w:before="60" w:after="60"/>
      <w:ind w:left="1208"/>
      <w:jc w:val="both"/>
    </w:pPr>
    <w:rPr>
      <w:rFonts w:ascii="Tahoma" w:eastAsia="Calibri" w:hAnsi="Tahoma" w:cs="Tahoma"/>
      <w:sz w:val="20"/>
      <w:szCs w:val="20"/>
      <w:lang w:val="es-CR"/>
    </w:rPr>
  </w:style>
  <w:style w:type="paragraph" w:customStyle="1" w:styleId="Textoindependienteprimerasangra210">
    <w:name w:val="Texto independiente primera sangría 21"/>
    <w:basedOn w:val="Normal"/>
    <w:uiPriority w:val="99"/>
    <w:semiHidden/>
    <w:rsid w:val="00FF04A3"/>
    <w:pPr>
      <w:suppressAutoHyphens w:val="0"/>
      <w:spacing w:after="120"/>
      <w:ind w:left="283" w:firstLine="210"/>
    </w:pPr>
    <w:rPr>
      <w:rFonts w:eastAsia="Calibri"/>
      <w:lang w:val="es-CR"/>
    </w:rPr>
  </w:style>
  <w:style w:type="paragraph" w:customStyle="1" w:styleId="Mapadeldocumento10">
    <w:name w:val="Mapa del documento1"/>
    <w:basedOn w:val="Normal"/>
    <w:uiPriority w:val="99"/>
    <w:rsid w:val="00FF04A3"/>
    <w:pPr>
      <w:shd w:val="clear" w:color="auto" w:fill="000080"/>
      <w:suppressAutoHyphens w:val="0"/>
      <w:autoSpaceDE w:val="0"/>
    </w:pPr>
    <w:rPr>
      <w:rFonts w:ascii="Tahoma" w:eastAsia="Calibri" w:hAnsi="Tahoma" w:cs="Tahoma"/>
      <w:color w:val="000000"/>
      <w:sz w:val="20"/>
      <w:szCs w:val="20"/>
      <w:lang w:val="es-CR"/>
    </w:rPr>
  </w:style>
  <w:style w:type="paragraph" w:customStyle="1" w:styleId="encabezamientodelista0">
    <w:name w:val="encabezamientodelista"/>
    <w:basedOn w:val="Normal"/>
    <w:uiPriority w:val="99"/>
    <w:semiHidden/>
    <w:rsid w:val="00FF04A3"/>
    <w:pPr>
      <w:suppressAutoHyphens w:val="0"/>
      <w:overflowPunct w:val="0"/>
      <w:autoSpaceDE w:val="0"/>
    </w:pPr>
    <w:rPr>
      <w:rFonts w:ascii="Nimbus Roman No9 L" w:eastAsia="Calibri" w:hAnsi="Nimbus Roman No9 L" w:cs="Calibri"/>
      <w:lang w:val="es-CR"/>
    </w:rPr>
  </w:style>
  <w:style w:type="paragraph" w:customStyle="1" w:styleId="contenidodelista0">
    <w:name w:val="contenidodelista"/>
    <w:basedOn w:val="Normal"/>
    <w:uiPriority w:val="99"/>
    <w:semiHidden/>
    <w:rsid w:val="00FF04A3"/>
    <w:pPr>
      <w:suppressAutoHyphens w:val="0"/>
      <w:overflowPunct w:val="0"/>
      <w:autoSpaceDE w:val="0"/>
      <w:ind w:left="567"/>
    </w:pPr>
    <w:rPr>
      <w:rFonts w:ascii="Nimbus Roman No9 L" w:eastAsia="Calibri" w:hAnsi="Nimbus Roman No9 L" w:cs="Calibri"/>
      <w:lang w:val="es-CR"/>
    </w:rPr>
  </w:style>
  <w:style w:type="paragraph" w:customStyle="1" w:styleId="nombredireccininterior0">
    <w:name w:val="nombredireccininterior"/>
    <w:basedOn w:val="Normal"/>
    <w:uiPriority w:val="99"/>
    <w:semiHidden/>
    <w:rsid w:val="00FF04A3"/>
    <w:pPr>
      <w:suppressAutoHyphens w:val="0"/>
      <w:spacing w:before="220" w:line="240" w:lineRule="atLeast"/>
      <w:jc w:val="both"/>
    </w:pPr>
    <w:rPr>
      <w:rFonts w:ascii="Arial" w:eastAsia="Calibri" w:hAnsi="Arial" w:cs="Arial"/>
      <w:lang w:val="es-CR"/>
    </w:rPr>
  </w:style>
  <w:style w:type="paragraph" w:customStyle="1" w:styleId="carcarcarcarcarcar0">
    <w:name w:val="carcarcarcarcarcar"/>
    <w:basedOn w:val="Normal"/>
    <w:uiPriority w:val="99"/>
    <w:semiHidden/>
    <w:rsid w:val="00FF04A3"/>
    <w:pPr>
      <w:suppressAutoHyphens w:val="0"/>
      <w:spacing w:after="160" w:line="240" w:lineRule="atLeast"/>
    </w:pPr>
    <w:rPr>
      <w:rFonts w:ascii="Verdana" w:eastAsia="Calibri" w:hAnsi="Verdana" w:cs="Calibri"/>
      <w:sz w:val="20"/>
      <w:szCs w:val="20"/>
      <w:lang w:val="es-CR"/>
    </w:rPr>
  </w:style>
  <w:style w:type="paragraph" w:customStyle="1" w:styleId="preformattedtext">
    <w:name w:val="preformattedtext"/>
    <w:basedOn w:val="Normal"/>
    <w:uiPriority w:val="99"/>
    <w:semiHidden/>
    <w:rsid w:val="00FF04A3"/>
    <w:pPr>
      <w:suppressAutoHyphens w:val="0"/>
      <w:autoSpaceDE w:val="0"/>
    </w:pPr>
    <w:rPr>
      <w:rFonts w:ascii="Courier New" w:eastAsia="Calibri" w:hAnsi="Courier New" w:cs="Courier New"/>
      <w:sz w:val="20"/>
      <w:szCs w:val="20"/>
      <w:lang w:val="es-CR"/>
    </w:rPr>
  </w:style>
  <w:style w:type="paragraph" w:customStyle="1" w:styleId="cont">
    <w:name w:val="cont"/>
    <w:basedOn w:val="Normal"/>
    <w:uiPriority w:val="99"/>
    <w:semiHidden/>
    <w:rsid w:val="00FF04A3"/>
    <w:pPr>
      <w:suppressAutoHyphens w:val="0"/>
      <w:spacing w:before="280" w:after="280"/>
    </w:pPr>
    <w:rPr>
      <w:rFonts w:eastAsia="Calibri"/>
      <w:color w:val="000000"/>
      <w:sz w:val="20"/>
      <w:szCs w:val="20"/>
      <w:lang w:val="es-CR"/>
    </w:rPr>
  </w:style>
  <w:style w:type="paragraph" w:customStyle="1" w:styleId="charchar000">
    <w:name w:val="charchar00"/>
    <w:basedOn w:val="Normal"/>
    <w:uiPriority w:val="99"/>
    <w:semiHidden/>
    <w:rsid w:val="00FF04A3"/>
    <w:pPr>
      <w:suppressAutoHyphens w:val="0"/>
      <w:spacing w:after="160" w:line="240" w:lineRule="atLeast"/>
    </w:pPr>
    <w:rPr>
      <w:rFonts w:ascii="Verdana" w:eastAsia="Calibri" w:hAnsi="Verdana" w:cs="Calibri"/>
      <w:sz w:val="20"/>
      <w:szCs w:val="20"/>
      <w:lang w:val="es-CR"/>
    </w:rPr>
  </w:style>
  <w:style w:type="paragraph" w:customStyle="1" w:styleId="derechos">
    <w:name w:val="derechos"/>
    <w:basedOn w:val="Normal"/>
    <w:uiPriority w:val="99"/>
    <w:semiHidden/>
    <w:rsid w:val="00FF04A3"/>
    <w:pPr>
      <w:suppressAutoHyphens w:val="0"/>
      <w:autoSpaceDE w:val="0"/>
      <w:jc w:val="both"/>
    </w:pPr>
    <w:rPr>
      <w:rFonts w:ascii="Helvetica" w:eastAsia="Calibri" w:hAnsi="Helvetica" w:cs="Helvetica"/>
      <w:sz w:val="20"/>
      <w:szCs w:val="20"/>
      <w:lang w:val="es-CR"/>
    </w:rPr>
  </w:style>
  <w:style w:type="paragraph" w:customStyle="1" w:styleId="car000">
    <w:name w:val="car00"/>
    <w:basedOn w:val="Normal"/>
    <w:uiPriority w:val="99"/>
    <w:semiHidden/>
    <w:rsid w:val="00FF04A3"/>
    <w:pPr>
      <w:suppressAutoHyphens w:val="0"/>
      <w:spacing w:after="160" w:line="240" w:lineRule="atLeast"/>
    </w:pPr>
    <w:rPr>
      <w:rFonts w:ascii="Verdana" w:eastAsia="Calibri" w:hAnsi="Verdana" w:cs="Calibri"/>
      <w:sz w:val="20"/>
      <w:szCs w:val="20"/>
      <w:lang w:val="es-CR"/>
    </w:rPr>
  </w:style>
  <w:style w:type="paragraph" w:customStyle="1" w:styleId="cuadrculamedia1-nfasis21">
    <w:name w:val="cuadrculamedia1-nfasis21"/>
    <w:basedOn w:val="Normal"/>
    <w:uiPriority w:val="99"/>
    <w:semiHidden/>
    <w:rsid w:val="00FF04A3"/>
    <w:pPr>
      <w:suppressAutoHyphens w:val="0"/>
      <w:ind w:left="720"/>
      <w:jc w:val="both"/>
    </w:pPr>
    <w:rPr>
      <w:rFonts w:eastAsia="Calibri"/>
      <w:lang w:val="es-CR"/>
    </w:rPr>
  </w:style>
  <w:style w:type="paragraph" w:customStyle="1" w:styleId="colorfullist-accent11">
    <w:name w:val="colorfullist-accent11"/>
    <w:basedOn w:val="Normal"/>
    <w:uiPriority w:val="99"/>
    <w:semiHidden/>
    <w:rsid w:val="00FF04A3"/>
    <w:pPr>
      <w:suppressAutoHyphens w:val="0"/>
      <w:ind w:left="720"/>
      <w:jc w:val="both"/>
    </w:pPr>
    <w:rPr>
      <w:rFonts w:eastAsia="Calibri"/>
      <w:lang w:val="es-CR"/>
    </w:rPr>
  </w:style>
  <w:style w:type="paragraph" w:customStyle="1" w:styleId="cuadrculamedia1-nfasis22">
    <w:name w:val="cuadrculamedia1-nfasis22"/>
    <w:basedOn w:val="Normal"/>
    <w:uiPriority w:val="99"/>
    <w:semiHidden/>
    <w:rsid w:val="00FF04A3"/>
    <w:pPr>
      <w:suppressAutoHyphens w:val="0"/>
      <w:ind w:left="708"/>
      <w:jc w:val="both"/>
    </w:pPr>
    <w:rPr>
      <w:rFonts w:eastAsia="Calibri"/>
      <w:lang w:val="es-CR"/>
    </w:rPr>
  </w:style>
  <w:style w:type="paragraph" w:customStyle="1" w:styleId="cuadrculamedia1-nfasis2">
    <w:name w:val="cuadrculamedia1-nfasis2"/>
    <w:basedOn w:val="Normal"/>
    <w:uiPriority w:val="99"/>
    <w:semiHidden/>
    <w:rsid w:val="00FF04A3"/>
    <w:pPr>
      <w:suppressAutoHyphens w:val="0"/>
      <w:spacing w:after="160" w:line="252" w:lineRule="auto"/>
      <w:ind w:left="720"/>
    </w:pPr>
    <w:rPr>
      <w:rFonts w:ascii="Calibri" w:eastAsia="Calibri" w:hAnsi="Calibri" w:cs="Calibri"/>
      <w:sz w:val="22"/>
      <w:szCs w:val="22"/>
      <w:lang w:val="es-CR"/>
    </w:rPr>
  </w:style>
  <w:style w:type="paragraph" w:customStyle="1" w:styleId="listavistosa-nfasis1">
    <w:name w:val="listavistosa-nfasis1"/>
    <w:basedOn w:val="Normal"/>
    <w:uiPriority w:val="99"/>
    <w:semiHidden/>
    <w:rsid w:val="00FF04A3"/>
    <w:pPr>
      <w:suppressAutoHyphens w:val="0"/>
      <w:ind w:left="708"/>
      <w:jc w:val="both"/>
    </w:pPr>
    <w:rPr>
      <w:rFonts w:eastAsia="Calibri"/>
      <w:lang w:val="es-CR"/>
    </w:rPr>
  </w:style>
  <w:style w:type="paragraph" w:customStyle="1" w:styleId="estilottulo3arial11ptinterlineado15lneas">
    <w:name w:val="estilottulo3arial11ptinterlineado15lneas"/>
    <w:basedOn w:val="Normal"/>
    <w:uiPriority w:val="99"/>
    <w:semiHidden/>
    <w:rsid w:val="00FF04A3"/>
    <w:pPr>
      <w:keepNext/>
      <w:suppressAutoHyphens w:val="0"/>
      <w:overflowPunct w:val="0"/>
      <w:autoSpaceDE w:val="0"/>
      <w:spacing w:line="360" w:lineRule="auto"/>
      <w:ind w:left="2160"/>
      <w:jc w:val="both"/>
    </w:pPr>
    <w:rPr>
      <w:rFonts w:ascii="Arial" w:eastAsia="Calibri" w:hAnsi="Arial" w:cs="Arial"/>
      <w:b/>
      <w:bCs/>
      <w:i/>
      <w:iCs/>
      <w:lang w:val="es-CR"/>
    </w:rPr>
  </w:style>
  <w:style w:type="paragraph" w:customStyle="1" w:styleId="prrafodelista000">
    <w:name w:val="prrafodelista00"/>
    <w:basedOn w:val="Normal"/>
    <w:uiPriority w:val="99"/>
    <w:semiHidden/>
    <w:rsid w:val="00FF04A3"/>
    <w:pPr>
      <w:suppressAutoHyphens w:val="0"/>
      <w:ind w:left="708"/>
    </w:pPr>
    <w:rPr>
      <w:rFonts w:ascii="MS Sans Serif" w:eastAsia="Calibri" w:hAnsi="MS Sans Serif" w:cs="Calibri"/>
      <w:lang w:val="es-CR"/>
    </w:rPr>
  </w:style>
  <w:style w:type="paragraph" w:customStyle="1" w:styleId="cuadrculamedia1-nfasis21cxsplast">
    <w:name w:val="cuadrculamedia1-nfasis21cxsplast"/>
    <w:basedOn w:val="Normal"/>
    <w:uiPriority w:val="99"/>
    <w:semiHidden/>
    <w:rsid w:val="00FF04A3"/>
    <w:pPr>
      <w:suppressAutoHyphens w:val="0"/>
      <w:spacing w:before="280" w:after="280"/>
    </w:pPr>
    <w:rPr>
      <w:rFonts w:eastAsia="Calibri"/>
      <w:lang w:val="es-CR"/>
    </w:rPr>
  </w:style>
  <w:style w:type="paragraph" w:customStyle="1" w:styleId="listavistosa-nfasis1cxspmiddle">
    <w:name w:val="listavistosa-nfasis1cxspmiddle"/>
    <w:basedOn w:val="Normal"/>
    <w:uiPriority w:val="99"/>
    <w:semiHidden/>
    <w:rsid w:val="00FF04A3"/>
    <w:pPr>
      <w:suppressAutoHyphens w:val="0"/>
      <w:spacing w:before="280" w:after="280"/>
    </w:pPr>
    <w:rPr>
      <w:rFonts w:eastAsia="Calibri"/>
      <w:lang w:val="es-CR"/>
    </w:rPr>
  </w:style>
  <w:style w:type="paragraph" w:customStyle="1" w:styleId="listavistosa-nfasis1cxsplast">
    <w:name w:val="listavistosa-nfasis1cxsplast"/>
    <w:basedOn w:val="Normal"/>
    <w:uiPriority w:val="99"/>
    <w:semiHidden/>
    <w:rsid w:val="00FF04A3"/>
    <w:pPr>
      <w:suppressAutoHyphens w:val="0"/>
      <w:spacing w:before="280" w:after="280"/>
    </w:pPr>
    <w:rPr>
      <w:rFonts w:eastAsia="Calibri"/>
      <w:lang w:val="es-CR"/>
    </w:rPr>
  </w:style>
  <w:style w:type="paragraph" w:customStyle="1" w:styleId="prrafodelistacxsplast">
    <w:name w:val="prrafodelistacxsplast"/>
    <w:basedOn w:val="Normal"/>
    <w:uiPriority w:val="99"/>
    <w:semiHidden/>
    <w:rsid w:val="00FF04A3"/>
    <w:pPr>
      <w:suppressAutoHyphens w:val="0"/>
      <w:spacing w:before="280" w:after="280"/>
    </w:pPr>
    <w:rPr>
      <w:rFonts w:eastAsia="Calibri"/>
      <w:lang w:val="es-CR"/>
    </w:rPr>
  </w:style>
  <w:style w:type="paragraph" w:customStyle="1" w:styleId="textoindependiente2100">
    <w:name w:val="textoindependiente210"/>
    <w:basedOn w:val="Normal"/>
    <w:uiPriority w:val="99"/>
    <w:semiHidden/>
    <w:rsid w:val="00FF04A3"/>
    <w:pPr>
      <w:suppressAutoHyphens w:val="0"/>
      <w:jc w:val="both"/>
    </w:pPr>
    <w:rPr>
      <w:rFonts w:ascii="Verdana" w:eastAsia="Calibri" w:hAnsi="Verdana" w:cs="Calibri"/>
      <w:i/>
      <w:iCs/>
      <w:lang w:val="es-CR"/>
    </w:rPr>
  </w:style>
  <w:style w:type="paragraph" w:customStyle="1" w:styleId="estilo200">
    <w:name w:val="estilo20"/>
    <w:basedOn w:val="Normal"/>
    <w:uiPriority w:val="99"/>
    <w:semiHidden/>
    <w:rsid w:val="00FF04A3"/>
    <w:pPr>
      <w:suppressAutoHyphens w:val="0"/>
      <w:autoSpaceDE w:val="0"/>
      <w:spacing w:before="100" w:after="100"/>
    </w:pPr>
    <w:rPr>
      <w:rFonts w:ascii="Verdana" w:eastAsia="Calibri" w:hAnsi="Verdana" w:cs="Calibri"/>
      <w:lang w:val="es-CR"/>
    </w:rPr>
  </w:style>
  <w:style w:type="paragraph" w:customStyle="1" w:styleId="artculo">
    <w:name w:val="artculo"/>
    <w:basedOn w:val="Normal"/>
    <w:uiPriority w:val="99"/>
    <w:semiHidden/>
    <w:rsid w:val="00FF04A3"/>
    <w:pPr>
      <w:suppressAutoHyphens w:val="0"/>
      <w:jc w:val="center"/>
    </w:pPr>
    <w:rPr>
      <w:rFonts w:eastAsia="Calibri"/>
      <w:b/>
      <w:bCs/>
      <w:u w:val="single"/>
      <w:lang w:val="es-CR"/>
    </w:rPr>
  </w:style>
  <w:style w:type="paragraph" w:customStyle="1" w:styleId="heading51">
    <w:name w:val="heading51"/>
    <w:basedOn w:val="Normal"/>
    <w:uiPriority w:val="99"/>
    <w:semiHidden/>
    <w:rsid w:val="00FF04A3"/>
    <w:pPr>
      <w:keepNext/>
      <w:shd w:val="clear" w:color="auto" w:fill="FFFFFF"/>
      <w:suppressAutoHyphens w:val="0"/>
      <w:jc w:val="center"/>
    </w:pPr>
    <w:rPr>
      <w:rFonts w:ascii="Arial" w:eastAsia="Calibri" w:hAnsi="Arial" w:cs="Arial"/>
      <w:b/>
      <w:bCs/>
      <w:i/>
      <w:iCs/>
      <w:sz w:val="26"/>
      <w:szCs w:val="26"/>
      <w:u w:val="single"/>
      <w:lang w:val="es-CR"/>
    </w:rPr>
  </w:style>
  <w:style w:type="paragraph" w:customStyle="1" w:styleId="titulos">
    <w:name w:val="titulos"/>
    <w:basedOn w:val="Normal"/>
    <w:uiPriority w:val="99"/>
    <w:semiHidden/>
    <w:rsid w:val="00FF04A3"/>
    <w:pPr>
      <w:suppressAutoHyphens w:val="0"/>
      <w:spacing w:before="280" w:after="280"/>
    </w:pPr>
    <w:rPr>
      <w:rFonts w:ascii="Arial Black" w:eastAsia="Calibri" w:hAnsi="Arial Black" w:cs="Calibri"/>
      <w:color w:val="666666"/>
      <w:sz w:val="21"/>
      <w:szCs w:val="21"/>
      <w:lang w:val="es-CR"/>
    </w:rPr>
  </w:style>
  <w:style w:type="paragraph" w:customStyle="1" w:styleId="listparagraph000">
    <w:name w:val="listparagraph00"/>
    <w:basedOn w:val="Normal"/>
    <w:uiPriority w:val="99"/>
    <w:semiHidden/>
    <w:rsid w:val="00FF04A3"/>
    <w:pPr>
      <w:suppressAutoHyphens w:val="0"/>
      <w:spacing w:before="280" w:after="280"/>
    </w:pPr>
    <w:rPr>
      <w:rFonts w:eastAsia="Calibri"/>
      <w:lang w:val="es-CR"/>
    </w:rPr>
  </w:style>
  <w:style w:type="paragraph" w:customStyle="1" w:styleId="sangra3detindependiente100">
    <w:name w:val="sangra3detindependiente10"/>
    <w:basedOn w:val="Normal"/>
    <w:uiPriority w:val="99"/>
    <w:semiHidden/>
    <w:rsid w:val="00FF04A3"/>
    <w:pPr>
      <w:suppressAutoHyphens w:val="0"/>
      <w:spacing w:after="120"/>
      <w:ind w:left="283"/>
    </w:pPr>
    <w:rPr>
      <w:rFonts w:eastAsia="Calibri"/>
      <w:sz w:val="16"/>
      <w:szCs w:val="16"/>
      <w:lang w:val="es-CR"/>
    </w:rPr>
  </w:style>
  <w:style w:type="paragraph" w:customStyle="1" w:styleId="nospacing0">
    <w:name w:val="nospacing0"/>
    <w:basedOn w:val="Normal"/>
    <w:uiPriority w:val="99"/>
    <w:semiHidden/>
    <w:rsid w:val="00FF04A3"/>
    <w:pPr>
      <w:suppressAutoHyphens w:val="0"/>
    </w:pPr>
    <w:rPr>
      <w:rFonts w:ascii="Calibri" w:eastAsia="Calibri" w:hAnsi="Calibri" w:cs="Calibri"/>
      <w:sz w:val="22"/>
      <w:szCs w:val="22"/>
      <w:lang w:val="es-CR"/>
    </w:rPr>
  </w:style>
  <w:style w:type="paragraph" w:customStyle="1" w:styleId="pblicodot">
    <w:name w:val="público.dot"/>
    <w:basedOn w:val="Normal"/>
    <w:uiPriority w:val="99"/>
    <w:semiHidden/>
    <w:rsid w:val="00FF04A3"/>
    <w:pPr>
      <w:suppressAutoHyphens w:val="0"/>
      <w:spacing w:line="480" w:lineRule="auto"/>
      <w:jc w:val="both"/>
    </w:pPr>
    <w:rPr>
      <w:rFonts w:ascii="Courier 10cpi" w:eastAsia="Calibri" w:hAnsi="Courier 10cpi" w:cs="Calibri"/>
      <w:lang w:val="es-CR" w:eastAsia="en-US"/>
    </w:rPr>
  </w:style>
  <w:style w:type="paragraph" w:customStyle="1" w:styleId="Textopredeterminado">
    <w:name w:val="Texto predeterminado"/>
    <w:basedOn w:val="Normal"/>
    <w:uiPriority w:val="99"/>
    <w:semiHidden/>
    <w:rsid w:val="00FF04A3"/>
    <w:pPr>
      <w:suppressAutoHyphens w:val="0"/>
    </w:pPr>
    <w:rPr>
      <w:rFonts w:eastAsia="Calibri"/>
      <w:color w:val="000000"/>
      <w:lang w:val="es-CR" w:eastAsia="es-CR"/>
    </w:rPr>
  </w:style>
  <w:style w:type="paragraph" w:customStyle="1" w:styleId="Char">
    <w:name w:val="Char"/>
    <w:basedOn w:val="Normal"/>
    <w:uiPriority w:val="99"/>
    <w:semiHidden/>
    <w:rsid w:val="00FF04A3"/>
    <w:pPr>
      <w:suppressAutoHyphens w:val="0"/>
      <w:jc w:val="both"/>
    </w:pPr>
    <w:rPr>
      <w:rFonts w:ascii="Arial" w:eastAsia="Calibri" w:hAnsi="Arial" w:cs="Arial"/>
      <w:lang w:val="es-CR" w:eastAsia="pl-PL"/>
    </w:rPr>
  </w:style>
  <w:style w:type="paragraph" w:customStyle="1" w:styleId="Estilo3">
    <w:name w:val="Estilo3"/>
    <w:basedOn w:val="Normal"/>
    <w:link w:val="Estilo3Car"/>
    <w:uiPriority w:val="99"/>
    <w:semiHidden/>
    <w:rsid w:val="00FF04A3"/>
    <w:pPr>
      <w:suppressAutoHyphens w:val="0"/>
      <w:autoSpaceDE w:val="0"/>
      <w:autoSpaceDN w:val="0"/>
    </w:pPr>
    <w:rPr>
      <w:rFonts w:ascii="Arial" w:eastAsia="Calibri" w:hAnsi="Arial" w:cs="Arial"/>
      <w:lang w:val="es-CR" w:eastAsia="ja-JP"/>
    </w:rPr>
  </w:style>
  <w:style w:type="paragraph" w:customStyle="1" w:styleId="Estilo4">
    <w:name w:val="Estilo4"/>
    <w:basedOn w:val="Normal"/>
    <w:uiPriority w:val="99"/>
    <w:semiHidden/>
    <w:rsid w:val="00FF04A3"/>
    <w:pPr>
      <w:shd w:val="clear" w:color="auto" w:fill="FFFFFF"/>
      <w:suppressAutoHyphens w:val="0"/>
      <w:autoSpaceDE w:val="0"/>
      <w:autoSpaceDN w:val="0"/>
    </w:pPr>
    <w:rPr>
      <w:rFonts w:ascii="Arial" w:eastAsia="Calibri" w:hAnsi="Arial" w:cs="Arial"/>
      <w:color w:val="000000"/>
      <w:lang w:val="es-CR" w:eastAsia="ja-JP"/>
    </w:rPr>
  </w:style>
  <w:style w:type="paragraph" w:customStyle="1" w:styleId="Ttulo11">
    <w:name w:val="T’tulo 1"/>
    <w:basedOn w:val="Normal"/>
    <w:uiPriority w:val="99"/>
    <w:semiHidden/>
    <w:rsid w:val="00FF04A3"/>
    <w:pPr>
      <w:keepNext/>
      <w:suppressAutoHyphens w:val="0"/>
      <w:autoSpaceDE w:val="0"/>
      <w:autoSpaceDN w:val="0"/>
      <w:jc w:val="both"/>
    </w:pPr>
    <w:rPr>
      <w:rFonts w:ascii="Arial" w:eastAsia="Calibri" w:hAnsi="Arial" w:cs="Arial"/>
      <w:b/>
      <w:bCs/>
      <w:color w:val="000000"/>
      <w:sz w:val="22"/>
      <w:szCs w:val="22"/>
      <w:lang w:val="es-CR" w:eastAsia="ja-JP"/>
    </w:rPr>
  </w:style>
  <w:style w:type="paragraph" w:customStyle="1" w:styleId="blocktext0">
    <w:name w:val="blocktext0"/>
    <w:basedOn w:val="Normal"/>
    <w:uiPriority w:val="99"/>
    <w:semiHidden/>
    <w:rsid w:val="00FF04A3"/>
    <w:pPr>
      <w:suppressAutoHyphens w:val="0"/>
      <w:autoSpaceDE w:val="0"/>
      <w:autoSpaceDN w:val="0"/>
      <w:ind w:left="680" w:right="680"/>
      <w:jc w:val="both"/>
    </w:pPr>
    <w:rPr>
      <w:rFonts w:ascii="Arial" w:eastAsia="Calibri" w:hAnsi="Arial" w:cs="Arial"/>
      <w:lang w:val="es-CR" w:eastAsia="ja-JP"/>
    </w:rPr>
  </w:style>
  <w:style w:type="paragraph" w:customStyle="1" w:styleId="Prder1">
    <w:name w:val="PÀ_Àr. der. 1"/>
    <w:basedOn w:val="Normal"/>
    <w:uiPriority w:val="99"/>
    <w:semiHidden/>
    <w:rsid w:val="00FF04A3"/>
    <w:pPr>
      <w:shd w:val="clear" w:color="auto" w:fill="FFFFFF"/>
      <w:suppressAutoHyphens w:val="0"/>
      <w:autoSpaceDE w:val="0"/>
      <w:autoSpaceDN w:val="0"/>
      <w:ind w:left="720" w:hanging="208"/>
    </w:pPr>
    <w:rPr>
      <w:rFonts w:ascii="Courier New" w:eastAsia="Calibri" w:hAnsi="Courier New" w:cs="Courier New"/>
      <w:color w:val="000000"/>
      <w:lang w:val="es-CR" w:eastAsia="ja-JP"/>
    </w:rPr>
  </w:style>
  <w:style w:type="paragraph" w:customStyle="1" w:styleId="Prder2">
    <w:name w:val="PÀ_Àr. der. 2"/>
    <w:basedOn w:val="Normal"/>
    <w:uiPriority w:val="99"/>
    <w:semiHidden/>
    <w:rsid w:val="00FF04A3"/>
    <w:pPr>
      <w:shd w:val="clear" w:color="auto" w:fill="FFFFFF"/>
      <w:suppressAutoHyphens w:val="0"/>
      <w:autoSpaceDE w:val="0"/>
      <w:autoSpaceDN w:val="0"/>
      <w:ind w:left="1440" w:hanging="294"/>
    </w:pPr>
    <w:rPr>
      <w:rFonts w:ascii="Courier New" w:eastAsia="Calibri" w:hAnsi="Courier New" w:cs="Courier New"/>
      <w:color w:val="000000"/>
      <w:lang w:val="es-CR" w:eastAsia="ja-JP"/>
    </w:rPr>
  </w:style>
  <w:style w:type="paragraph" w:customStyle="1" w:styleId="Prder3">
    <w:name w:val="PÀ_Àr. der. 3"/>
    <w:basedOn w:val="Normal"/>
    <w:uiPriority w:val="99"/>
    <w:semiHidden/>
    <w:rsid w:val="00FF04A3"/>
    <w:pPr>
      <w:shd w:val="clear" w:color="auto" w:fill="FFFFFF"/>
      <w:suppressAutoHyphens w:val="0"/>
      <w:autoSpaceDE w:val="0"/>
      <w:autoSpaceDN w:val="0"/>
      <w:ind w:left="2160" w:hanging="236"/>
    </w:pPr>
    <w:rPr>
      <w:rFonts w:ascii="Courier New" w:eastAsia="Calibri" w:hAnsi="Courier New" w:cs="Courier New"/>
      <w:color w:val="000000"/>
      <w:lang w:val="es-CR" w:eastAsia="ja-JP"/>
    </w:rPr>
  </w:style>
  <w:style w:type="paragraph" w:customStyle="1" w:styleId="Prder4">
    <w:name w:val="PÀ_Àr. der. 4"/>
    <w:basedOn w:val="Normal"/>
    <w:uiPriority w:val="99"/>
    <w:semiHidden/>
    <w:rsid w:val="00FF04A3"/>
    <w:pPr>
      <w:shd w:val="clear" w:color="auto" w:fill="FFFFFF"/>
      <w:suppressAutoHyphens w:val="0"/>
      <w:autoSpaceDE w:val="0"/>
      <w:autoSpaceDN w:val="0"/>
      <w:ind w:left="2880" w:hanging="236"/>
    </w:pPr>
    <w:rPr>
      <w:rFonts w:ascii="Courier New" w:eastAsia="Calibri" w:hAnsi="Courier New" w:cs="Courier New"/>
      <w:color w:val="000000"/>
      <w:lang w:val="es-CR" w:eastAsia="ja-JP"/>
    </w:rPr>
  </w:style>
  <w:style w:type="paragraph" w:customStyle="1" w:styleId="Documento1">
    <w:name w:val="Documento 1"/>
    <w:basedOn w:val="Normal"/>
    <w:uiPriority w:val="99"/>
    <w:semiHidden/>
    <w:rsid w:val="00FF04A3"/>
    <w:pPr>
      <w:keepNext/>
      <w:shd w:val="clear" w:color="auto" w:fill="FFFFFF"/>
      <w:suppressAutoHyphens w:val="0"/>
      <w:autoSpaceDE w:val="0"/>
      <w:autoSpaceDN w:val="0"/>
    </w:pPr>
    <w:rPr>
      <w:rFonts w:ascii="Courier New" w:eastAsia="Calibri" w:hAnsi="Courier New" w:cs="Courier New"/>
      <w:color w:val="000000"/>
      <w:lang w:val="es-CR" w:eastAsia="ja-JP"/>
    </w:rPr>
  </w:style>
  <w:style w:type="paragraph" w:customStyle="1" w:styleId="Prder5">
    <w:name w:val="PÀ_Àr. der. 5"/>
    <w:basedOn w:val="Normal"/>
    <w:uiPriority w:val="99"/>
    <w:semiHidden/>
    <w:rsid w:val="00FF04A3"/>
    <w:pPr>
      <w:shd w:val="clear" w:color="auto" w:fill="FFFFFF"/>
      <w:suppressAutoHyphens w:val="0"/>
      <w:autoSpaceDE w:val="0"/>
      <w:autoSpaceDN w:val="0"/>
      <w:ind w:left="3600" w:hanging="356"/>
    </w:pPr>
    <w:rPr>
      <w:rFonts w:ascii="Courier New" w:eastAsia="Calibri" w:hAnsi="Courier New" w:cs="Courier New"/>
      <w:color w:val="000000"/>
      <w:lang w:val="es-CR" w:eastAsia="ja-JP"/>
    </w:rPr>
  </w:style>
  <w:style w:type="paragraph" w:customStyle="1" w:styleId="Prder6">
    <w:name w:val="PÀ_Àr. der. 6"/>
    <w:basedOn w:val="Normal"/>
    <w:uiPriority w:val="99"/>
    <w:semiHidden/>
    <w:rsid w:val="00FF04A3"/>
    <w:pPr>
      <w:shd w:val="clear" w:color="auto" w:fill="FFFFFF"/>
      <w:suppressAutoHyphens w:val="0"/>
      <w:autoSpaceDE w:val="0"/>
      <w:autoSpaceDN w:val="0"/>
      <w:ind w:left="4320" w:hanging="356"/>
    </w:pPr>
    <w:rPr>
      <w:rFonts w:ascii="Courier New" w:eastAsia="Calibri" w:hAnsi="Courier New" w:cs="Courier New"/>
      <w:color w:val="000000"/>
      <w:lang w:val="es-CR" w:eastAsia="ja-JP"/>
    </w:rPr>
  </w:style>
  <w:style w:type="paragraph" w:customStyle="1" w:styleId="Prder7">
    <w:name w:val="PÀ_Àr. der. 7"/>
    <w:basedOn w:val="Normal"/>
    <w:uiPriority w:val="99"/>
    <w:semiHidden/>
    <w:rsid w:val="00FF04A3"/>
    <w:pPr>
      <w:shd w:val="clear" w:color="auto" w:fill="FFFFFF"/>
      <w:suppressAutoHyphens w:val="0"/>
      <w:autoSpaceDE w:val="0"/>
      <w:autoSpaceDN w:val="0"/>
      <w:ind w:left="5040" w:hanging="222"/>
    </w:pPr>
    <w:rPr>
      <w:rFonts w:ascii="Courier New" w:eastAsia="Calibri" w:hAnsi="Courier New" w:cs="Courier New"/>
      <w:color w:val="000000"/>
      <w:lang w:val="es-CR" w:eastAsia="ja-JP"/>
    </w:rPr>
  </w:style>
  <w:style w:type="paragraph" w:customStyle="1" w:styleId="Prder8">
    <w:name w:val="PÀ_Àr. der. 8"/>
    <w:basedOn w:val="Normal"/>
    <w:uiPriority w:val="99"/>
    <w:semiHidden/>
    <w:rsid w:val="00FF04A3"/>
    <w:pPr>
      <w:shd w:val="clear" w:color="auto" w:fill="FFFFFF"/>
      <w:suppressAutoHyphens w:val="0"/>
      <w:autoSpaceDE w:val="0"/>
      <w:autoSpaceDN w:val="0"/>
      <w:ind w:left="5760" w:hanging="270"/>
    </w:pPr>
    <w:rPr>
      <w:rFonts w:ascii="Courier New" w:eastAsia="Calibri" w:hAnsi="Courier New" w:cs="Courier New"/>
      <w:color w:val="000000"/>
      <w:lang w:val="es-CR" w:eastAsia="ja-JP"/>
    </w:rPr>
  </w:style>
  <w:style w:type="paragraph" w:customStyle="1" w:styleId="Tcnico4">
    <w:name w:val="TÀ)Àcnico 4"/>
    <w:basedOn w:val="Normal"/>
    <w:uiPriority w:val="99"/>
    <w:semiHidden/>
    <w:rsid w:val="00FF04A3"/>
    <w:pPr>
      <w:shd w:val="clear" w:color="auto" w:fill="FFFFFF"/>
      <w:suppressAutoHyphens w:val="0"/>
      <w:autoSpaceDE w:val="0"/>
      <w:autoSpaceDN w:val="0"/>
    </w:pPr>
    <w:rPr>
      <w:rFonts w:ascii="Courier New" w:eastAsia="Calibri" w:hAnsi="Courier New" w:cs="Courier New"/>
      <w:b/>
      <w:bCs/>
      <w:color w:val="000000"/>
      <w:lang w:val="es-CR" w:eastAsia="ja-JP"/>
    </w:rPr>
  </w:style>
  <w:style w:type="paragraph" w:customStyle="1" w:styleId="Tcnico5">
    <w:name w:val="TÀ)Àcnico 5"/>
    <w:basedOn w:val="Normal"/>
    <w:uiPriority w:val="99"/>
    <w:semiHidden/>
    <w:rsid w:val="00FF04A3"/>
    <w:pPr>
      <w:shd w:val="clear" w:color="auto" w:fill="FFFFFF"/>
      <w:suppressAutoHyphens w:val="0"/>
      <w:autoSpaceDE w:val="0"/>
      <w:autoSpaceDN w:val="0"/>
      <w:ind w:firstLine="720"/>
    </w:pPr>
    <w:rPr>
      <w:rFonts w:ascii="Courier New" w:eastAsia="Calibri" w:hAnsi="Courier New" w:cs="Courier New"/>
      <w:b/>
      <w:bCs/>
      <w:color w:val="000000"/>
      <w:lang w:val="es-CR" w:eastAsia="ja-JP"/>
    </w:rPr>
  </w:style>
  <w:style w:type="paragraph" w:customStyle="1" w:styleId="Tcnico6">
    <w:name w:val="TÀ)Àcnico 6"/>
    <w:basedOn w:val="Normal"/>
    <w:uiPriority w:val="99"/>
    <w:semiHidden/>
    <w:rsid w:val="00FF04A3"/>
    <w:pPr>
      <w:shd w:val="clear" w:color="auto" w:fill="FFFFFF"/>
      <w:suppressAutoHyphens w:val="0"/>
      <w:autoSpaceDE w:val="0"/>
      <w:autoSpaceDN w:val="0"/>
      <w:ind w:firstLine="720"/>
    </w:pPr>
    <w:rPr>
      <w:rFonts w:ascii="Courier New" w:eastAsia="Calibri" w:hAnsi="Courier New" w:cs="Courier New"/>
      <w:b/>
      <w:bCs/>
      <w:color w:val="000000"/>
      <w:lang w:val="es-CR" w:eastAsia="ja-JP"/>
    </w:rPr>
  </w:style>
  <w:style w:type="paragraph" w:customStyle="1" w:styleId="Tcnico7">
    <w:name w:val="TÀ)Àcnico 7"/>
    <w:basedOn w:val="Normal"/>
    <w:uiPriority w:val="99"/>
    <w:semiHidden/>
    <w:rsid w:val="00FF04A3"/>
    <w:pPr>
      <w:shd w:val="clear" w:color="auto" w:fill="FFFFFF"/>
      <w:suppressAutoHyphens w:val="0"/>
      <w:autoSpaceDE w:val="0"/>
      <w:autoSpaceDN w:val="0"/>
      <w:ind w:firstLine="720"/>
    </w:pPr>
    <w:rPr>
      <w:rFonts w:ascii="Courier New" w:eastAsia="Calibri" w:hAnsi="Courier New" w:cs="Courier New"/>
      <w:b/>
      <w:bCs/>
      <w:color w:val="000000"/>
      <w:lang w:val="es-CR" w:eastAsia="ja-JP"/>
    </w:rPr>
  </w:style>
  <w:style w:type="paragraph" w:customStyle="1" w:styleId="Tcnico8">
    <w:name w:val="TÀ)Àcnico 8"/>
    <w:basedOn w:val="Normal"/>
    <w:uiPriority w:val="99"/>
    <w:semiHidden/>
    <w:rsid w:val="00FF04A3"/>
    <w:pPr>
      <w:shd w:val="clear" w:color="auto" w:fill="FFFFFF"/>
      <w:suppressAutoHyphens w:val="0"/>
      <w:autoSpaceDE w:val="0"/>
      <w:autoSpaceDN w:val="0"/>
      <w:ind w:firstLine="720"/>
    </w:pPr>
    <w:rPr>
      <w:rFonts w:ascii="Courier New" w:eastAsia="Calibri" w:hAnsi="Courier New" w:cs="Courier New"/>
      <w:b/>
      <w:bCs/>
      <w:color w:val="000000"/>
      <w:lang w:val="es-CR" w:eastAsia="ja-JP"/>
    </w:rPr>
  </w:style>
  <w:style w:type="paragraph" w:customStyle="1" w:styleId="Escrlegal">
    <w:name w:val="Escr. legal"/>
    <w:basedOn w:val="Normal"/>
    <w:uiPriority w:val="99"/>
    <w:semiHidden/>
    <w:rsid w:val="00FF04A3"/>
    <w:pPr>
      <w:shd w:val="clear" w:color="auto" w:fill="FFFFFF"/>
      <w:suppressAutoHyphens w:val="0"/>
      <w:autoSpaceDE w:val="0"/>
      <w:autoSpaceDN w:val="0"/>
      <w:spacing w:line="240" w:lineRule="exact"/>
    </w:pPr>
    <w:rPr>
      <w:rFonts w:ascii="Courier New" w:eastAsia="Calibri" w:hAnsi="Courier New" w:cs="Courier New"/>
      <w:color w:val="000000"/>
      <w:lang w:val="es-CR" w:eastAsia="ja-JP"/>
    </w:rPr>
  </w:style>
  <w:style w:type="paragraph" w:customStyle="1" w:styleId="ndice10">
    <w:name w:val="índice 1"/>
    <w:basedOn w:val="Normal"/>
    <w:uiPriority w:val="99"/>
    <w:semiHidden/>
    <w:rsid w:val="00FF04A3"/>
    <w:pPr>
      <w:shd w:val="clear" w:color="auto" w:fill="FFFFFF"/>
      <w:suppressAutoHyphens w:val="0"/>
      <w:autoSpaceDE w:val="0"/>
      <w:autoSpaceDN w:val="0"/>
      <w:ind w:left="1440" w:right="720" w:hanging="1440"/>
    </w:pPr>
    <w:rPr>
      <w:rFonts w:ascii="Courier New" w:eastAsia="Calibri" w:hAnsi="Courier New" w:cs="Courier New"/>
      <w:color w:val="000000"/>
      <w:lang w:val="es-CR" w:eastAsia="ja-JP"/>
    </w:rPr>
  </w:style>
  <w:style w:type="paragraph" w:customStyle="1" w:styleId="ndice2">
    <w:name w:val="índice 2"/>
    <w:basedOn w:val="Normal"/>
    <w:uiPriority w:val="99"/>
    <w:semiHidden/>
    <w:rsid w:val="00FF04A3"/>
    <w:pPr>
      <w:shd w:val="clear" w:color="auto" w:fill="FFFFFF"/>
      <w:suppressAutoHyphens w:val="0"/>
      <w:autoSpaceDE w:val="0"/>
      <w:autoSpaceDN w:val="0"/>
      <w:ind w:left="1440" w:right="720" w:hanging="720"/>
    </w:pPr>
    <w:rPr>
      <w:rFonts w:ascii="Courier New" w:eastAsia="Calibri" w:hAnsi="Courier New" w:cs="Courier New"/>
      <w:color w:val="000000"/>
      <w:lang w:val="es-CR" w:eastAsia="ja-JP"/>
    </w:rPr>
  </w:style>
  <w:style w:type="paragraph" w:customStyle="1" w:styleId="msolistparagraphcxsplast">
    <w:name w:val="msolistparagraphcxsplast"/>
    <w:basedOn w:val="Normal"/>
    <w:uiPriority w:val="99"/>
    <w:semiHidden/>
    <w:rsid w:val="00FF04A3"/>
    <w:pPr>
      <w:suppressAutoHyphens w:val="0"/>
      <w:spacing w:before="100" w:beforeAutospacing="1" w:after="100" w:afterAutospacing="1"/>
    </w:pPr>
    <w:rPr>
      <w:rFonts w:eastAsia="Calibri"/>
      <w:lang w:val="es-CR" w:eastAsia="es-ES"/>
    </w:rPr>
  </w:style>
  <w:style w:type="paragraph" w:customStyle="1" w:styleId="CharChar11">
    <w:name w:val="Char Char1"/>
    <w:basedOn w:val="Normal"/>
    <w:uiPriority w:val="99"/>
    <w:semiHidden/>
    <w:rsid w:val="00FF04A3"/>
    <w:pPr>
      <w:suppressAutoHyphens w:val="0"/>
      <w:spacing w:after="160" w:line="240" w:lineRule="exact"/>
    </w:pPr>
    <w:rPr>
      <w:rFonts w:ascii="Verdana" w:eastAsia="Calibri" w:hAnsi="Verdana" w:cs="Calibri"/>
      <w:sz w:val="20"/>
      <w:szCs w:val="20"/>
      <w:lang w:val="es-CR" w:eastAsia="en-US"/>
    </w:rPr>
  </w:style>
  <w:style w:type="paragraph" w:customStyle="1" w:styleId="ww-texto">
    <w:name w:val="ww-texto"/>
    <w:basedOn w:val="Normal"/>
    <w:uiPriority w:val="99"/>
    <w:semiHidden/>
    <w:rsid w:val="00FF04A3"/>
    <w:pPr>
      <w:suppressAutoHyphens w:val="0"/>
      <w:overflowPunct w:val="0"/>
      <w:autoSpaceDE w:val="0"/>
      <w:spacing w:after="120" w:line="240" w:lineRule="atLeast"/>
      <w:jc w:val="both"/>
    </w:pPr>
    <w:rPr>
      <w:rFonts w:ascii="Arial" w:eastAsia="Calibri" w:hAnsi="Arial" w:cs="Arial"/>
      <w:sz w:val="20"/>
      <w:szCs w:val="20"/>
      <w:lang w:val="es-CR" w:eastAsia="ja-JP"/>
    </w:rPr>
  </w:style>
  <w:style w:type="paragraph" w:customStyle="1" w:styleId="listprocedureitem1">
    <w:name w:val="listprocedureitem1"/>
    <w:basedOn w:val="Normal"/>
    <w:uiPriority w:val="99"/>
    <w:semiHidden/>
    <w:rsid w:val="00FF04A3"/>
    <w:pPr>
      <w:suppressAutoHyphens w:val="0"/>
      <w:overflowPunct w:val="0"/>
      <w:autoSpaceDE w:val="0"/>
      <w:spacing w:after="80" w:line="240" w:lineRule="atLeast"/>
      <w:ind w:left="238" w:hanging="238"/>
      <w:jc w:val="both"/>
    </w:pPr>
    <w:rPr>
      <w:rFonts w:ascii="Arial" w:eastAsia="Calibri" w:hAnsi="Arial" w:cs="Arial"/>
      <w:sz w:val="20"/>
      <w:szCs w:val="20"/>
      <w:lang w:val="es-CR" w:eastAsia="ja-JP"/>
    </w:rPr>
  </w:style>
  <w:style w:type="paragraph" w:customStyle="1" w:styleId="Derechos0">
    <w:name w:val="Derechos"/>
    <w:basedOn w:val="Normal"/>
    <w:uiPriority w:val="99"/>
    <w:semiHidden/>
    <w:rsid w:val="00FF04A3"/>
    <w:pPr>
      <w:suppressAutoHyphens w:val="0"/>
      <w:autoSpaceDE w:val="0"/>
      <w:autoSpaceDN w:val="0"/>
      <w:jc w:val="both"/>
    </w:pPr>
    <w:rPr>
      <w:rFonts w:ascii="Helvetica" w:eastAsia="Calibri" w:hAnsi="Helvetica" w:cs="Helvetica"/>
      <w:sz w:val="20"/>
      <w:szCs w:val="20"/>
      <w:lang w:val="es-CR" w:eastAsia="ja-JP"/>
    </w:rPr>
  </w:style>
  <w:style w:type="paragraph" w:customStyle="1" w:styleId="CarCarCarCarCarCarCarCarCar">
    <w:name w:val="Car Car Car Car Car Car Car Car Car"/>
    <w:basedOn w:val="Normal"/>
    <w:uiPriority w:val="99"/>
    <w:semiHidden/>
    <w:rsid w:val="00FF04A3"/>
    <w:pPr>
      <w:suppressAutoHyphens w:val="0"/>
      <w:spacing w:after="160" w:line="240" w:lineRule="exact"/>
    </w:pPr>
    <w:rPr>
      <w:rFonts w:ascii="Arial" w:eastAsia="Calibri" w:hAnsi="Arial" w:cs="Arial"/>
      <w:lang w:val="es-CR" w:eastAsia="en-US"/>
    </w:rPr>
  </w:style>
  <w:style w:type="paragraph" w:customStyle="1" w:styleId="CarCarCarCarCarCarCarCarCar4">
    <w:name w:val="Car Car Car Car Car Car Car Car Car4"/>
    <w:basedOn w:val="Normal"/>
    <w:uiPriority w:val="99"/>
    <w:semiHidden/>
    <w:rsid w:val="00FF04A3"/>
    <w:pPr>
      <w:suppressAutoHyphens w:val="0"/>
      <w:spacing w:after="160" w:line="240" w:lineRule="exact"/>
    </w:pPr>
    <w:rPr>
      <w:rFonts w:ascii="Arial" w:eastAsia="Calibri" w:hAnsi="Arial" w:cs="Arial"/>
      <w:lang w:val="es-CR" w:eastAsia="en-US"/>
    </w:rPr>
  </w:style>
  <w:style w:type="paragraph" w:customStyle="1" w:styleId="CarCarCarCarCarCarCarCarCar3">
    <w:name w:val="Car Car Car Car Car Car Car Car Car3"/>
    <w:basedOn w:val="Normal"/>
    <w:uiPriority w:val="99"/>
    <w:semiHidden/>
    <w:rsid w:val="00FF04A3"/>
    <w:pPr>
      <w:suppressAutoHyphens w:val="0"/>
      <w:spacing w:after="160" w:line="240" w:lineRule="exact"/>
    </w:pPr>
    <w:rPr>
      <w:rFonts w:ascii="Arial" w:eastAsia="Calibri" w:hAnsi="Arial" w:cs="Arial"/>
      <w:lang w:val="es-CR" w:eastAsia="en-US"/>
    </w:rPr>
  </w:style>
  <w:style w:type="paragraph" w:customStyle="1" w:styleId="CarCarCarCarCarCarCarCarCar2">
    <w:name w:val="Car Car Car Car Car Car Car Car Car2"/>
    <w:basedOn w:val="Normal"/>
    <w:uiPriority w:val="99"/>
    <w:semiHidden/>
    <w:rsid w:val="00FF04A3"/>
    <w:pPr>
      <w:suppressAutoHyphens w:val="0"/>
      <w:spacing w:after="160" w:line="240" w:lineRule="exact"/>
    </w:pPr>
    <w:rPr>
      <w:rFonts w:ascii="Arial" w:eastAsia="Calibri" w:hAnsi="Arial" w:cs="Arial"/>
      <w:lang w:val="es-CR" w:eastAsia="en-US"/>
    </w:rPr>
  </w:style>
  <w:style w:type="paragraph" w:customStyle="1" w:styleId="CarCarCarCarCarCarCarCarCar1">
    <w:name w:val="Car Car Car Car Car Car Car Car Car1"/>
    <w:basedOn w:val="Normal"/>
    <w:uiPriority w:val="99"/>
    <w:semiHidden/>
    <w:rsid w:val="00FF04A3"/>
    <w:pPr>
      <w:suppressAutoHyphens w:val="0"/>
      <w:spacing w:after="160" w:line="240" w:lineRule="exact"/>
    </w:pPr>
    <w:rPr>
      <w:rFonts w:ascii="Arial" w:eastAsia="Calibri" w:hAnsi="Arial" w:cs="Arial"/>
      <w:lang w:val="es-CR" w:eastAsia="en-US"/>
    </w:rPr>
  </w:style>
  <w:style w:type="paragraph" w:customStyle="1" w:styleId="TtulodeTDC1">
    <w:name w:val="Título de TDC1"/>
    <w:basedOn w:val="Normal"/>
    <w:uiPriority w:val="99"/>
    <w:semiHidden/>
    <w:rsid w:val="00FF04A3"/>
    <w:pPr>
      <w:keepNext/>
      <w:suppressAutoHyphens w:val="0"/>
      <w:spacing w:before="480" w:line="276" w:lineRule="auto"/>
    </w:pPr>
    <w:rPr>
      <w:rFonts w:ascii="Calibri" w:eastAsia="Calibri" w:hAnsi="Calibri" w:cs="Calibri"/>
      <w:b/>
      <w:bCs/>
      <w:color w:val="365F91"/>
      <w:sz w:val="28"/>
      <w:szCs w:val="28"/>
      <w:u w:val="single"/>
      <w:lang w:val="es-CR" w:eastAsia="es-CR"/>
    </w:rPr>
  </w:style>
  <w:style w:type="paragraph" w:customStyle="1" w:styleId="rvps2">
    <w:name w:val="rvps2"/>
    <w:basedOn w:val="Normal"/>
    <w:uiPriority w:val="99"/>
    <w:semiHidden/>
    <w:rsid w:val="00FF04A3"/>
    <w:pPr>
      <w:suppressAutoHyphens w:val="0"/>
      <w:spacing w:line="480" w:lineRule="auto"/>
      <w:jc w:val="both"/>
    </w:pPr>
    <w:rPr>
      <w:rFonts w:eastAsia="Calibri"/>
      <w:lang w:val="es-CR" w:eastAsia="es-CR"/>
    </w:rPr>
  </w:style>
  <w:style w:type="paragraph" w:customStyle="1" w:styleId="rvps25">
    <w:name w:val="rvps25"/>
    <w:basedOn w:val="Normal"/>
    <w:uiPriority w:val="99"/>
    <w:semiHidden/>
    <w:rsid w:val="00FF04A3"/>
    <w:pPr>
      <w:suppressAutoHyphens w:val="0"/>
      <w:spacing w:line="480" w:lineRule="auto"/>
      <w:jc w:val="both"/>
    </w:pPr>
    <w:rPr>
      <w:rFonts w:eastAsia="Calibri"/>
      <w:lang w:val="es-CR" w:eastAsia="es-CR"/>
    </w:rPr>
  </w:style>
  <w:style w:type="paragraph" w:customStyle="1" w:styleId="yiv7138735150msonormal">
    <w:name w:val="yiv7138735150msonormal"/>
    <w:basedOn w:val="Normal"/>
    <w:uiPriority w:val="99"/>
    <w:semiHidden/>
    <w:rsid w:val="00FF04A3"/>
    <w:pPr>
      <w:suppressAutoHyphens w:val="0"/>
      <w:spacing w:before="100" w:beforeAutospacing="1" w:after="100" w:afterAutospacing="1"/>
    </w:pPr>
    <w:rPr>
      <w:rFonts w:eastAsia="Calibri"/>
      <w:lang w:val="es-CR" w:eastAsia="es-ES"/>
    </w:rPr>
  </w:style>
  <w:style w:type="paragraph" w:customStyle="1" w:styleId="Sangradet">
    <w:name w:val="Sangría de t"/>
    <w:basedOn w:val="Normal"/>
    <w:uiPriority w:val="99"/>
    <w:semiHidden/>
    <w:rsid w:val="00FF04A3"/>
    <w:pPr>
      <w:suppressAutoHyphens w:val="0"/>
      <w:jc w:val="both"/>
    </w:pPr>
    <w:rPr>
      <w:rFonts w:ascii="Courier New" w:eastAsia="Calibri" w:hAnsi="Courier New" w:cs="Courier New"/>
      <w:spacing w:val="-3"/>
      <w:sz w:val="28"/>
      <w:szCs w:val="28"/>
      <w:lang w:val="es-CR"/>
    </w:rPr>
  </w:style>
  <w:style w:type="paragraph" w:customStyle="1" w:styleId="Sangra2det">
    <w:name w:val="Sangría 2 de t"/>
    <w:basedOn w:val="Normal"/>
    <w:uiPriority w:val="99"/>
    <w:semiHidden/>
    <w:rsid w:val="00FF04A3"/>
    <w:pPr>
      <w:suppressAutoHyphens w:val="0"/>
      <w:ind w:firstLine="720"/>
      <w:jc w:val="both"/>
    </w:pPr>
    <w:rPr>
      <w:rFonts w:ascii="Book Antiqua" w:eastAsia="Calibri" w:hAnsi="Book Antiqua" w:cs="Calibri"/>
      <w:b/>
      <w:bCs/>
      <w:spacing w:val="-3"/>
      <w:lang w:val="es-CR"/>
    </w:rPr>
  </w:style>
  <w:style w:type="paragraph" w:customStyle="1" w:styleId="Sangra3det">
    <w:name w:val="Sangría 3 de t"/>
    <w:basedOn w:val="Normal"/>
    <w:uiPriority w:val="99"/>
    <w:semiHidden/>
    <w:rsid w:val="00FF04A3"/>
    <w:pPr>
      <w:suppressAutoHyphens w:val="0"/>
      <w:ind w:firstLine="720"/>
      <w:jc w:val="both"/>
    </w:pPr>
    <w:rPr>
      <w:rFonts w:ascii="Book Antiqua" w:eastAsia="Calibri" w:hAnsi="Book Antiqua" w:cs="Calibri"/>
      <w:spacing w:val="-3"/>
      <w:lang w:val="es-CR"/>
    </w:rPr>
  </w:style>
  <w:style w:type="paragraph" w:customStyle="1" w:styleId="Sangradet1">
    <w:name w:val="Sangría de t1"/>
    <w:basedOn w:val="Normal"/>
    <w:uiPriority w:val="99"/>
    <w:semiHidden/>
    <w:rsid w:val="00FF04A3"/>
    <w:pPr>
      <w:suppressAutoHyphens w:val="0"/>
      <w:jc w:val="both"/>
    </w:pPr>
    <w:rPr>
      <w:rFonts w:ascii="Book Antiqua" w:eastAsia="Calibri" w:hAnsi="Book Antiqua" w:cs="Calibri"/>
      <w:spacing w:val="-3"/>
      <w:lang w:val="es-CR"/>
    </w:rPr>
  </w:style>
  <w:style w:type="paragraph" w:customStyle="1" w:styleId="CarCarCarCarCarCarCarCarCarCar">
    <w:name w:val="Car Car Car Car Car Car Car Car Car Car"/>
    <w:basedOn w:val="Normal"/>
    <w:uiPriority w:val="99"/>
    <w:semiHidden/>
    <w:rsid w:val="00FF04A3"/>
    <w:pPr>
      <w:suppressAutoHyphens w:val="0"/>
      <w:autoSpaceDE w:val="0"/>
      <w:autoSpaceDN w:val="0"/>
      <w:spacing w:after="160" w:line="240" w:lineRule="exact"/>
    </w:pPr>
    <w:rPr>
      <w:rFonts w:ascii="Verdana" w:eastAsia="Calibri" w:hAnsi="Verdana" w:cs="Calibri"/>
      <w:sz w:val="20"/>
      <w:szCs w:val="20"/>
      <w:lang w:val="es-CR" w:eastAsia="es-ES"/>
    </w:rPr>
  </w:style>
  <w:style w:type="paragraph" w:customStyle="1" w:styleId="ubicador">
    <w:name w:val="ubicador"/>
    <w:basedOn w:val="Normal"/>
    <w:uiPriority w:val="99"/>
    <w:semiHidden/>
    <w:rsid w:val="00FF04A3"/>
    <w:pPr>
      <w:suppressAutoHyphens w:val="0"/>
      <w:autoSpaceDE w:val="0"/>
      <w:autoSpaceDN w:val="0"/>
      <w:spacing w:before="100" w:after="100"/>
    </w:pPr>
    <w:rPr>
      <w:rFonts w:eastAsia="Calibri"/>
      <w:vanish/>
      <w:lang w:val="es-CR" w:eastAsia="es-ES"/>
    </w:rPr>
  </w:style>
  <w:style w:type="paragraph" w:customStyle="1" w:styleId="ubicadorinteligente">
    <w:name w:val="ubicadorinteligente"/>
    <w:basedOn w:val="Normal"/>
    <w:uiPriority w:val="99"/>
    <w:semiHidden/>
    <w:rsid w:val="00FF04A3"/>
    <w:pPr>
      <w:suppressAutoHyphens w:val="0"/>
      <w:autoSpaceDE w:val="0"/>
      <w:autoSpaceDN w:val="0"/>
      <w:spacing w:before="100" w:after="100"/>
    </w:pPr>
    <w:rPr>
      <w:rFonts w:eastAsia="Calibri"/>
      <w:lang w:val="es-CR" w:eastAsia="es-ES"/>
    </w:rPr>
  </w:style>
  <w:style w:type="paragraph" w:customStyle="1" w:styleId="Car2">
    <w:name w:val="Car2"/>
    <w:basedOn w:val="Normal"/>
    <w:uiPriority w:val="99"/>
    <w:semiHidden/>
    <w:rsid w:val="00FF04A3"/>
    <w:pPr>
      <w:suppressAutoHyphens w:val="0"/>
      <w:autoSpaceDE w:val="0"/>
      <w:autoSpaceDN w:val="0"/>
      <w:spacing w:after="160" w:line="240" w:lineRule="exact"/>
    </w:pPr>
    <w:rPr>
      <w:rFonts w:ascii="Verdana" w:eastAsia="Calibri" w:hAnsi="Verdana" w:cs="Calibri"/>
      <w:sz w:val="20"/>
      <w:szCs w:val="20"/>
      <w:lang w:val="es-CR" w:eastAsia="es-ES"/>
    </w:rPr>
  </w:style>
  <w:style w:type="paragraph" w:customStyle="1" w:styleId="Car3">
    <w:name w:val="Car3"/>
    <w:basedOn w:val="Normal"/>
    <w:uiPriority w:val="99"/>
    <w:semiHidden/>
    <w:rsid w:val="00FF04A3"/>
    <w:pPr>
      <w:suppressAutoHyphens w:val="0"/>
      <w:autoSpaceDE w:val="0"/>
      <w:autoSpaceDN w:val="0"/>
      <w:spacing w:after="160" w:line="240" w:lineRule="exact"/>
    </w:pPr>
    <w:rPr>
      <w:rFonts w:ascii="Verdana" w:eastAsia="Calibri" w:hAnsi="Verdana" w:cs="Calibri"/>
      <w:sz w:val="20"/>
      <w:szCs w:val="20"/>
      <w:lang w:val="es-CR" w:eastAsia="es-ES"/>
    </w:rPr>
  </w:style>
  <w:style w:type="paragraph" w:customStyle="1" w:styleId="Car4">
    <w:name w:val="Car4"/>
    <w:basedOn w:val="Normal"/>
    <w:uiPriority w:val="99"/>
    <w:semiHidden/>
    <w:rsid w:val="00FF04A3"/>
    <w:pPr>
      <w:suppressAutoHyphens w:val="0"/>
      <w:autoSpaceDE w:val="0"/>
      <w:autoSpaceDN w:val="0"/>
      <w:spacing w:after="160" w:line="240" w:lineRule="exact"/>
    </w:pPr>
    <w:rPr>
      <w:rFonts w:ascii="Verdana" w:eastAsia="Calibri" w:hAnsi="Verdana" w:cs="Calibri"/>
      <w:sz w:val="20"/>
      <w:szCs w:val="20"/>
      <w:lang w:val="es-CR" w:eastAsia="es-ES"/>
    </w:rPr>
  </w:style>
  <w:style w:type="paragraph" w:customStyle="1" w:styleId="CarCar2CarCarCarCar">
    <w:name w:val="Car Car2 Car Car Car Car"/>
    <w:basedOn w:val="Normal"/>
    <w:uiPriority w:val="99"/>
    <w:semiHidden/>
    <w:rsid w:val="00FF04A3"/>
    <w:pPr>
      <w:suppressAutoHyphens w:val="0"/>
      <w:autoSpaceDE w:val="0"/>
      <w:autoSpaceDN w:val="0"/>
      <w:spacing w:after="160" w:line="240" w:lineRule="exact"/>
    </w:pPr>
    <w:rPr>
      <w:rFonts w:ascii="Verdana" w:eastAsia="Calibri" w:hAnsi="Verdana" w:cs="Calibri"/>
      <w:sz w:val="20"/>
      <w:szCs w:val="20"/>
      <w:lang w:val="es-CR" w:eastAsia="es-ES"/>
    </w:rPr>
  </w:style>
  <w:style w:type="paragraph" w:customStyle="1" w:styleId="Car5">
    <w:name w:val="Car5"/>
    <w:basedOn w:val="Normal"/>
    <w:uiPriority w:val="99"/>
    <w:semiHidden/>
    <w:rsid w:val="00FF04A3"/>
    <w:pPr>
      <w:suppressAutoHyphens w:val="0"/>
      <w:autoSpaceDE w:val="0"/>
      <w:autoSpaceDN w:val="0"/>
      <w:spacing w:after="160" w:line="240" w:lineRule="exact"/>
    </w:pPr>
    <w:rPr>
      <w:rFonts w:ascii="Verdana" w:eastAsia="Calibri" w:hAnsi="Verdana" w:cs="Calibri"/>
      <w:sz w:val="20"/>
      <w:szCs w:val="20"/>
      <w:lang w:val="es-CR" w:eastAsia="es-ES"/>
    </w:rPr>
  </w:style>
  <w:style w:type="paragraph" w:customStyle="1" w:styleId="Encabezamiento">
    <w:name w:val="Encabezamiento"/>
    <w:basedOn w:val="Normal"/>
    <w:uiPriority w:val="99"/>
    <w:qFormat/>
    <w:rsid w:val="00FF04A3"/>
    <w:pPr>
      <w:suppressAutoHyphens w:val="0"/>
      <w:autoSpaceDE w:val="0"/>
      <w:autoSpaceDN w:val="0"/>
    </w:pPr>
    <w:rPr>
      <w:rFonts w:ascii="Arial" w:eastAsia="Calibri" w:hAnsi="Arial" w:cs="Arial"/>
      <w:u w:val="single"/>
      <w:lang w:val="es-CR" w:eastAsia="es-ES"/>
    </w:rPr>
  </w:style>
  <w:style w:type="paragraph" w:customStyle="1" w:styleId="Notaalpie">
    <w:name w:val="Nota al pie"/>
    <w:basedOn w:val="Normal"/>
    <w:uiPriority w:val="99"/>
    <w:rsid w:val="00FF04A3"/>
    <w:pPr>
      <w:suppressAutoHyphens w:val="0"/>
      <w:spacing w:line="276" w:lineRule="auto"/>
      <w:ind w:left="283" w:hanging="283"/>
    </w:pPr>
    <w:rPr>
      <w:rFonts w:eastAsia="Calibri"/>
      <w:sz w:val="20"/>
      <w:szCs w:val="20"/>
      <w:lang w:val="es-CR" w:eastAsia="es-ES"/>
    </w:rPr>
  </w:style>
  <w:style w:type="paragraph" w:customStyle="1" w:styleId="ecxxxxmsonormal">
    <w:name w:val="ecxxxxmsonormal"/>
    <w:basedOn w:val="Normal"/>
    <w:uiPriority w:val="99"/>
    <w:semiHidden/>
    <w:rsid w:val="00FF04A3"/>
    <w:pPr>
      <w:suppressAutoHyphens w:val="0"/>
      <w:spacing w:before="100" w:beforeAutospacing="1" w:after="100" w:afterAutospacing="1"/>
    </w:pPr>
    <w:rPr>
      <w:rFonts w:eastAsia="Calibri"/>
      <w:lang w:val="es-CR" w:eastAsia="es-CR"/>
    </w:rPr>
  </w:style>
  <w:style w:type="paragraph" w:customStyle="1" w:styleId="Cierre10">
    <w:name w:val="Cierre1"/>
    <w:basedOn w:val="Normal"/>
    <w:uiPriority w:val="99"/>
    <w:rsid w:val="00FF04A3"/>
    <w:pPr>
      <w:suppressAutoHyphens w:val="0"/>
      <w:ind w:left="4252"/>
    </w:pPr>
    <w:rPr>
      <w:rFonts w:eastAsia="Calibri"/>
      <w:lang w:val="es-CR" w:eastAsia="zh-CN"/>
    </w:rPr>
  </w:style>
  <w:style w:type="paragraph" w:customStyle="1" w:styleId="cierre100">
    <w:name w:val="cierre10"/>
    <w:basedOn w:val="Normal"/>
    <w:uiPriority w:val="99"/>
    <w:semiHidden/>
    <w:rsid w:val="00FF04A3"/>
    <w:pPr>
      <w:suppressAutoHyphens w:val="0"/>
      <w:spacing w:before="100" w:beforeAutospacing="1" w:after="100" w:afterAutospacing="1"/>
    </w:pPr>
    <w:rPr>
      <w:rFonts w:eastAsia="Calibri"/>
      <w:color w:val="000000"/>
      <w:lang w:val="es-CR" w:eastAsia="es-ES"/>
    </w:rPr>
  </w:style>
  <w:style w:type="paragraph" w:customStyle="1" w:styleId="formulario">
    <w:name w:val="formulario"/>
    <w:basedOn w:val="Normal"/>
    <w:uiPriority w:val="99"/>
    <w:semiHidden/>
    <w:rsid w:val="00FF04A3"/>
    <w:pPr>
      <w:suppressAutoHyphens w:val="0"/>
      <w:spacing w:before="100" w:beforeAutospacing="1" w:after="100" w:afterAutospacing="1"/>
      <w:jc w:val="both"/>
    </w:pPr>
    <w:rPr>
      <w:rFonts w:ascii="Verdana" w:eastAsia="Calibri" w:hAnsi="Verdana" w:cs="Calibri"/>
      <w:color w:val="333333"/>
      <w:sz w:val="18"/>
      <w:szCs w:val="18"/>
      <w:lang w:val="es-CR" w:eastAsia="es-CR"/>
    </w:rPr>
  </w:style>
  <w:style w:type="paragraph" w:customStyle="1" w:styleId="Normalprueba">
    <w:name w:val="Normal.prueba"/>
    <w:basedOn w:val="Normal"/>
    <w:uiPriority w:val="99"/>
    <w:rsid w:val="00FF04A3"/>
    <w:pPr>
      <w:shd w:val="clear" w:color="auto" w:fill="FFFFFF"/>
      <w:suppressAutoHyphens w:val="0"/>
      <w:autoSpaceDE w:val="0"/>
      <w:autoSpaceDN w:val="0"/>
    </w:pPr>
    <w:rPr>
      <w:rFonts w:ascii="Arial" w:eastAsia="Calibri" w:hAnsi="Arial" w:cs="Arial"/>
      <w:color w:val="000000"/>
      <w:lang w:val="es-CR" w:eastAsia="es-ES"/>
    </w:rPr>
  </w:style>
  <w:style w:type="paragraph" w:customStyle="1" w:styleId="4">
    <w:name w:val="4"/>
    <w:basedOn w:val="Normal"/>
    <w:uiPriority w:val="99"/>
    <w:semiHidden/>
    <w:rsid w:val="00FF04A3"/>
    <w:pPr>
      <w:suppressAutoHyphens w:val="0"/>
      <w:spacing w:after="160" w:line="240" w:lineRule="exact"/>
    </w:pPr>
    <w:rPr>
      <w:rFonts w:ascii="Verdana" w:eastAsia="Calibri" w:hAnsi="Verdana" w:cs="Calibri"/>
      <w:sz w:val="20"/>
      <w:szCs w:val="20"/>
      <w:lang w:val="es-CR" w:eastAsia="en-US"/>
    </w:rPr>
  </w:style>
  <w:style w:type="paragraph" w:customStyle="1" w:styleId="s15">
    <w:name w:val="s15"/>
    <w:basedOn w:val="Normal"/>
    <w:uiPriority w:val="99"/>
    <w:semiHidden/>
    <w:rsid w:val="00FF04A3"/>
    <w:pPr>
      <w:suppressAutoHyphens w:val="0"/>
      <w:spacing w:before="100" w:after="100"/>
    </w:pPr>
    <w:rPr>
      <w:rFonts w:eastAsia="Calibri"/>
      <w:lang w:val="es-CR"/>
    </w:rPr>
  </w:style>
  <w:style w:type="paragraph" w:customStyle="1" w:styleId="s25">
    <w:name w:val="s25"/>
    <w:basedOn w:val="Normal"/>
    <w:uiPriority w:val="99"/>
    <w:semiHidden/>
    <w:rsid w:val="00FF04A3"/>
    <w:pPr>
      <w:suppressAutoHyphens w:val="0"/>
      <w:spacing w:before="100" w:after="100"/>
    </w:pPr>
    <w:rPr>
      <w:rFonts w:eastAsia="Calibri"/>
      <w:lang w:val="es-CR"/>
    </w:rPr>
  </w:style>
  <w:style w:type="paragraph" w:customStyle="1" w:styleId="s26">
    <w:name w:val="s26"/>
    <w:basedOn w:val="Normal"/>
    <w:uiPriority w:val="99"/>
    <w:semiHidden/>
    <w:rsid w:val="00FF04A3"/>
    <w:pPr>
      <w:suppressAutoHyphens w:val="0"/>
      <w:spacing w:before="100" w:after="100"/>
    </w:pPr>
    <w:rPr>
      <w:rFonts w:eastAsia="Calibri"/>
      <w:lang w:val="es-CR"/>
    </w:rPr>
  </w:style>
  <w:style w:type="paragraph" w:customStyle="1" w:styleId="fecha0">
    <w:name w:val="fecha"/>
    <w:basedOn w:val="Normal"/>
    <w:uiPriority w:val="99"/>
    <w:semiHidden/>
    <w:rsid w:val="00FF04A3"/>
    <w:pPr>
      <w:suppressAutoHyphens w:val="0"/>
      <w:spacing w:before="100" w:beforeAutospacing="1" w:after="100" w:afterAutospacing="1"/>
    </w:pPr>
    <w:rPr>
      <w:rFonts w:eastAsia="Calibri"/>
      <w:color w:val="666666"/>
      <w:lang w:val="es-CR" w:eastAsia="es-ES"/>
    </w:rPr>
  </w:style>
  <w:style w:type="paragraph" w:customStyle="1" w:styleId="s19">
    <w:name w:val="s19"/>
    <w:basedOn w:val="Normal"/>
    <w:uiPriority w:val="99"/>
    <w:semiHidden/>
    <w:rsid w:val="00FF04A3"/>
    <w:pPr>
      <w:suppressAutoHyphens w:val="0"/>
      <w:spacing w:before="100" w:after="100"/>
    </w:pPr>
    <w:rPr>
      <w:rFonts w:eastAsia="Calibri"/>
      <w:sz w:val="20"/>
      <w:szCs w:val="20"/>
      <w:lang w:val="es-CR"/>
    </w:rPr>
  </w:style>
  <w:style w:type="paragraph" w:customStyle="1" w:styleId="s27">
    <w:name w:val="s27"/>
    <w:basedOn w:val="Normal"/>
    <w:uiPriority w:val="99"/>
    <w:semiHidden/>
    <w:rsid w:val="00FF04A3"/>
    <w:pPr>
      <w:suppressAutoHyphens w:val="0"/>
      <w:spacing w:before="100" w:after="100"/>
    </w:pPr>
    <w:rPr>
      <w:rFonts w:eastAsia="Calibri"/>
      <w:sz w:val="20"/>
      <w:szCs w:val="20"/>
      <w:lang w:val="es-CR"/>
    </w:rPr>
  </w:style>
  <w:style w:type="paragraph" w:customStyle="1" w:styleId="Prrafobsico">
    <w:name w:val="[Párrafo básico]"/>
    <w:basedOn w:val="Normal"/>
    <w:uiPriority w:val="99"/>
    <w:semiHidden/>
    <w:rsid w:val="00FF04A3"/>
    <w:pPr>
      <w:suppressAutoHyphens w:val="0"/>
      <w:autoSpaceDE w:val="0"/>
      <w:spacing w:line="240" w:lineRule="atLeast"/>
      <w:jc w:val="both"/>
    </w:pPr>
    <w:rPr>
      <w:rFonts w:ascii="AvantGardeITCbyBT-Book" w:eastAsia="Calibri" w:hAnsi="AvantGardeITCbyBT-Book" w:cs="Calibri"/>
      <w:color w:val="595959"/>
      <w:spacing w:val="2"/>
      <w:sz w:val="20"/>
      <w:szCs w:val="20"/>
      <w:lang w:val="es-CR"/>
    </w:rPr>
  </w:style>
  <w:style w:type="paragraph" w:customStyle="1" w:styleId="Lneahorizontal0">
    <w:name w:val="Línea horizontal"/>
    <w:basedOn w:val="Normal"/>
    <w:uiPriority w:val="99"/>
    <w:semiHidden/>
    <w:rsid w:val="00FF04A3"/>
    <w:pPr>
      <w:suppressAutoHyphens w:val="0"/>
      <w:spacing w:after="283"/>
    </w:pPr>
    <w:rPr>
      <w:rFonts w:eastAsia="Calibri"/>
      <w:sz w:val="12"/>
      <w:szCs w:val="12"/>
      <w:lang w:val="es-CR"/>
    </w:rPr>
  </w:style>
  <w:style w:type="paragraph" w:customStyle="1" w:styleId="Fecha20">
    <w:name w:val="Fecha2"/>
    <w:basedOn w:val="Normal"/>
    <w:uiPriority w:val="99"/>
    <w:semiHidden/>
    <w:rsid w:val="00FF04A3"/>
    <w:pPr>
      <w:suppressAutoHyphens w:val="0"/>
      <w:overflowPunct w:val="0"/>
      <w:autoSpaceDE w:val="0"/>
      <w:autoSpaceDN w:val="0"/>
    </w:pPr>
    <w:rPr>
      <w:rFonts w:ascii="Courier New" w:eastAsia="Calibri" w:hAnsi="Courier New" w:cs="Courier New"/>
      <w:lang w:val="es-CR" w:eastAsia="es-ES"/>
    </w:rPr>
  </w:style>
  <w:style w:type="character" w:customStyle="1" w:styleId="xl43Car">
    <w:name w:val="xl43 Car"/>
    <w:link w:val="xl43"/>
    <w:locked/>
    <w:rsid w:val="00FF04A3"/>
    <w:rPr>
      <w:sz w:val="24"/>
      <w:szCs w:val="24"/>
      <w:shd w:val="clear" w:color="auto" w:fill="CCCCFF"/>
    </w:rPr>
  </w:style>
  <w:style w:type="paragraph" w:customStyle="1" w:styleId="Ttulo42">
    <w:name w:val="Título 42"/>
    <w:basedOn w:val="Normal"/>
    <w:uiPriority w:val="99"/>
    <w:semiHidden/>
    <w:rsid w:val="00FF04A3"/>
    <w:pPr>
      <w:keepNext/>
      <w:shd w:val="clear" w:color="auto" w:fill="FFFFFF"/>
      <w:suppressAutoHyphens w:val="0"/>
      <w:autoSpaceDE w:val="0"/>
      <w:spacing w:line="480" w:lineRule="auto"/>
      <w:ind w:left="2880" w:hanging="360"/>
      <w:jc w:val="center"/>
    </w:pPr>
    <w:rPr>
      <w:rFonts w:ascii="Arial" w:eastAsia="Calibri" w:hAnsi="Arial" w:cs="Arial"/>
      <w:b/>
      <w:bCs/>
      <w:u w:val="single"/>
      <w:lang w:val="es-CR" w:eastAsia="es-CR"/>
    </w:rPr>
  </w:style>
  <w:style w:type="paragraph" w:customStyle="1" w:styleId="Ttulo110">
    <w:name w:val="Título 11"/>
    <w:basedOn w:val="Normal"/>
    <w:uiPriority w:val="9"/>
    <w:qFormat/>
    <w:rsid w:val="00FF04A3"/>
    <w:pPr>
      <w:keepNext/>
      <w:suppressAutoHyphens w:val="0"/>
      <w:autoSpaceDE w:val="0"/>
      <w:spacing w:line="480" w:lineRule="auto"/>
      <w:ind w:left="720"/>
      <w:jc w:val="center"/>
    </w:pPr>
    <w:rPr>
      <w:rFonts w:ascii="Arial" w:eastAsia="Calibri" w:hAnsi="Arial" w:cs="Arial"/>
      <w:b/>
      <w:bCs/>
      <w:u w:val="single"/>
      <w:lang w:val="es-CR" w:eastAsia="es-ES"/>
    </w:rPr>
  </w:style>
  <w:style w:type="paragraph" w:customStyle="1" w:styleId="Ttulo34">
    <w:name w:val="TÕtulo 3"/>
    <w:basedOn w:val="Normal"/>
    <w:uiPriority w:val="99"/>
    <w:semiHidden/>
    <w:rsid w:val="00FF04A3"/>
    <w:pPr>
      <w:keepNext/>
      <w:suppressAutoHyphens w:val="0"/>
      <w:autoSpaceDE w:val="0"/>
      <w:jc w:val="both"/>
    </w:pPr>
    <w:rPr>
      <w:rFonts w:ascii="Tahoma" w:eastAsia="Calibri" w:hAnsi="Tahoma" w:cs="Tahoma"/>
      <w:b/>
      <w:bCs/>
      <w:u w:val="single"/>
      <w:lang w:val="es-CR" w:eastAsia="es-ES"/>
    </w:rPr>
  </w:style>
  <w:style w:type="paragraph" w:customStyle="1" w:styleId="Ttulo71">
    <w:name w:val="T’tulo 7"/>
    <w:basedOn w:val="Normal"/>
    <w:uiPriority w:val="99"/>
    <w:semiHidden/>
    <w:rsid w:val="00FF04A3"/>
    <w:pPr>
      <w:keepNext/>
      <w:suppressAutoHyphens w:val="0"/>
      <w:autoSpaceDE w:val="0"/>
      <w:jc w:val="both"/>
    </w:pPr>
    <w:rPr>
      <w:rFonts w:ascii="Arial" w:eastAsia="Calibri" w:hAnsi="Arial" w:cs="Arial"/>
      <w:b/>
      <w:bCs/>
      <w:u w:val="single"/>
      <w:lang w:val="es-CR" w:eastAsia="es-ES"/>
    </w:rPr>
  </w:style>
  <w:style w:type="character" w:customStyle="1" w:styleId="CarCar2CarCarCarCarCarCarCar0">
    <w:name w:val="Car Car2 Car Car Car Car Car Car Car"/>
    <w:link w:val="CarCar2CarCarCarCarCarCar0"/>
    <w:semiHidden/>
    <w:locked/>
    <w:rsid w:val="00FF04A3"/>
    <w:rPr>
      <w:rFonts w:ascii="Arial" w:hAnsi="Arial" w:cs="Arial"/>
      <w:b/>
      <w:bCs/>
    </w:rPr>
  </w:style>
  <w:style w:type="paragraph" w:customStyle="1" w:styleId="CarCar2CarCarCarCarCarCar0">
    <w:name w:val="Car Car2 Car Car Car Car Car Car"/>
    <w:basedOn w:val="Normal"/>
    <w:link w:val="CarCar2CarCarCarCarCarCarCar0"/>
    <w:semiHidden/>
    <w:rsid w:val="00FF04A3"/>
    <w:pPr>
      <w:suppressAutoHyphens w:val="0"/>
      <w:spacing w:line="360" w:lineRule="auto"/>
      <w:jc w:val="center"/>
    </w:pPr>
    <w:rPr>
      <w:rFonts w:ascii="Arial" w:hAnsi="Arial" w:cs="Arial"/>
      <w:b/>
      <w:bCs/>
      <w:sz w:val="20"/>
      <w:szCs w:val="20"/>
      <w:lang w:eastAsia="es-ES"/>
    </w:rPr>
  </w:style>
  <w:style w:type="paragraph" w:customStyle="1" w:styleId="CM30">
    <w:name w:val="CM3"/>
    <w:basedOn w:val="Normal"/>
    <w:uiPriority w:val="99"/>
    <w:semiHidden/>
    <w:rsid w:val="00FF04A3"/>
    <w:pPr>
      <w:suppressAutoHyphens w:val="0"/>
      <w:autoSpaceDE w:val="0"/>
      <w:autoSpaceDN w:val="0"/>
      <w:spacing w:line="233" w:lineRule="atLeast"/>
    </w:pPr>
    <w:rPr>
      <w:rFonts w:ascii="Arial" w:eastAsia="Calibri" w:hAnsi="Arial" w:cs="Arial"/>
      <w:lang w:val="es-CR" w:eastAsia="es-ES"/>
    </w:rPr>
  </w:style>
  <w:style w:type="paragraph" w:customStyle="1" w:styleId="Noparagraphstyle0">
    <w:name w:val="[No paragraph style]"/>
    <w:basedOn w:val="Normal"/>
    <w:uiPriority w:val="99"/>
    <w:semiHidden/>
    <w:rsid w:val="00FF04A3"/>
    <w:pPr>
      <w:suppressAutoHyphens w:val="0"/>
      <w:autoSpaceDE w:val="0"/>
      <w:autoSpaceDN w:val="0"/>
      <w:spacing w:line="288" w:lineRule="auto"/>
    </w:pPr>
    <w:rPr>
      <w:rFonts w:eastAsia="Calibri"/>
      <w:color w:val="000000"/>
      <w:lang w:val="es-CR" w:eastAsia="es-ES"/>
    </w:rPr>
  </w:style>
  <w:style w:type="paragraph" w:customStyle="1" w:styleId="Encabezado40">
    <w:name w:val="Encabezado4"/>
    <w:basedOn w:val="Normal"/>
    <w:uiPriority w:val="99"/>
    <w:qFormat/>
    <w:rsid w:val="00FF04A3"/>
    <w:pPr>
      <w:suppressAutoHyphens w:val="0"/>
    </w:pPr>
    <w:rPr>
      <w:rFonts w:ascii="Arial" w:eastAsia="Calibri" w:hAnsi="Arial" w:cs="Arial"/>
      <w:color w:val="000000"/>
      <w:sz w:val="28"/>
      <w:szCs w:val="28"/>
      <w:lang w:val="es-CR" w:eastAsia="es-CR"/>
    </w:rPr>
  </w:style>
  <w:style w:type="paragraph" w:customStyle="1" w:styleId="Textoindependiente320">
    <w:name w:val="Texto independiente 32"/>
    <w:basedOn w:val="Normal"/>
    <w:uiPriority w:val="99"/>
    <w:semiHidden/>
    <w:rsid w:val="00FF04A3"/>
    <w:pPr>
      <w:suppressAutoHyphens w:val="0"/>
      <w:ind w:right="334"/>
      <w:jc w:val="both"/>
    </w:pPr>
    <w:rPr>
      <w:rFonts w:ascii="Arial" w:eastAsia="Calibri" w:hAnsi="Arial" w:cs="Arial"/>
      <w:b/>
      <w:bCs/>
      <w:lang w:val="es-CR" w:eastAsia="es-ES"/>
    </w:rPr>
  </w:style>
  <w:style w:type="paragraph" w:customStyle="1" w:styleId="font5">
    <w:name w:val="font5"/>
    <w:basedOn w:val="Normal"/>
    <w:uiPriority w:val="99"/>
    <w:semiHidden/>
    <w:rsid w:val="00FF04A3"/>
    <w:pPr>
      <w:suppressAutoHyphens w:val="0"/>
      <w:spacing w:before="100" w:beforeAutospacing="1" w:after="100" w:afterAutospacing="1"/>
    </w:pPr>
    <w:rPr>
      <w:rFonts w:ascii="Arial" w:eastAsia="Calibri" w:hAnsi="Arial" w:cs="Arial"/>
      <w:b/>
      <w:bCs/>
      <w:color w:val="000000"/>
      <w:sz w:val="20"/>
      <w:szCs w:val="20"/>
      <w:lang w:val="es-CR" w:eastAsia="es-ES"/>
    </w:rPr>
  </w:style>
  <w:style w:type="paragraph" w:customStyle="1" w:styleId="xl57">
    <w:name w:val="xl57"/>
    <w:basedOn w:val="Normal"/>
    <w:uiPriority w:val="99"/>
    <w:semiHidden/>
    <w:rsid w:val="00FF04A3"/>
    <w:pPr>
      <w:shd w:val="clear" w:color="auto" w:fill="CCFFFF"/>
      <w:suppressAutoHyphens w:val="0"/>
      <w:spacing w:before="100" w:beforeAutospacing="1" w:after="100" w:afterAutospacing="1"/>
      <w:jc w:val="center"/>
    </w:pPr>
    <w:rPr>
      <w:rFonts w:ascii="Arial" w:eastAsia="Calibri" w:hAnsi="Arial" w:cs="Arial"/>
      <w:b/>
      <w:bCs/>
      <w:color w:val="000000"/>
      <w:sz w:val="16"/>
      <w:szCs w:val="16"/>
      <w:lang w:val="es-CR" w:eastAsia="es-ES"/>
    </w:rPr>
  </w:style>
  <w:style w:type="paragraph" w:customStyle="1" w:styleId="font6">
    <w:name w:val="font6"/>
    <w:basedOn w:val="Normal"/>
    <w:uiPriority w:val="99"/>
    <w:semiHidden/>
    <w:rsid w:val="00FF04A3"/>
    <w:pPr>
      <w:suppressAutoHyphens w:val="0"/>
      <w:spacing w:before="100" w:beforeAutospacing="1" w:after="100" w:afterAutospacing="1"/>
    </w:pPr>
    <w:rPr>
      <w:rFonts w:ascii="Tahoma" w:eastAsia="Calibri" w:hAnsi="Tahoma" w:cs="Tahoma"/>
      <w:color w:val="000000"/>
      <w:sz w:val="16"/>
      <w:szCs w:val="16"/>
      <w:lang w:val="es-CR" w:eastAsia="es-ES"/>
    </w:rPr>
  </w:style>
  <w:style w:type="paragraph" w:customStyle="1" w:styleId="xl22">
    <w:name w:val="xl22"/>
    <w:basedOn w:val="Normal"/>
    <w:uiPriority w:val="99"/>
    <w:semiHidden/>
    <w:rsid w:val="00FF04A3"/>
    <w:pPr>
      <w:suppressAutoHyphens w:val="0"/>
      <w:spacing w:before="100" w:beforeAutospacing="1" w:after="100" w:afterAutospacing="1"/>
      <w:jc w:val="center"/>
    </w:pPr>
    <w:rPr>
      <w:rFonts w:ascii="Arial" w:eastAsia="Calibri" w:hAnsi="Arial" w:cs="Arial"/>
      <w:b/>
      <w:bCs/>
      <w:sz w:val="16"/>
      <w:szCs w:val="16"/>
      <w:lang w:val="es-CR" w:eastAsia="es-ES"/>
    </w:rPr>
  </w:style>
  <w:style w:type="paragraph" w:customStyle="1" w:styleId="xl23">
    <w:name w:val="xl23"/>
    <w:basedOn w:val="Normal"/>
    <w:uiPriority w:val="99"/>
    <w:semiHidden/>
    <w:rsid w:val="00FF04A3"/>
    <w:pPr>
      <w:suppressAutoHyphens w:val="0"/>
      <w:spacing w:before="100" w:beforeAutospacing="1" w:after="100" w:afterAutospacing="1"/>
      <w:jc w:val="center"/>
    </w:pPr>
    <w:rPr>
      <w:rFonts w:ascii="Arial" w:eastAsia="Calibri" w:hAnsi="Arial" w:cs="Arial"/>
      <w:lang w:val="es-CR" w:eastAsia="es-ES"/>
    </w:rPr>
  </w:style>
  <w:style w:type="paragraph" w:customStyle="1" w:styleId="normal100">
    <w:name w:val="normal10"/>
    <w:basedOn w:val="Normal"/>
    <w:uiPriority w:val="99"/>
    <w:semiHidden/>
    <w:rsid w:val="00FF04A3"/>
    <w:pPr>
      <w:suppressAutoHyphens w:val="0"/>
    </w:pPr>
    <w:rPr>
      <w:rFonts w:eastAsia="Calibri"/>
      <w:color w:val="000000"/>
      <w:lang w:val="es-CR" w:eastAsia="es-ES"/>
    </w:rPr>
  </w:style>
  <w:style w:type="paragraph" w:customStyle="1" w:styleId="Remitedesobre1">
    <w:name w:val="Remite de sobre1"/>
    <w:basedOn w:val="Normal"/>
    <w:uiPriority w:val="99"/>
    <w:semiHidden/>
    <w:rsid w:val="00FF04A3"/>
    <w:pPr>
      <w:suppressAutoHyphens w:val="0"/>
      <w:autoSpaceDE w:val="0"/>
    </w:pPr>
    <w:rPr>
      <w:rFonts w:ascii="Arial" w:eastAsia="Calibri" w:hAnsi="Arial" w:cs="Arial"/>
      <w:color w:val="000000"/>
      <w:spacing w:val="-3"/>
      <w:lang w:val="es-CR" w:eastAsia="hi-IN"/>
    </w:rPr>
  </w:style>
  <w:style w:type="paragraph" w:customStyle="1" w:styleId="Headings">
    <w:name w:val="Headings"/>
    <w:basedOn w:val="Normal"/>
    <w:uiPriority w:val="99"/>
    <w:semiHidden/>
    <w:rsid w:val="00FF04A3"/>
    <w:pPr>
      <w:suppressAutoHyphens w:val="0"/>
      <w:spacing w:after="40" w:line="100" w:lineRule="atLeast"/>
    </w:pPr>
    <w:rPr>
      <w:rFonts w:ascii="Tahoma" w:eastAsia="Calibri" w:hAnsi="Tahoma" w:cs="Tahoma"/>
      <w:b/>
      <w:bCs/>
      <w:color w:val="00000A"/>
      <w:sz w:val="20"/>
      <w:szCs w:val="20"/>
      <w:lang w:val="es-CR" w:eastAsia="zh-CN"/>
    </w:rPr>
  </w:style>
  <w:style w:type="paragraph" w:customStyle="1" w:styleId="Textoindependiente230">
    <w:name w:val="Texto independiente 23"/>
    <w:basedOn w:val="Normal"/>
    <w:uiPriority w:val="99"/>
    <w:semiHidden/>
    <w:rsid w:val="00FF04A3"/>
    <w:pPr>
      <w:suppressAutoHyphens w:val="0"/>
      <w:spacing w:after="120" w:line="480" w:lineRule="auto"/>
    </w:pPr>
    <w:rPr>
      <w:rFonts w:eastAsia="Calibri"/>
      <w:sz w:val="20"/>
      <w:szCs w:val="20"/>
      <w:lang w:val="es-CR"/>
    </w:rPr>
  </w:style>
  <w:style w:type="paragraph" w:customStyle="1" w:styleId="h-subtitle01italics">
    <w:name w:val="h-subtitle01italics"/>
    <w:basedOn w:val="Normal"/>
    <w:uiPriority w:val="99"/>
    <w:semiHidden/>
    <w:rsid w:val="00FF04A3"/>
    <w:pPr>
      <w:keepNext/>
      <w:suppressAutoHyphens w:val="0"/>
      <w:autoSpaceDN w:val="0"/>
      <w:spacing w:before="240" w:after="120"/>
    </w:pPr>
    <w:rPr>
      <w:rFonts w:ascii="Arial" w:eastAsia="Calibri" w:hAnsi="Arial" w:cs="Arial"/>
      <w:i/>
      <w:iCs/>
      <w:sz w:val="20"/>
      <w:szCs w:val="20"/>
      <w:lang w:val="es-CR" w:eastAsia="es-ES"/>
    </w:rPr>
  </w:style>
  <w:style w:type="paragraph" w:customStyle="1" w:styleId="bodytextarial">
    <w:name w:val="bodytextarial"/>
    <w:basedOn w:val="Normal"/>
    <w:uiPriority w:val="99"/>
    <w:semiHidden/>
    <w:rsid w:val="00FF04A3"/>
    <w:pPr>
      <w:suppressAutoHyphens w:val="0"/>
      <w:spacing w:before="60" w:after="180" w:line="312" w:lineRule="auto"/>
    </w:pPr>
    <w:rPr>
      <w:rFonts w:ascii="Arial" w:eastAsia="Calibri" w:hAnsi="Arial" w:cs="Arial"/>
      <w:sz w:val="20"/>
      <w:szCs w:val="20"/>
      <w:lang w:val="es-CR" w:eastAsia="es-ES"/>
    </w:rPr>
  </w:style>
  <w:style w:type="paragraph" w:customStyle="1" w:styleId="captulottuloapndice">
    <w:name w:val="captulottuloapndice"/>
    <w:basedOn w:val="Normal"/>
    <w:uiPriority w:val="99"/>
    <w:semiHidden/>
    <w:rsid w:val="00FF04A3"/>
    <w:pPr>
      <w:keepNext/>
      <w:suppressAutoHyphens w:val="0"/>
      <w:overflowPunct w:val="0"/>
      <w:autoSpaceDE w:val="0"/>
      <w:autoSpaceDN w:val="0"/>
      <w:spacing w:line="680" w:lineRule="atLeast"/>
      <w:jc w:val="right"/>
    </w:pPr>
    <w:rPr>
      <w:rFonts w:eastAsia="Calibri"/>
      <w:sz w:val="68"/>
      <w:szCs w:val="68"/>
      <w:lang w:val="es-CR" w:eastAsia="en-US"/>
    </w:rPr>
  </w:style>
  <w:style w:type="paragraph" w:customStyle="1" w:styleId="p4">
    <w:name w:val="p4"/>
    <w:basedOn w:val="Normal"/>
    <w:uiPriority w:val="99"/>
    <w:semiHidden/>
    <w:rsid w:val="00FF04A3"/>
    <w:pPr>
      <w:suppressAutoHyphens w:val="0"/>
      <w:autoSpaceDE w:val="0"/>
      <w:autoSpaceDN w:val="0"/>
      <w:jc w:val="both"/>
    </w:pPr>
    <w:rPr>
      <w:rFonts w:eastAsia="Calibri"/>
      <w:lang w:val="es-CR" w:eastAsia="es-ES"/>
    </w:rPr>
  </w:style>
  <w:style w:type="paragraph" w:customStyle="1" w:styleId="p5">
    <w:name w:val="p5"/>
    <w:basedOn w:val="Normal"/>
    <w:uiPriority w:val="99"/>
    <w:semiHidden/>
    <w:rsid w:val="00FF04A3"/>
    <w:pPr>
      <w:suppressAutoHyphens w:val="0"/>
      <w:autoSpaceDE w:val="0"/>
      <w:autoSpaceDN w:val="0"/>
      <w:ind w:firstLine="340"/>
      <w:jc w:val="both"/>
    </w:pPr>
    <w:rPr>
      <w:rFonts w:eastAsia="Calibri"/>
      <w:lang w:val="es-CR" w:eastAsia="es-ES"/>
    </w:rPr>
  </w:style>
  <w:style w:type="paragraph" w:customStyle="1" w:styleId="subtituloblue">
    <w:name w:val="subtituloblue"/>
    <w:basedOn w:val="Normal"/>
    <w:uiPriority w:val="99"/>
    <w:semiHidden/>
    <w:rsid w:val="00FF04A3"/>
    <w:pPr>
      <w:suppressAutoHyphens w:val="0"/>
      <w:spacing w:before="100" w:beforeAutospacing="1" w:after="100" w:afterAutospacing="1"/>
    </w:pPr>
    <w:rPr>
      <w:rFonts w:ascii="Georgia" w:eastAsia="Calibri" w:hAnsi="Georgia" w:cs="Calibri"/>
      <w:b/>
      <w:bCs/>
      <w:i/>
      <w:iCs/>
      <w:color w:val="3C5487"/>
      <w:sz w:val="18"/>
      <w:szCs w:val="18"/>
      <w:lang w:val="es-CR" w:eastAsia="es-ES"/>
    </w:rPr>
  </w:style>
  <w:style w:type="paragraph" w:customStyle="1" w:styleId="Titulo2">
    <w:name w:val="Titulo 2"/>
    <w:basedOn w:val="Normal"/>
    <w:uiPriority w:val="99"/>
    <w:semiHidden/>
    <w:rsid w:val="00FF04A3"/>
    <w:pPr>
      <w:suppressAutoHyphens w:val="0"/>
      <w:jc w:val="both"/>
    </w:pPr>
    <w:rPr>
      <w:rFonts w:ascii="Arial" w:eastAsia="Calibri" w:hAnsi="Arial" w:cs="Arial"/>
      <w:sz w:val="23"/>
      <w:szCs w:val="23"/>
      <w:lang w:val="es-CR" w:eastAsia="es-ES"/>
    </w:rPr>
  </w:style>
  <w:style w:type="paragraph" w:customStyle="1" w:styleId="t3fulo70">
    <w:name w:val="t3fulo7"/>
    <w:basedOn w:val="Normal"/>
    <w:uiPriority w:val="99"/>
    <w:semiHidden/>
    <w:rsid w:val="00FF04A3"/>
    <w:pPr>
      <w:keepNext/>
      <w:shd w:val="clear" w:color="auto" w:fill="FFFFFF"/>
      <w:suppressAutoHyphens w:val="0"/>
      <w:autoSpaceDE w:val="0"/>
      <w:jc w:val="both"/>
    </w:pPr>
    <w:rPr>
      <w:rFonts w:ascii="Arial" w:eastAsia="Calibri" w:hAnsi="Arial" w:cs="Arial"/>
      <w:b/>
      <w:bCs/>
      <w:u w:val="single"/>
      <w:lang w:val="es-CR" w:eastAsia="es-ES"/>
    </w:rPr>
  </w:style>
  <w:style w:type="paragraph" w:customStyle="1" w:styleId="WW-Texto0">
    <w:name w:val="WW-Texto"/>
    <w:basedOn w:val="Normal"/>
    <w:uiPriority w:val="99"/>
    <w:semiHidden/>
    <w:rsid w:val="00FF04A3"/>
    <w:pPr>
      <w:suppressAutoHyphens w:val="0"/>
      <w:overflowPunct w:val="0"/>
      <w:autoSpaceDE w:val="0"/>
      <w:spacing w:after="120" w:line="240" w:lineRule="exact"/>
      <w:jc w:val="both"/>
    </w:pPr>
    <w:rPr>
      <w:rFonts w:ascii="Arial" w:eastAsia="Calibri" w:hAnsi="Arial" w:cs="Arial"/>
      <w:sz w:val="20"/>
      <w:szCs w:val="20"/>
      <w:lang w:val="es-CR"/>
    </w:rPr>
  </w:style>
  <w:style w:type="paragraph" w:customStyle="1" w:styleId="ListProcedureItem10">
    <w:name w:val="List Procedure Item 1"/>
    <w:basedOn w:val="Normal"/>
    <w:uiPriority w:val="99"/>
    <w:semiHidden/>
    <w:rsid w:val="00FF04A3"/>
    <w:pPr>
      <w:suppressAutoHyphens w:val="0"/>
      <w:overflowPunct w:val="0"/>
      <w:autoSpaceDE w:val="0"/>
      <w:spacing w:after="80" w:line="240" w:lineRule="exact"/>
      <w:ind w:left="238" w:hanging="238"/>
      <w:jc w:val="both"/>
    </w:pPr>
    <w:rPr>
      <w:rFonts w:ascii="Arial" w:eastAsia="Calibri" w:hAnsi="Arial" w:cs="Arial"/>
      <w:sz w:val="20"/>
      <w:szCs w:val="20"/>
      <w:lang w:val="es-CR"/>
    </w:rPr>
  </w:style>
  <w:style w:type="paragraph" w:customStyle="1" w:styleId="H-Subtitle01Italics0">
    <w:name w:val="H-Subtitle 01_Italics"/>
    <w:basedOn w:val="Normal"/>
    <w:uiPriority w:val="99"/>
    <w:semiHidden/>
    <w:rsid w:val="00FF04A3"/>
    <w:pPr>
      <w:keepNext/>
      <w:suppressAutoHyphens w:val="0"/>
      <w:autoSpaceDN w:val="0"/>
      <w:spacing w:before="240" w:after="120"/>
    </w:pPr>
    <w:rPr>
      <w:rFonts w:ascii="Arial" w:eastAsia="Calibri" w:hAnsi="Arial" w:cs="Arial"/>
      <w:i/>
      <w:iCs/>
      <w:sz w:val="20"/>
      <w:szCs w:val="20"/>
      <w:lang w:val="es-CR" w:eastAsia="zh-CN"/>
    </w:rPr>
  </w:style>
  <w:style w:type="paragraph" w:customStyle="1" w:styleId="Empresa">
    <w:name w:val="Empresa"/>
    <w:basedOn w:val="Normal"/>
    <w:uiPriority w:val="99"/>
    <w:semiHidden/>
    <w:rsid w:val="00FF04A3"/>
    <w:pPr>
      <w:suppressAutoHyphens w:val="0"/>
      <w:spacing w:before="360" w:after="360"/>
      <w:ind w:left="357"/>
      <w:jc w:val="center"/>
    </w:pPr>
    <w:rPr>
      <w:rFonts w:ascii="Tahoma" w:eastAsia="Calibri" w:hAnsi="Tahoma" w:cs="Tahoma"/>
      <w:b/>
      <w:bCs/>
      <w:smallCaps/>
      <w:color w:val="800000"/>
      <w:sz w:val="32"/>
      <w:szCs w:val="32"/>
      <w:lang w:val="es-CR" w:eastAsia="es-ES"/>
    </w:rPr>
  </w:style>
  <w:style w:type="paragraph" w:customStyle="1" w:styleId="TDocCover02Subtitle">
    <w:name w:val="TDoc_Cover 02_Subtitle"/>
    <w:basedOn w:val="Normal"/>
    <w:uiPriority w:val="99"/>
    <w:semiHidden/>
    <w:rsid w:val="00FF04A3"/>
    <w:pPr>
      <w:framePr w:hSpace="187" w:wrap="around" w:vAnchor="page" w:hAnchor="margin" w:y="865"/>
      <w:suppressAutoHyphens w:val="0"/>
      <w:jc w:val="right"/>
    </w:pPr>
    <w:rPr>
      <w:rFonts w:ascii="Arial Black" w:eastAsia="Calibri" w:hAnsi="Arial Black" w:cs="Calibri"/>
      <w:color w:val="808080"/>
      <w:sz w:val="18"/>
      <w:szCs w:val="18"/>
      <w:lang w:val="es-CR" w:eastAsia="en-US"/>
    </w:rPr>
  </w:style>
  <w:style w:type="paragraph" w:customStyle="1" w:styleId="TDocCover05Header-Footer">
    <w:name w:val="TDoc_Cover 05_Header-Footer"/>
    <w:basedOn w:val="Normal"/>
    <w:uiPriority w:val="99"/>
    <w:semiHidden/>
    <w:rsid w:val="00FF04A3"/>
    <w:pPr>
      <w:suppressAutoHyphens w:val="0"/>
    </w:pPr>
    <w:rPr>
      <w:rFonts w:ascii="Arial" w:eastAsia="Calibri" w:hAnsi="Arial" w:cs="Arial"/>
      <w:b/>
      <w:bCs/>
      <w:color w:val="808080"/>
      <w:sz w:val="16"/>
      <w:szCs w:val="16"/>
      <w:lang w:val="es-CR" w:eastAsia="en-US"/>
    </w:rPr>
  </w:style>
  <w:style w:type="paragraph" w:customStyle="1" w:styleId="msoaddress">
    <w:name w:val="msoaddress"/>
    <w:basedOn w:val="Normal"/>
    <w:uiPriority w:val="99"/>
    <w:semiHidden/>
    <w:rsid w:val="00FF04A3"/>
    <w:pPr>
      <w:suppressAutoHyphens w:val="0"/>
      <w:spacing w:before="100" w:beforeAutospacing="1" w:after="100" w:afterAutospacing="1"/>
    </w:pPr>
    <w:rPr>
      <w:rFonts w:eastAsia="Calibri"/>
      <w:lang w:val="es-CR" w:eastAsia="es-ES"/>
    </w:rPr>
  </w:style>
  <w:style w:type="paragraph" w:customStyle="1" w:styleId="citadestacada0">
    <w:name w:val="citadestacada"/>
    <w:basedOn w:val="Normal"/>
    <w:uiPriority w:val="99"/>
    <w:semiHidden/>
    <w:rsid w:val="00FF04A3"/>
    <w:pPr>
      <w:suppressAutoHyphens w:val="0"/>
      <w:spacing w:before="200" w:after="280"/>
      <w:ind w:left="936" w:right="936"/>
    </w:pPr>
    <w:rPr>
      <w:rFonts w:eastAsia="Calibri"/>
      <w:b/>
      <w:bCs/>
      <w:i/>
      <w:iCs/>
      <w:color w:val="4F81BD"/>
      <w:sz w:val="20"/>
      <w:szCs w:val="20"/>
      <w:lang w:val="es-CR" w:eastAsia="es-ES"/>
    </w:rPr>
  </w:style>
  <w:style w:type="paragraph" w:customStyle="1" w:styleId="msolistparagraph00">
    <w:name w:val="msolistparagraph0"/>
    <w:basedOn w:val="Normal"/>
    <w:uiPriority w:val="99"/>
    <w:semiHidden/>
    <w:rsid w:val="00FF04A3"/>
    <w:pPr>
      <w:suppressAutoHyphens w:val="0"/>
      <w:spacing w:before="280" w:after="280"/>
    </w:pPr>
    <w:rPr>
      <w:rFonts w:eastAsia="Calibri"/>
      <w:lang w:val="es-CR"/>
    </w:rPr>
  </w:style>
  <w:style w:type="paragraph" w:customStyle="1" w:styleId="BodyTextArial0">
    <w:name w:val="Body Text_Arial"/>
    <w:basedOn w:val="Normal"/>
    <w:uiPriority w:val="99"/>
    <w:semiHidden/>
    <w:rsid w:val="00FF04A3"/>
    <w:pPr>
      <w:suppressAutoHyphens w:val="0"/>
      <w:spacing w:before="60" w:after="180" w:line="312" w:lineRule="auto"/>
    </w:pPr>
    <w:rPr>
      <w:rFonts w:ascii="Arial" w:eastAsia="Calibri" w:hAnsi="Arial" w:cs="Arial"/>
      <w:sz w:val="20"/>
      <w:szCs w:val="20"/>
      <w:lang w:val="es-CR" w:eastAsia="en-US"/>
    </w:rPr>
  </w:style>
  <w:style w:type="paragraph" w:customStyle="1" w:styleId="PlainText1">
    <w:name w:val="Plain Text1"/>
    <w:basedOn w:val="Normal"/>
    <w:uiPriority w:val="99"/>
    <w:semiHidden/>
    <w:rsid w:val="00FF04A3"/>
    <w:pPr>
      <w:suppressAutoHyphens w:val="0"/>
      <w:jc w:val="both"/>
    </w:pPr>
    <w:rPr>
      <w:rFonts w:ascii="Courier New" w:eastAsia="Calibri" w:hAnsi="Courier New" w:cs="Courier New"/>
      <w:lang w:val="es-CR"/>
    </w:rPr>
  </w:style>
  <w:style w:type="paragraph" w:customStyle="1" w:styleId="NombreInforme">
    <w:name w:val="Nombre Informe"/>
    <w:basedOn w:val="Normal"/>
    <w:uiPriority w:val="99"/>
    <w:semiHidden/>
    <w:rsid w:val="00FF04A3"/>
    <w:pPr>
      <w:keepNext/>
      <w:suppressAutoHyphens w:val="0"/>
      <w:spacing w:before="360" w:after="240"/>
      <w:jc w:val="center"/>
    </w:pPr>
    <w:rPr>
      <w:rFonts w:ascii="Tahoma" w:eastAsia="Calibri" w:hAnsi="Tahoma" w:cs="Tahoma"/>
      <w:b/>
      <w:bCs/>
      <w:smallCaps/>
      <w:color w:val="800000"/>
      <w:sz w:val="28"/>
      <w:szCs w:val="28"/>
      <w:lang w:val="es-CR"/>
    </w:rPr>
  </w:style>
  <w:style w:type="paragraph" w:customStyle="1" w:styleId="ndicel10">
    <w:name w:val="Índicel 10"/>
    <w:basedOn w:val="Normal"/>
    <w:uiPriority w:val="99"/>
    <w:semiHidden/>
    <w:rsid w:val="00FF04A3"/>
    <w:pPr>
      <w:suppressAutoHyphens w:val="0"/>
      <w:ind w:left="2547"/>
    </w:pPr>
    <w:rPr>
      <w:rFonts w:eastAsia="Calibri"/>
      <w:lang w:val="es-CR"/>
    </w:rPr>
  </w:style>
  <w:style w:type="paragraph" w:customStyle="1" w:styleId="Framecontents1">
    <w:name w:val="Frame contents"/>
    <w:basedOn w:val="Normal"/>
    <w:uiPriority w:val="99"/>
    <w:rsid w:val="00FF04A3"/>
    <w:pPr>
      <w:suppressAutoHyphens w:val="0"/>
      <w:overflowPunct w:val="0"/>
      <w:autoSpaceDE w:val="0"/>
      <w:autoSpaceDN w:val="0"/>
      <w:jc w:val="both"/>
    </w:pPr>
    <w:rPr>
      <w:rFonts w:ascii="Century Gothic" w:eastAsia="Calibri" w:hAnsi="Century Gothic" w:cs="Calibri"/>
      <w:lang w:val="es-CR" w:eastAsia="es-ES"/>
    </w:rPr>
  </w:style>
  <w:style w:type="paragraph" w:customStyle="1" w:styleId="Sangra2detindependiente20">
    <w:name w:val="Sangría 2 de t. independiente2"/>
    <w:basedOn w:val="Normal"/>
    <w:uiPriority w:val="99"/>
    <w:semiHidden/>
    <w:rsid w:val="00FF04A3"/>
    <w:pPr>
      <w:suppressAutoHyphens w:val="0"/>
      <w:spacing w:after="120" w:line="480" w:lineRule="auto"/>
      <w:ind w:left="283"/>
    </w:pPr>
    <w:rPr>
      <w:rFonts w:eastAsia="Calibri"/>
      <w:sz w:val="20"/>
      <w:szCs w:val="20"/>
      <w:lang w:val="es-CR"/>
    </w:rPr>
  </w:style>
  <w:style w:type="paragraph" w:customStyle="1" w:styleId="Listaconvietas22">
    <w:name w:val="Lista con viñetas2"/>
    <w:basedOn w:val="Normal"/>
    <w:uiPriority w:val="99"/>
    <w:semiHidden/>
    <w:rsid w:val="00FF04A3"/>
    <w:pPr>
      <w:suppressAutoHyphens w:val="0"/>
      <w:ind w:left="1080" w:hanging="360"/>
    </w:pPr>
    <w:rPr>
      <w:rFonts w:ascii="Arial" w:eastAsia="Calibri" w:hAnsi="Arial" w:cs="Arial"/>
      <w:lang w:val="es-CR"/>
    </w:rPr>
  </w:style>
  <w:style w:type="paragraph" w:customStyle="1" w:styleId="Textodebloque20">
    <w:name w:val="Texto de bloque2"/>
    <w:basedOn w:val="Normal"/>
    <w:uiPriority w:val="99"/>
    <w:semiHidden/>
    <w:rsid w:val="00FF04A3"/>
    <w:pPr>
      <w:suppressAutoHyphens w:val="0"/>
      <w:ind w:left="851" w:right="851" w:firstLine="709"/>
      <w:jc w:val="both"/>
    </w:pPr>
    <w:rPr>
      <w:rFonts w:eastAsia="Calibri"/>
      <w:lang w:val="es-CR"/>
    </w:rPr>
  </w:style>
  <w:style w:type="paragraph" w:customStyle="1" w:styleId="Sangra3detindependiente20">
    <w:name w:val="Sangría 3 de t. independiente2"/>
    <w:basedOn w:val="Normal"/>
    <w:uiPriority w:val="99"/>
    <w:semiHidden/>
    <w:rsid w:val="00FF04A3"/>
    <w:pPr>
      <w:suppressAutoHyphens w:val="0"/>
      <w:spacing w:after="120"/>
      <w:ind w:left="283"/>
    </w:pPr>
    <w:rPr>
      <w:rFonts w:eastAsia="Calibri"/>
      <w:sz w:val="16"/>
      <w:szCs w:val="16"/>
      <w:lang w:val="es-CR"/>
    </w:rPr>
  </w:style>
  <w:style w:type="paragraph" w:customStyle="1" w:styleId="WW-Predeterminado110">
    <w:name w:val="WW-Predeterminado11"/>
    <w:basedOn w:val="Normal"/>
    <w:uiPriority w:val="99"/>
    <w:semiHidden/>
    <w:rsid w:val="00FF04A3"/>
    <w:pPr>
      <w:suppressAutoHyphens w:val="0"/>
      <w:autoSpaceDE w:val="0"/>
    </w:pPr>
    <w:rPr>
      <w:rFonts w:ascii="Arial" w:eastAsia="Calibri" w:hAnsi="Arial" w:cs="Arial"/>
      <w:color w:val="000000"/>
      <w:lang w:val="es-CR"/>
    </w:rPr>
  </w:style>
  <w:style w:type="paragraph" w:customStyle="1" w:styleId="Lista210">
    <w:name w:val="Lista 21"/>
    <w:basedOn w:val="Normal"/>
    <w:uiPriority w:val="99"/>
    <w:semiHidden/>
    <w:rsid w:val="00FF04A3"/>
    <w:pPr>
      <w:suppressAutoHyphens w:val="0"/>
      <w:ind w:left="566" w:hanging="283"/>
    </w:pPr>
    <w:rPr>
      <w:rFonts w:eastAsia="Calibri"/>
      <w:sz w:val="20"/>
      <w:szCs w:val="20"/>
      <w:lang w:val="es-CR"/>
    </w:rPr>
  </w:style>
  <w:style w:type="paragraph" w:customStyle="1" w:styleId="Textoindependienteprimerasangra10">
    <w:name w:val="Texto independiente primera sangría1"/>
    <w:basedOn w:val="Normal"/>
    <w:uiPriority w:val="99"/>
    <w:semiHidden/>
    <w:rsid w:val="00FF04A3"/>
    <w:pPr>
      <w:suppressAutoHyphens w:val="0"/>
      <w:spacing w:after="120"/>
      <w:ind w:firstLine="210"/>
    </w:pPr>
    <w:rPr>
      <w:rFonts w:eastAsia="Calibri"/>
      <w:sz w:val="20"/>
      <w:szCs w:val="20"/>
      <w:lang w:val="es-CR"/>
    </w:rPr>
  </w:style>
  <w:style w:type="paragraph" w:customStyle="1" w:styleId="Lista310">
    <w:name w:val="Lista 31"/>
    <w:basedOn w:val="Normal"/>
    <w:uiPriority w:val="99"/>
    <w:rsid w:val="00FF04A3"/>
    <w:pPr>
      <w:suppressAutoHyphens w:val="0"/>
      <w:ind w:left="849" w:hanging="283"/>
    </w:pPr>
    <w:rPr>
      <w:rFonts w:eastAsia="Calibri"/>
      <w:sz w:val="20"/>
      <w:szCs w:val="20"/>
      <w:lang w:val="es-CR"/>
    </w:rPr>
  </w:style>
  <w:style w:type="paragraph" w:customStyle="1" w:styleId="WW-Encabezado10">
    <w:name w:val="WW-Encabezado 1"/>
    <w:basedOn w:val="Normal"/>
    <w:uiPriority w:val="99"/>
    <w:semiHidden/>
    <w:rsid w:val="00FF04A3"/>
    <w:pPr>
      <w:keepNext/>
      <w:suppressAutoHyphens w:val="0"/>
      <w:autoSpaceDE w:val="0"/>
      <w:jc w:val="both"/>
    </w:pPr>
    <w:rPr>
      <w:rFonts w:ascii="Comic Sans MS" w:eastAsia="Calibri" w:hAnsi="Comic Sans MS" w:cs="Calibri"/>
      <w:b/>
      <w:bCs/>
      <w:sz w:val="28"/>
      <w:szCs w:val="28"/>
      <w:lang w:val="es-CR"/>
    </w:rPr>
  </w:style>
  <w:style w:type="paragraph" w:customStyle="1" w:styleId="WW-Encabezado31">
    <w:name w:val="WW-Encabezado 3"/>
    <w:basedOn w:val="Normal"/>
    <w:uiPriority w:val="99"/>
    <w:semiHidden/>
    <w:rsid w:val="00FF04A3"/>
    <w:pPr>
      <w:keepNext/>
      <w:suppressAutoHyphens w:val="0"/>
      <w:autoSpaceDE w:val="0"/>
      <w:jc w:val="center"/>
    </w:pPr>
    <w:rPr>
      <w:rFonts w:eastAsia="Calibri"/>
      <w:b/>
      <w:bCs/>
      <w:sz w:val="18"/>
      <w:szCs w:val="18"/>
      <w:lang w:val="es-CR"/>
    </w:rPr>
  </w:style>
  <w:style w:type="paragraph" w:customStyle="1" w:styleId="Listaconnmeros10">
    <w:name w:val="Lista con números1"/>
    <w:basedOn w:val="Normal"/>
    <w:uiPriority w:val="99"/>
    <w:semiHidden/>
    <w:rsid w:val="00FF04A3"/>
    <w:pPr>
      <w:suppressAutoHyphens w:val="0"/>
      <w:ind w:left="643" w:hanging="360"/>
    </w:pPr>
    <w:rPr>
      <w:rFonts w:eastAsia="Calibri"/>
      <w:sz w:val="20"/>
      <w:szCs w:val="20"/>
      <w:lang w:val="es-CR"/>
    </w:rPr>
  </w:style>
  <w:style w:type="paragraph" w:customStyle="1" w:styleId="Saludo10">
    <w:name w:val="Saludo1"/>
    <w:basedOn w:val="Normal"/>
    <w:uiPriority w:val="99"/>
    <w:semiHidden/>
    <w:rsid w:val="00FF04A3"/>
    <w:pPr>
      <w:suppressAutoHyphens w:val="0"/>
    </w:pPr>
    <w:rPr>
      <w:rFonts w:ascii="Calibri" w:eastAsia="Calibri" w:hAnsi="Calibri" w:cs="Calibri"/>
      <w:sz w:val="20"/>
      <w:szCs w:val="20"/>
      <w:lang w:val="es-CR"/>
    </w:rPr>
  </w:style>
  <w:style w:type="paragraph" w:customStyle="1" w:styleId="Continuarlista210">
    <w:name w:val="Continuar lista 21"/>
    <w:basedOn w:val="Normal"/>
    <w:uiPriority w:val="99"/>
    <w:semiHidden/>
    <w:rsid w:val="00FF04A3"/>
    <w:pPr>
      <w:suppressAutoHyphens w:val="0"/>
      <w:spacing w:after="120"/>
      <w:ind w:left="566"/>
    </w:pPr>
    <w:rPr>
      <w:rFonts w:eastAsia="Calibri"/>
      <w:lang w:val="es-CR"/>
    </w:rPr>
  </w:style>
  <w:style w:type="paragraph" w:customStyle="1" w:styleId="Textocomentario3">
    <w:name w:val="Texto comentario3"/>
    <w:basedOn w:val="Normal"/>
    <w:uiPriority w:val="99"/>
    <w:semiHidden/>
    <w:rsid w:val="00FF04A3"/>
    <w:pPr>
      <w:suppressAutoHyphens w:val="0"/>
    </w:pPr>
    <w:rPr>
      <w:rFonts w:eastAsia="Calibri"/>
      <w:sz w:val="20"/>
      <w:szCs w:val="20"/>
      <w:lang w:val="es-CR" w:eastAsia="hi-IN"/>
    </w:rPr>
  </w:style>
  <w:style w:type="paragraph" w:customStyle="1" w:styleId="CarCarCarCarCarCar1">
    <w:name w:val="Car Car Car Car Car Car1"/>
    <w:basedOn w:val="Normal"/>
    <w:uiPriority w:val="99"/>
    <w:semiHidden/>
    <w:rsid w:val="00FF04A3"/>
    <w:pPr>
      <w:suppressAutoHyphens w:val="0"/>
      <w:spacing w:after="160" w:line="240" w:lineRule="exact"/>
    </w:pPr>
    <w:rPr>
      <w:rFonts w:ascii="Verdana" w:eastAsia="Calibri" w:hAnsi="Verdana" w:cs="Calibri"/>
      <w:sz w:val="20"/>
      <w:szCs w:val="20"/>
      <w:lang w:val="es-CR" w:eastAsia="en-US"/>
    </w:rPr>
  </w:style>
  <w:style w:type="paragraph" w:customStyle="1" w:styleId="Encabezado7">
    <w:name w:val="Encabezado7"/>
    <w:basedOn w:val="Normal"/>
    <w:uiPriority w:val="99"/>
    <w:rsid w:val="00FF04A3"/>
    <w:pPr>
      <w:keepNext/>
      <w:suppressAutoHyphens w:val="0"/>
      <w:spacing w:before="240" w:after="120"/>
      <w:ind w:firstLine="709"/>
      <w:jc w:val="both"/>
    </w:pPr>
    <w:rPr>
      <w:rFonts w:ascii="Arial" w:eastAsia="Calibri" w:hAnsi="Arial" w:cs="Arial"/>
      <w:sz w:val="28"/>
      <w:szCs w:val="28"/>
      <w:lang w:val="es-CR" w:eastAsia="zh-CN"/>
    </w:rPr>
  </w:style>
  <w:style w:type="paragraph" w:customStyle="1" w:styleId="Encabezado6">
    <w:name w:val="Encabezado6"/>
    <w:basedOn w:val="Normal"/>
    <w:uiPriority w:val="99"/>
    <w:rsid w:val="00FF04A3"/>
    <w:pPr>
      <w:keepNext/>
      <w:suppressAutoHyphens w:val="0"/>
      <w:spacing w:before="240" w:after="120"/>
      <w:ind w:firstLine="709"/>
      <w:jc w:val="both"/>
    </w:pPr>
    <w:rPr>
      <w:rFonts w:ascii="Arial" w:eastAsia="Calibri" w:hAnsi="Arial" w:cs="Arial"/>
      <w:sz w:val="28"/>
      <w:szCs w:val="28"/>
      <w:lang w:val="es-CR" w:eastAsia="zh-CN"/>
    </w:rPr>
  </w:style>
  <w:style w:type="paragraph" w:customStyle="1" w:styleId="Encabezado5">
    <w:name w:val="Encabezado5"/>
    <w:basedOn w:val="Normal"/>
    <w:uiPriority w:val="99"/>
    <w:qFormat/>
    <w:rsid w:val="00FF04A3"/>
    <w:pPr>
      <w:keepNext/>
      <w:suppressAutoHyphens w:val="0"/>
      <w:spacing w:before="240" w:after="120"/>
      <w:ind w:firstLine="709"/>
      <w:jc w:val="both"/>
    </w:pPr>
    <w:rPr>
      <w:rFonts w:ascii="Arial" w:eastAsia="Calibri" w:hAnsi="Arial" w:cs="Arial"/>
      <w:sz w:val="28"/>
      <w:szCs w:val="28"/>
      <w:lang w:val="es-CR" w:eastAsia="zh-CN"/>
    </w:rPr>
  </w:style>
  <w:style w:type="paragraph" w:customStyle="1" w:styleId="PROGRAMA1">
    <w:name w:val="PROGRAMA"/>
    <w:basedOn w:val="Normal"/>
    <w:uiPriority w:val="99"/>
    <w:semiHidden/>
    <w:rsid w:val="00FF04A3"/>
    <w:pPr>
      <w:keepNext/>
      <w:suppressAutoHyphens w:val="0"/>
      <w:ind w:firstLine="709"/>
      <w:jc w:val="both"/>
    </w:pPr>
    <w:rPr>
      <w:rFonts w:ascii="Bookman Old Style" w:eastAsia="Calibri" w:hAnsi="Bookman Old Style" w:cs="Calibri"/>
      <w:b/>
      <w:bCs/>
      <w:sz w:val="22"/>
      <w:szCs w:val="22"/>
      <w:lang w:val="es-CR" w:eastAsia="zh-CN"/>
    </w:rPr>
  </w:style>
  <w:style w:type="paragraph" w:customStyle="1" w:styleId="TITULO1">
    <w:name w:val="TITULO1"/>
    <w:basedOn w:val="Normal"/>
    <w:uiPriority w:val="99"/>
    <w:semiHidden/>
    <w:rsid w:val="00FF04A3"/>
    <w:pPr>
      <w:keepNext/>
      <w:suppressAutoHyphens w:val="0"/>
      <w:ind w:firstLine="709"/>
      <w:jc w:val="both"/>
    </w:pPr>
    <w:rPr>
      <w:rFonts w:ascii="Bookman Old Style" w:eastAsia="Calibri" w:hAnsi="Bookman Old Style" w:cs="Calibri"/>
      <w:b/>
      <w:bCs/>
      <w:sz w:val="22"/>
      <w:szCs w:val="22"/>
      <w:lang w:val="es-CR" w:eastAsia="zh-CN"/>
    </w:rPr>
  </w:style>
  <w:style w:type="paragraph" w:customStyle="1" w:styleId="PRESENTACIONYJUSTIFICACION">
    <w:name w:val="PRESENTACION Y JUSTIFICACION"/>
    <w:basedOn w:val="Normal"/>
    <w:uiPriority w:val="99"/>
    <w:semiHidden/>
    <w:rsid w:val="00FF04A3"/>
    <w:pPr>
      <w:suppressAutoHyphens w:val="0"/>
      <w:ind w:left="720" w:hanging="360"/>
      <w:jc w:val="both"/>
    </w:pPr>
    <w:rPr>
      <w:rFonts w:ascii="Cooper Md BT" w:eastAsia="Calibri" w:hAnsi="Cooper Md BT" w:cs="Calibri"/>
      <w:b/>
      <w:bCs/>
      <w:lang w:val="es-CR" w:eastAsia="zh-CN"/>
    </w:rPr>
  </w:style>
  <w:style w:type="paragraph" w:customStyle="1" w:styleId="CURSO">
    <w:name w:val="CURSO"/>
    <w:basedOn w:val="Normal"/>
    <w:uiPriority w:val="99"/>
    <w:semiHidden/>
    <w:rsid w:val="00FF04A3"/>
    <w:pPr>
      <w:suppressAutoHyphens w:val="0"/>
      <w:ind w:left="1571" w:hanging="360"/>
      <w:jc w:val="both"/>
    </w:pPr>
    <w:rPr>
      <w:rFonts w:eastAsia="Calibri"/>
      <w:b/>
      <w:bCs/>
      <w:i/>
      <w:iCs/>
      <w:sz w:val="28"/>
      <w:szCs w:val="28"/>
      <w:lang w:val="es-CR" w:eastAsia="zh-CN"/>
    </w:rPr>
  </w:style>
  <w:style w:type="paragraph" w:customStyle="1" w:styleId="LO-Normal">
    <w:name w:val="LO-Normal"/>
    <w:basedOn w:val="Normal"/>
    <w:uiPriority w:val="99"/>
    <w:semiHidden/>
    <w:rsid w:val="00FF04A3"/>
    <w:pPr>
      <w:suppressAutoHyphens w:val="0"/>
    </w:pPr>
    <w:rPr>
      <w:rFonts w:eastAsia="Calibri"/>
      <w:lang w:val="es-CR" w:eastAsia="es-CR"/>
    </w:rPr>
  </w:style>
  <w:style w:type="paragraph" w:customStyle="1" w:styleId="Pie">
    <w:name w:val="Pie"/>
    <w:basedOn w:val="Normal"/>
    <w:uiPriority w:val="99"/>
    <w:rsid w:val="00FF04A3"/>
    <w:pPr>
      <w:suppressAutoHyphens w:val="0"/>
      <w:spacing w:before="120" w:after="120"/>
      <w:ind w:firstLine="709"/>
      <w:jc w:val="both"/>
    </w:pPr>
    <w:rPr>
      <w:rFonts w:eastAsia="Calibri"/>
      <w:i/>
      <w:iCs/>
      <w:lang w:val="es-CR"/>
    </w:rPr>
  </w:style>
  <w:style w:type="paragraph" w:customStyle="1" w:styleId="CM100">
    <w:name w:val="CM10"/>
    <w:basedOn w:val="Normal"/>
    <w:uiPriority w:val="99"/>
    <w:semiHidden/>
    <w:rsid w:val="00FF04A3"/>
    <w:pPr>
      <w:suppressAutoHyphens w:val="0"/>
      <w:autoSpaceDE w:val="0"/>
      <w:autoSpaceDN w:val="0"/>
    </w:pPr>
    <w:rPr>
      <w:rFonts w:ascii="Arial" w:eastAsia="Calibri" w:hAnsi="Arial" w:cs="Arial"/>
      <w:lang w:val="es-CR" w:eastAsia="es-ES"/>
    </w:rPr>
  </w:style>
  <w:style w:type="paragraph" w:customStyle="1" w:styleId="c">
    <w:name w:val="c"/>
    <w:basedOn w:val="Normal"/>
    <w:uiPriority w:val="99"/>
    <w:semiHidden/>
    <w:rsid w:val="00FF04A3"/>
    <w:pPr>
      <w:suppressAutoHyphens w:val="0"/>
      <w:autoSpaceDE w:val="0"/>
      <w:autoSpaceDN w:val="0"/>
      <w:spacing w:before="100" w:after="100"/>
    </w:pPr>
    <w:rPr>
      <w:rFonts w:ascii="Arial Unicode MS" w:eastAsia="Arial Unicode MS" w:hAnsi="Arial Unicode MS" w:cs="Arial Unicode MS"/>
      <w:lang w:val="es-CR" w:eastAsia="es-ES"/>
    </w:rPr>
  </w:style>
  <w:style w:type="paragraph" w:customStyle="1" w:styleId="Encabezado60">
    <w:name w:val="Encabezado 6"/>
    <w:basedOn w:val="Normal"/>
    <w:uiPriority w:val="99"/>
    <w:qFormat/>
    <w:rsid w:val="00FF04A3"/>
    <w:pPr>
      <w:keepNext/>
      <w:suppressAutoHyphens w:val="0"/>
      <w:autoSpaceDE w:val="0"/>
      <w:autoSpaceDN w:val="0"/>
      <w:jc w:val="center"/>
    </w:pPr>
    <w:rPr>
      <w:rFonts w:ascii="Arial" w:eastAsia="Calibri" w:hAnsi="Arial" w:cs="Arial"/>
      <w:lang w:val="es-CR" w:eastAsia="es-ES"/>
    </w:rPr>
  </w:style>
  <w:style w:type="paragraph" w:customStyle="1" w:styleId="Ttulo1Procedimientos">
    <w:name w:val="Título 1 Procedimientos"/>
    <w:basedOn w:val="Normal"/>
    <w:uiPriority w:val="99"/>
    <w:semiHidden/>
    <w:rsid w:val="00FF04A3"/>
    <w:pPr>
      <w:keepNext/>
      <w:suppressAutoHyphens w:val="0"/>
      <w:spacing w:before="240" w:after="240"/>
      <w:jc w:val="both"/>
    </w:pPr>
    <w:rPr>
      <w:rFonts w:ascii="Arial" w:eastAsia="Calibri" w:hAnsi="Arial" w:cs="Arial"/>
      <w:b/>
      <w:bCs/>
      <w:caps/>
      <w:smallCaps/>
      <w:color w:val="000080"/>
      <w:sz w:val="26"/>
      <w:szCs w:val="26"/>
      <w:u w:val="single"/>
      <w:lang w:val="es-CR" w:eastAsia="zh-CN"/>
    </w:rPr>
  </w:style>
  <w:style w:type="paragraph" w:customStyle="1" w:styleId="Ttulo2Procedimiento">
    <w:name w:val="Título 2 Procedimiento"/>
    <w:basedOn w:val="Normal"/>
    <w:uiPriority w:val="99"/>
    <w:semiHidden/>
    <w:rsid w:val="00FF04A3"/>
    <w:pPr>
      <w:suppressAutoHyphens w:val="0"/>
      <w:spacing w:before="240" w:after="360"/>
      <w:ind w:left="360" w:hanging="360"/>
      <w:jc w:val="both"/>
    </w:pPr>
    <w:rPr>
      <w:rFonts w:ascii="Arial" w:eastAsia="Calibri" w:hAnsi="Arial" w:cs="Arial"/>
      <w:i/>
      <w:iCs/>
      <w:lang w:val="es-CR" w:eastAsia="zh-CN"/>
    </w:rPr>
  </w:style>
  <w:style w:type="paragraph" w:customStyle="1" w:styleId="Ttulo3Procedimiento">
    <w:name w:val="Título 3 Procedimiento"/>
    <w:basedOn w:val="Normal"/>
    <w:uiPriority w:val="99"/>
    <w:semiHidden/>
    <w:rsid w:val="00FF04A3"/>
    <w:pPr>
      <w:suppressAutoHyphens w:val="0"/>
      <w:spacing w:before="240" w:after="360"/>
      <w:ind w:left="360" w:hanging="360"/>
      <w:jc w:val="both"/>
    </w:pPr>
    <w:rPr>
      <w:rFonts w:ascii="Arial" w:eastAsia="Calibri" w:hAnsi="Arial" w:cs="Arial"/>
      <w:i/>
      <w:iCs/>
      <w:sz w:val="22"/>
      <w:szCs w:val="22"/>
      <w:lang w:val="es-CR" w:eastAsia="zh-CN"/>
    </w:rPr>
  </w:style>
  <w:style w:type="paragraph" w:customStyle="1" w:styleId="CarCar10CarCar">
    <w:name w:val="Car Car10 Car Car"/>
    <w:basedOn w:val="Normal"/>
    <w:uiPriority w:val="99"/>
    <w:semiHidden/>
    <w:rsid w:val="00FF04A3"/>
    <w:pPr>
      <w:suppressAutoHyphens w:val="0"/>
      <w:spacing w:after="160" w:line="240" w:lineRule="exact"/>
    </w:pPr>
    <w:rPr>
      <w:rFonts w:ascii="Verdana" w:eastAsia="Calibri" w:hAnsi="Verdana" w:cs="Calibri"/>
      <w:sz w:val="20"/>
      <w:szCs w:val="20"/>
      <w:lang w:val="es-CR" w:eastAsia="zh-CN"/>
    </w:rPr>
  </w:style>
  <w:style w:type="paragraph" w:customStyle="1" w:styleId="CM6">
    <w:name w:val="CM6"/>
    <w:basedOn w:val="Normal"/>
    <w:uiPriority w:val="99"/>
    <w:semiHidden/>
    <w:rsid w:val="00FF04A3"/>
    <w:pPr>
      <w:suppressAutoHyphens w:val="0"/>
      <w:autoSpaceDE w:val="0"/>
      <w:autoSpaceDN w:val="0"/>
      <w:spacing w:after="358"/>
    </w:pPr>
    <w:rPr>
      <w:rFonts w:ascii="Calibri" w:eastAsia="Calibri" w:hAnsi="Calibri" w:cs="Calibri"/>
      <w:lang w:val="es-CR" w:eastAsia="es-ES"/>
    </w:rPr>
  </w:style>
  <w:style w:type="paragraph" w:customStyle="1" w:styleId="CM2">
    <w:name w:val="CM2"/>
    <w:basedOn w:val="Normal"/>
    <w:uiPriority w:val="99"/>
    <w:semiHidden/>
    <w:rsid w:val="00FF04A3"/>
    <w:pPr>
      <w:suppressAutoHyphens w:val="0"/>
      <w:autoSpaceDE w:val="0"/>
      <w:autoSpaceDN w:val="0"/>
      <w:spacing w:line="358" w:lineRule="atLeast"/>
    </w:pPr>
    <w:rPr>
      <w:rFonts w:ascii="Calibri" w:eastAsia="Calibri" w:hAnsi="Calibri" w:cs="Calibri"/>
      <w:lang w:val="es-CR" w:eastAsia="es-ES"/>
    </w:rPr>
  </w:style>
  <w:style w:type="paragraph" w:customStyle="1" w:styleId="Textoindependiente33">
    <w:name w:val="Texto independiente 33"/>
    <w:basedOn w:val="Normal"/>
    <w:uiPriority w:val="99"/>
    <w:semiHidden/>
    <w:rsid w:val="00FF04A3"/>
    <w:pPr>
      <w:suppressAutoHyphens w:val="0"/>
      <w:jc w:val="both"/>
    </w:pPr>
    <w:rPr>
      <w:rFonts w:eastAsia="Calibri"/>
      <w:b/>
      <w:bCs/>
      <w:spacing w:val="-3"/>
      <w:lang w:val="es-CR" w:eastAsia="es-ES"/>
    </w:rPr>
  </w:style>
  <w:style w:type="paragraph" w:customStyle="1" w:styleId="Prrafodelista4">
    <w:name w:val="Párrafo de lista4"/>
    <w:basedOn w:val="Normal"/>
    <w:rsid w:val="00FF04A3"/>
    <w:pPr>
      <w:suppressAutoHyphens w:val="0"/>
      <w:spacing w:after="200" w:line="276" w:lineRule="auto"/>
      <w:ind w:left="720"/>
      <w:contextualSpacing/>
    </w:pPr>
    <w:rPr>
      <w:rFonts w:ascii="Calibri" w:eastAsia="Calibri" w:hAnsi="Calibri" w:cs="Calibri"/>
      <w:sz w:val="22"/>
      <w:szCs w:val="22"/>
      <w:lang w:val="es-CR" w:eastAsia="en-US"/>
    </w:rPr>
  </w:style>
  <w:style w:type="paragraph" w:customStyle="1" w:styleId="Prrafodelista5">
    <w:name w:val="Párrafo de lista5"/>
    <w:basedOn w:val="Normal"/>
    <w:uiPriority w:val="99"/>
    <w:qFormat/>
    <w:rsid w:val="00FF04A3"/>
    <w:pPr>
      <w:suppressAutoHyphens w:val="0"/>
      <w:spacing w:after="200" w:line="276" w:lineRule="auto"/>
      <w:ind w:left="720"/>
      <w:contextualSpacing/>
    </w:pPr>
    <w:rPr>
      <w:rFonts w:ascii="Calibri" w:eastAsia="Calibri" w:hAnsi="Calibri" w:cs="Calibri"/>
      <w:sz w:val="22"/>
      <w:szCs w:val="22"/>
      <w:lang w:val="es-CR" w:eastAsia="en-US"/>
    </w:rPr>
  </w:style>
  <w:style w:type="paragraph" w:customStyle="1" w:styleId="Prrafodelista6">
    <w:name w:val="Párrafo de lista6"/>
    <w:basedOn w:val="Normal"/>
    <w:uiPriority w:val="99"/>
    <w:qFormat/>
    <w:rsid w:val="00FF04A3"/>
    <w:pPr>
      <w:suppressAutoHyphens w:val="0"/>
      <w:spacing w:after="200" w:line="276" w:lineRule="auto"/>
      <w:ind w:left="720"/>
      <w:contextualSpacing/>
    </w:pPr>
    <w:rPr>
      <w:rFonts w:ascii="Calibri" w:eastAsia="Calibri" w:hAnsi="Calibri" w:cs="Calibri"/>
      <w:sz w:val="22"/>
      <w:szCs w:val="22"/>
      <w:lang w:val="es-CR" w:eastAsia="en-US"/>
    </w:rPr>
  </w:style>
  <w:style w:type="paragraph" w:customStyle="1" w:styleId="WW-Predeterminado111">
    <w:name w:val="WW-Predeterminado111"/>
    <w:basedOn w:val="Normal"/>
    <w:uiPriority w:val="99"/>
    <w:semiHidden/>
    <w:rsid w:val="00FF04A3"/>
    <w:pPr>
      <w:suppressAutoHyphens w:val="0"/>
      <w:autoSpaceDE w:val="0"/>
    </w:pPr>
    <w:rPr>
      <w:rFonts w:ascii="Arial" w:eastAsia="Calibri" w:hAnsi="Arial" w:cs="Arial"/>
      <w:lang w:val="es-CR" w:eastAsia="hi-IN"/>
    </w:rPr>
  </w:style>
  <w:style w:type="paragraph" w:customStyle="1" w:styleId="xnormal1">
    <w:name w:val="x_normal1"/>
    <w:basedOn w:val="Normal"/>
    <w:uiPriority w:val="99"/>
    <w:rsid w:val="00FF04A3"/>
    <w:pPr>
      <w:suppressAutoHyphens w:val="0"/>
      <w:spacing w:before="100" w:beforeAutospacing="1" w:after="100" w:afterAutospacing="1"/>
    </w:pPr>
    <w:rPr>
      <w:rFonts w:eastAsia="Calibri"/>
      <w:lang w:val="es-CR" w:eastAsia="es-CR"/>
    </w:rPr>
  </w:style>
  <w:style w:type="paragraph" w:customStyle="1" w:styleId="Pa0">
    <w:name w:val="Pa0"/>
    <w:basedOn w:val="Normal"/>
    <w:uiPriority w:val="99"/>
    <w:semiHidden/>
    <w:rsid w:val="00FF04A3"/>
    <w:pPr>
      <w:suppressAutoHyphens w:val="0"/>
      <w:autoSpaceDE w:val="0"/>
      <w:autoSpaceDN w:val="0"/>
      <w:spacing w:line="241" w:lineRule="atLeast"/>
    </w:pPr>
    <w:rPr>
      <w:rFonts w:ascii="Myriad Pro" w:eastAsia="Calibri" w:hAnsi="Myriad Pro" w:cs="Calibri"/>
      <w:lang w:val="es-CR" w:eastAsia="en-US"/>
    </w:rPr>
  </w:style>
  <w:style w:type="paragraph" w:customStyle="1" w:styleId="m9083224749270086736msoheader">
    <w:name w:val="m_9083224749270086736msoheader"/>
    <w:basedOn w:val="Normal"/>
    <w:uiPriority w:val="99"/>
    <w:semiHidden/>
    <w:rsid w:val="00FF04A3"/>
    <w:pPr>
      <w:suppressAutoHyphens w:val="0"/>
      <w:spacing w:before="100" w:beforeAutospacing="1" w:after="100" w:afterAutospacing="1"/>
    </w:pPr>
    <w:rPr>
      <w:rFonts w:ascii="Calibri" w:eastAsia="Calibri" w:hAnsi="Calibri" w:cs="Calibri"/>
      <w:sz w:val="22"/>
      <w:szCs w:val="22"/>
      <w:lang w:val="es-CR" w:eastAsia="es-CR"/>
    </w:rPr>
  </w:style>
  <w:style w:type="paragraph" w:customStyle="1" w:styleId="xheading5">
    <w:name w:val="x_heading5"/>
    <w:basedOn w:val="Normal"/>
    <w:uiPriority w:val="99"/>
    <w:semiHidden/>
    <w:rsid w:val="00FF04A3"/>
    <w:pPr>
      <w:suppressAutoHyphens w:val="0"/>
      <w:autoSpaceDN w:val="0"/>
    </w:pPr>
    <w:rPr>
      <w:rFonts w:eastAsia="Calibri"/>
      <w:lang w:val="es-CR" w:eastAsia="es-CR"/>
    </w:rPr>
  </w:style>
  <w:style w:type="paragraph" w:customStyle="1" w:styleId="xmsobodytext">
    <w:name w:val="x_msobodytext"/>
    <w:basedOn w:val="Normal"/>
    <w:uiPriority w:val="99"/>
    <w:semiHidden/>
    <w:rsid w:val="00FF04A3"/>
    <w:pPr>
      <w:suppressAutoHyphens w:val="0"/>
      <w:autoSpaceDN w:val="0"/>
    </w:pPr>
    <w:rPr>
      <w:rFonts w:ascii="Calibri" w:eastAsia="Calibri" w:hAnsi="Calibri" w:cs="Calibri"/>
      <w:sz w:val="22"/>
      <w:szCs w:val="22"/>
      <w:lang w:val="es-CR" w:eastAsia="es-CR"/>
    </w:rPr>
  </w:style>
  <w:style w:type="paragraph" w:customStyle="1" w:styleId="xencabezado1">
    <w:name w:val="x_encabezado1"/>
    <w:basedOn w:val="Normal"/>
    <w:uiPriority w:val="99"/>
    <w:semiHidden/>
    <w:rsid w:val="00FF04A3"/>
    <w:pPr>
      <w:suppressAutoHyphens w:val="0"/>
      <w:autoSpaceDN w:val="0"/>
    </w:pPr>
    <w:rPr>
      <w:rFonts w:eastAsia="Calibri"/>
      <w:lang w:val="es-CR" w:eastAsia="es-CR"/>
    </w:rPr>
  </w:style>
  <w:style w:type="paragraph" w:customStyle="1" w:styleId="yiv33492148default">
    <w:name w:val="yiv33492148default"/>
    <w:basedOn w:val="Normal"/>
    <w:uiPriority w:val="99"/>
    <w:semiHidden/>
    <w:rsid w:val="00FF04A3"/>
    <w:pPr>
      <w:suppressAutoHyphens w:val="0"/>
      <w:spacing w:before="100" w:beforeAutospacing="1" w:after="100" w:afterAutospacing="1"/>
    </w:pPr>
    <w:rPr>
      <w:rFonts w:eastAsia="Calibri"/>
      <w:lang w:val="es-CR" w:eastAsia="es-CR"/>
    </w:rPr>
  </w:style>
  <w:style w:type="paragraph" w:customStyle="1" w:styleId="xxmsonormal1">
    <w:name w:val="xxmsonormal"/>
    <w:basedOn w:val="Normal"/>
    <w:uiPriority w:val="99"/>
    <w:semiHidden/>
    <w:rsid w:val="00FF04A3"/>
    <w:pPr>
      <w:suppressAutoHyphens w:val="0"/>
    </w:pPr>
    <w:rPr>
      <w:rFonts w:ascii="Calibri" w:eastAsia="Calibri" w:hAnsi="Calibri" w:cs="Calibri"/>
      <w:sz w:val="22"/>
      <w:szCs w:val="22"/>
      <w:lang w:val="es-CR" w:eastAsia="es-CR"/>
    </w:rPr>
  </w:style>
  <w:style w:type="paragraph" w:customStyle="1" w:styleId="xl85">
    <w:name w:val="xl85"/>
    <w:basedOn w:val="Normal"/>
    <w:uiPriority w:val="99"/>
    <w:semiHidden/>
    <w:rsid w:val="00FF04A3"/>
    <w:pPr>
      <w:shd w:val="clear" w:color="auto" w:fill="D9D9D9"/>
      <w:suppressAutoHyphens w:val="0"/>
      <w:spacing w:before="100" w:beforeAutospacing="1" w:after="100" w:afterAutospacing="1"/>
      <w:jc w:val="center"/>
    </w:pPr>
    <w:rPr>
      <w:rFonts w:ascii="Arial" w:eastAsia="Calibri" w:hAnsi="Arial" w:cs="Arial"/>
      <w:b/>
      <w:bCs/>
      <w:lang w:val="es-CR" w:eastAsia="es-CR"/>
    </w:rPr>
  </w:style>
  <w:style w:type="paragraph" w:customStyle="1" w:styleId="xl88">
    <w:name w:val="xl88"/>
    <w:basedOn w:val="Normal"/>
    <w:uiPriority w:val="99"/>
    <w:semiHidden/>
    <w:rsid w:val="00FF04A3"/>
    <w:pPr>
      <w:shd w:val="clear" w:color="auto" w:fill="FFFFFF"/>
      <w:suppressAutoHyphens w:val="0"/>
      <w:spacing w:before="100" w:beforeAutospacing="1" w:after="100" w:afterAutospacing="1"/>
      <w:jc w:val="center"/>
    </w:pPr>
    <w:rPr>
      <w:rFonts w:ascii="Arial" w:eastAsia="Calibri" w:hAnsi="Arial" w:cs="Arial"/>
      <w:b/>
      <w:bCs/>
      <w:lang w:val="es-CR" w:eastAsia="es-CR"/>
    </w:rPr>
  </w:style>
  <w:style w:type="paragraph" w:customStyle="1" w:styleId="xl89">
    <w:name w:val="xl89"/>
    <w:basedOn w:val="Normal"/>
    <w:uiPriority w:val="99"/>
    <w:semiHidden/>
    <w:rsid w:val="00FF04A3"/>
    <w:pPr>
      <w:suppressAutoHyphens w:val="0"/>
      <w:spacing w:before="100" w:beforeAutospacing="1" w:after="100" w:afterAutospacing="1"/>
    </w:pPr>
    <w:rPr>
      <w:rFonts w:ascii="Arial" w:eastAsia="Calibri" w:hAnsi="Arial" w:cs="Arial"/>
      <w:sz w:val="18"/>
      <w:szCs w:val="18"/>
      <w:lang w:val="es-CR" w:eastAsia="es-CR"/>
    </w:rPr>
  </w:style>
  <w:style w:type="paragraph" w:customStyle="1" w:styleId="Bgestinconnmero">
    <w:name w:val="B gestión con número"/>
    <w:basedOn w:val="Normal"/>
    <w:uiPriority w:val="99"/>
    <w:semiHidden/>
    <w:rsid w:val="00FF04A3"/>
    <w:pPr>
      <w:numPr>
        <w:numId w:val="20"/>
      </w:numPr>
      <w:tabs>
        <w:tab w:val="num" w:pos="360"/>
      </w:tabs>
      <w:suppressAutoHyphens w:val="0"/>
      <w:spacing w:after="120" w:line="360" w:lineRule="auto"/>
      <w:ind w:left="851" w:right="851" w:firstLine="0"/>
      <w:jc w:val="both"/>
    </w:pPr>
    <w:rPr>
      <w:rFonts w:eastAsia="Calibri"/>
      <w:b/>
      <w:bCs/>
      <w:color w:val="000099"/>
      <w:sz w:val="26"/>
      <w:szCs w:val="26"/>
      <w:lang w:val="es-CR"/>
    </w:rPr>
  </w:style>
  <w:style w:type="character" w:customStyle="1" w:styleId="estilocorreo735">
    <w:name w:val="estilocorreo735"/>
    <w:semiHidden/>
    <w:rsid w:val="00FF04A3"/>
    <w:rPr>
      <w:rFonts w:ascii="Calibri" w:hAnsi="Calibri" w:hint="default"/>
    </w:rPr>
  </w:style>
  <w:style w:type="character" w:customStyle="1" w:styleId="EstiloCorreo77">
    <w:name w:val="EstiloCorreo77"/>
    <w:rsid w:val="00FF04A3"/>
    <w:rPr>
      <w:rFonts w:ascii="Arial" w:hAnsi="Arial" w:cs="Arial" w:hint="default"/>
      <w:color w:val="000080"/>
    </w:rPr>
  </w:style>
  <w:style w:type="character" w:customStyle="1" w:styleId="Caracteresdenotafinal0">
    <w:name w:val="Caracteres de nota final"/>
    <w:qFormat/>
    <w:rsid w:val="00FF04A3"/>
    <w:rPr>
      <w:rFonts w:ascii="Times New Roman" w:hAnsi="Times New Roman" w:cs="Times New Roman" w:hint="default"/>
      <w:vertAlign w:val="superscript"/>
    </w:rPr>
  </w:style>
  <w:style w:type="character" w:customStyle="1" w:styleId="TextonotaalfinalCar2">
    <w:name w:val="Texto nota al final Car2"/>
    <w:rsid w:val="00FF04A3"/>
    <w:rPr>
      <w:lang w:eastAsia="es-ES"/>
    </w:rPr>
  </w:style>
  <w:style w:type="character" w:customStyle="1" w:styleId="EstiloCorreo651">
    <w:name w:val="EstiloCorreo651"/>
    <w:rsid w:val="00FF04A3"/>
    <w:rPr>
      <w:rFonts w:ascii="Arial" w:hAnsi="Arial" w:cs="Arial" w:hint="default"/>
      <w:color w:val="000080"/>
    </w:rPr>
  </w:style>
  <w:style w:type="character" w:customStyle="1" w:styleId="EstiloCorreo861">
    <w:name w:val="EstiloCorreo861"/>
    <w:rsid w:val="00FF04A3"/>
    <w:rPr>
      <w:rFonts w:ascii="Arial" w:hAnsi="Arial" w:cs="Arial" w:hint="default"/>
      <w:color w:val="000080"/>
    </w:rPr>
  </w:style>
  <w:style w:type="character" w:customStyle="1" w:styleId="go">
    <w:name w:val="go"/>
    <w:rsid w:val="00FF04A3"/>
    <w:rPr>
      <w:rFonts w:ascii="Times New Roman" w:hAnsi="Times New Roman" w:cs="Times New Roman" w:hint="default"/>
    </w:rPr>
  </w:style>
  <w:style w:type="character" w:customStyle="1" w:styleId="EstiloCorreo1431">
    <w:name w:val="EstiloCorreo1431"/>
    <w:rsid w:val="00FF04A3"/>
    <w:rPr>
      <w:rFonts w:ascii="Arial" w:hAnsi="Arial" w:cs="Arial" w:hint="default"/>
      <w:color w:val="000080"/>
    </w:rPr>
  </w:style>
  <w:style w:type="character" w:customStyle="1" w:styleId="EstiloCorreo1551">
    <w:name w:val="EstiloCorreo1551"/>
    <w:rsid w:val="00FF04A3"/>
    <w:rPr>
      <w:rFonts w:ascii="Arial" w:hAnsi="Arial" w:cs="Arial" w:hint="default"/>
    </w:rPr>
  </w:style>
  <w:style w:type="character" w:customStyle="1" w:styleId="EstiloCorreo157">
    <w:name w:val="EstiloCorreo157"/>
    <w:rsid w:val="00FF04A3"/>
    <w:rPr>
      <w:rFonts w:ascii="Arial" w:hAnsi="Arial" w:cs="Arial" w:hint="default"/>
      <w:color w:val="000080"/>
    </w:rPr>
  </w:style>
  <w:style w:type="character" w:customStyle="1" w:styleId="EstiloCorreo1741">
    <w:name w:val="EstiloCorreo1741"/>
    <w:rsid w:val="00FF04A3"/>
    <w:rPr>
      <w:rFonts w:ascii="Arial" w:hAnsi="Arial" w:cs="Arial" w:hint="default"/>
    </w:rPr>
  </w:style>
  <w:style w:type="character" w:customStyle="1" w:styleId="EstiloCorreo1751">
    <w:name w:val="EstiloCorreo1751"/>
    <w:rsid w:val="00FF04A3"/>
    <w:rPr>
      <w:rFonts w:ascii="Arial" w:hAnsi="Arial" w:cs="Arial" w:hint="default"/>
    </w:rPr>
  </w:style>
  <w:style w:type="character" w:customStyle="1" w:styleId="TextoindependienteCar1">
    <w:name w:val="Texto independiente Car1"/>
    <w:uiPriority w:val="99"/>
    <w:rsid w:val="00FF04A3"/>
    <w:rPr>
      <w:lang w:eastAsia="es-ES"/>
    </w:rPr>
  </w:style>
  <w:style w:type="character" w:customStyle="1" w:styleId="EstiloCorreo2521">
    <w:name w:val="EstiloCorreo2521"/>
    <w:rsid w:val="00FF04A3"/>
    <w:rPr>
      <w:rFonts w:ascii="Palatino Linotype" w:hAnsi="Palatino Linotype" w:hint="default"/>
      <w:b/>
      <w:bCs/>
    </w:rPr>
  </w:style>
  <w:style w:type="character" w:customStyle="1" w:styleId="EstiloCorreo2601">
    <w:name w:val="EstiloCorreo2601"/>
    <w:rsid w:val="00FF04A3"/>
    <w:rPr>
      <w:color w:val="000000"/>
    </w:rPr>
  </w:style>
  <w:style w:type="character" w:customStyle="1" w:styleId="EstiloCorreo2841">
    <w:name w:val="EstiloCorreo2841"/>
    <w:rsid w:val="00FF04A3"/>
    <w:rPr>
      <w:rFonts w:ascii="Arial" w:hAnsi="Arial" w:cs="Arial" w:hint="default"/>
    </w:rPr>
  </w:style>
  <w:style w:type="character" w:customStyle="1" w:styleId="EstiloCorreo2861">
    <w:name w:val="EstiloCorreo2861"/>
    <w:rsid w:val="00FF04A3"/>
    <w:rPr>
      <w:rFonts w:ascii="Arial" w:hAnsi="Arial" w:cs="Arial" w:hint="default"/>
      <w:color w:val="000080"/>
    </w:rPr>
  </w:style>
  <w:style w:type="character" w:customStyle="1" w:styleId="EstiloCorreo3191">
    <w:name w:val="EstiloCorreo3191"/>
    <w:rsid w:val="00FF04A3"/>
    <w:rPr>
      <w:rFonts w:ascii="Tahoma" w:hAnsi="Tahoma" w:cs="Tahoma" w:hint="default"/>
      <w:b w:val="0"/>
      <w:bCs w:val="0"/>
      <w:i w:val="0"/>
      <w:iCs w:val="0"/>
    </w:rPr>
  </w:style>
  <w:style w:type="character" w:customStyle="1" w:styleId="EstiloCorreo3201">
    <w:name w:val="EstiloCorreo3201"/>
    <w:rsid w:val="00FF04A3"/>
    <w:rPr>
      <w:rFonts w:ascii="Tahoma" w:hAnsi="Tahoma" w:cs="Tahoma" w:hint="default"/>
      <w:b w:val="0"/>
      <w:bCs w:val="0"/>
      <w:i w:val="0"/>
      <w:iCs w:val="0"/>
    </w:rPr>
  </w:style>
  <w:style w:type="character" w:customStyle="1" w:styleId="EstiloCorreo3211">
    <w:name w:val="EstiloCorreo3211"/>
    <w:rsid w:val="00FF04A3"/>
    <w:rPr>
      <w:color w:val="000000"/>
    </w:rPr>
  </w:style>
  <w:style w:type="character" w:customStyle="1" w:styleId="listparagraphchar0">
    <w:name w:val="listparagraphchar"/>
    <w:rsid w:val="00FF04A3"/>
    <w:rPr>
      <w:rFonts w:ascii="Calibri" w:hAnsi="Calibri" w:hint="default"/>
    </w:rPr>
  </w:style>
  <w:style w:type="character" w:customStyle="1" w:styleId="footnotetextchar">
    <w:name w:val="footnotetextchar"/>
    <w:rsid w:val="00FF04A3"/>
    <w:rPr>
      <w:rFonts w:ascii="Times New Roman" w:hAnsi="Times New Roman" w:cs="Times New Roman" w:hint="default"/>
    </w:rPr>
  </w:style>
  <w:style w:type="character" w:customStyle="1" w:styleId="ecxestilo41">
    <w:name w:val="ecxestilo41"/>
    <w:rsid w:val="00FF04A3"/>
    <w:rPr>
      <w:rFonts w:ascii="Times New Roman" w:hAnsi="Times New Roman" w:cs="Times New Roman" w:hint="default"/>
    </w:rPr>
  </w:style>
  <w:style w:type="character" w:customStyle="1" w:styleId="characterstyle2">
    <w:name w:val="characterstyle2"/>
    <w:rsid w:val="00FF04A3"/>
    <w:rPr>
      <w:b/>
      <w:bCs/>
    </w:rPr>
  </w:style>
  <w:style w:type="character" w:customStyle="1" w:styleId="encabezadocarcar2">
    <w:name w:val="encabezadocarcar2"/>
    <w:rsid w:val="00FF04A3"/>
    <w:rPr>
      <w:rFonts w:ascii="MS Sans Serif" w:hAnsi="MS Sans Serif" w:hint="default"/>
    </w:rPr>
  </w:style>
  <w:style w:type="character" w:customStyle="1" w:styleId="carcar201">
    <w:name w:val="carcar20"/>
    <w:rsid w:val="00FF04A3"/>
    <w:rPr>
      <w:rFonts w:ascii="Palatino Linotype" w:hAnsi="Palatino Linotype" w:hint="default"/>
      <w:color w:val="002060"/>
    </w:rPr>
  </w:style>
  <w:style w:type="character" w:customStyle="1" w:styleId="carcar80">
    <w:name w:val="carcar8"/>
    <w:rsid w:val="00FF04A3"/>
    <w:rPr>
      <w:rFonts w:ascii="Arial" w:hAnsi="Arial" w:cs="Arial" w:hint="default"/>
      <w:i/>
      <w:iCs/>
    </w:rPr>
  </w:style>
  <w:style w:type="character" w:customStyle="1" w:styleId="carcar70">
    <w:name w:val="carcar7"/>
    <w:rsid w:val="00FF04A3"/>
    <w:rPr>
      <w:rFonts w:ascii="Arial" w:hAnsi="Arial" w:cs="Arial" w:hint="default"/>
      <w:b/>
      <w:bCs/>
      <w:i/>
      <w:iCs/>
    </w:rPr>
  </w:style>
  <w:style w:type="character" w:customStyle="1" w:styleId="characterstyle40">
    <w:name w:val="characterstyle40"/>
    <w:rsid w:val="00FF04A3"/>
    <w:rPr>
      <w:rFonts w:ascii="Tahoma" w:hAnsi="Tahoma" w:cs="Tahoma" w:hint="default"/>
    </w:rPr>
  </w:style>
  <w:style w:type="character" w:customStyle="1" w:styleId="characterstyle50">
    <w:name w:val="characterstyle50"/>
    <w:rsid w:val="00FF04A3"/>
    <w:rPr>
      <w:color w:val="191A17"/>
    </w:rPr>
  </w:style>
  <w:style w:type="character" w:customStyle="1" w:styleId="characterstyle100">
    <w:name w:val="characterstyle100"/>
    <w:rsid w:val="00FF04A3"/>
    <w:rPr>
      <w:rFonts w:ascii="Verdana" w:hAnsi="Verdana" w:hint="default"/>
    </w:rPr>
  </w:style>
  <w:style w:type="character" w:customStyle="1" w:styleId="carcar210">
    <w:name w:val="carcar210"/>
    <w:rsid w:val="00FF04A3"/>
    <w:rPr>
      <w:rFonts w:ascii="MS Sans Serif" w:hAnsi="MS Sans Serif" w:hint="default"/>
    </w:rPr>
  </w:style>
  <w:style w:type="character" w:customStyle="1" w:styleId="fontstyle12">
    <w:name w:val="fontstyle12"/>
    <w:rsid w:val="00FF04A3"/>
    <w:rPr>
      <w:rFonts w:ascii="Bookman Old Style" w:hAnsi="Bookman Old Style" w:hint="default"/>
    </w:rPr>
  </w:style>
  <w:style w:type="character" w:customStyle="1" w:styleId="nwtovh">
    <w:name w:val="nwt ovh"/>
    <w:rsid w:val="00FF04A3"/>
  </w:style>
  <w:style w:type="character" w:customStyle="1" w:styleId="EstiloCorreo3891">
    <w:name w:val="EstiloCorreo3891"/>
    <w:rsid w:val="00FF04A3"/>
    <w:rPr>
      <w:rFonts w:ascii="Book Antiqua" w:hAnsi="Book Antiqua" w:hint="default"/>
      <w:b w:val="0"/>
      <w:bCs w:val="0"/>
      <w:i w:val="0"/>
      <w:iCs w:val="0"/>
      <w:strike w:val="0"/>
      <w:dstrike w:val="0"/>
      <w:u w:val="none"/>
      <w:effect w:val="none"/>
    </w:rPr>
  </w:style>
  <w:style w:type="character" w:customStyle="1" w:styleId="CarCar16">
    <w:name w:val="Car Car16"/>
    <w:rsid w:val="00FF04A3"/>
    <w:rPr>
      <w:lang w:eastAsia="es-ES"/>
    </w:rPr>
  </w:style>
  <w:style w:type="character" w:customStyle="1" w:styleId="Smbolodenotaalpie0">
    <w:name w:val="Símbolo de nota al pie"/>
    <w:rsid w:val="00FF04A3"/>
    <w:rPr>
      <w:rFonts w:ascii="Times New Roman" w:hAnsi="Times New Roman" w:cs="Times New Roman" w:hint="default"/>
      <w:vertAlign w:val="superscript"/>
    </w:rPr>
  </w:style>
  <w:style w:type="character" w:customStyle="1" w:styleId="characterstyle4">
    <w:name w:val="characterstyle4"/>
    <w:rsid w:val="00FF04A3"/>
    <w:rPr>
      <w:rFonts w:ascii="Tahoma" w:hAnsi="Tahoma" w:cs="Tahoma" w:hint="default"/>
    </w:rPr>
  </w:style>
  <w:style w:type="character" w:customStyle="1" w:styleId="characterstyle1">
    <w:name w:val="characterstyle1"/>
    <w:rsid w:val="00FF04A3"/>
    <w:rPr>
      <w:b/>
      <w:bCs/>
    </w:rPr>
  </w:style>
  <w:style w:type="character" w:customStyle="1" w:styleId="characterstyle10">
    <w:name w:val="characterstyle10"/>
    <w:rsid w:val="00FF04A3"/>
    <w:rPr>
      <w:rFonts w:ascii="Verdana" w:hAnsi="Verdana" w:hint="default"/>
    </w:rPr>
  </w:style>
  <w:style w:type="character" w:customStyle="1" w:styleId="NormalWebChar">
    <w:name w:val="Normal (Web) Char"/>
    <w:rsid w:val="00FF04A3"/>
  </w:style>
  <w:style w:type="character" w:customStyle="1" w:styleId="CharacterStyle20">
    <w:name w:val="Character Style 2"/>
    <w:rsid w:val="00FF04A3"/>
  </w:style>
  <w:style w:type="character" w:customStyle="1" w:styleId="EstiloCorreo4321">
    <w:name w:val="EstiloCorreo4321"/>
    <w:rsid w:val="00FF04A3"/>
    <w:rPr>
      <w:rFonts w:ascii="Arial" w:hAnsi="Arial" w:cs="Arial" w:hint="default"/>
      <w:b w:val="0"/>
      <w:bCs w:val="0"/>
      <w:i w:val="0"/>
      <w:iCs w:val="0"/>
      <w:strike w:val="0"/>
      <w:dstrike w:val="0"/>
      <w:u w:val="none"/>
      <w:effect w:val="none"/>
    </w:rPr>
  </w:style>
  <w:style w:type="character" w:customStyle="1" w:styleId="CharacterStyle41">
    <w:name w:val="Character Style 4"/>
    <w:rsid w:val="00FF04A3"/>
  </w:style>
  <w:style w:type="character" w:customStyle="1" w:styleId="CharacterStyle51">
    <w:name w:val="Character Style 5"/>
    <w:rsid w:val="00FF04A3"/>
    <w:rPr>
      <w:rFonts w:ascii="Arial" w:hAnsi="Arial" w:cs="Arial" w:hint="default"/>
    </w:rPr>
  </w:style>
  <w:style w:type="character" w:customStyle="1" w:styleId="CharacterStyle11">
    <w:name w:val="Character Style 1"/>
    <w:rsid w:val="00FF04A3"/>
  </w:style>
  <w:style w:type="character" w:customStyle="1" w:styleId="RTFNum21">
    <w:name w:val="RTF_Num 2 1"/>
    <w:qFormat/>
    <w:rsid w:val="00FF04A3"/>
    <w:rPr>
      <w:rFonts w:ascii="Times New Roman" w:hAnsi="Times New Roman" w:cs="Times New Roman" w:hint="default"/>
    </w:rPr>
  </w:style>
  <w:style w:type="character" w:customStyle="1" w:styleId="HeaderChar">
    <w:name w:val="Header Char"/>
    <w:aliases w:val="encabezado Char"/>
    <w:rsid w:val="00FF04A3"/>
    <w:rPr>
      <w:rFonts w:ascii="Arial" w:hAnsi="Arial" w:cs="Arial" w:hint="default"/>
    </w:rPr>
  </w:style>
  <w:style w:type="character" w:customStyle="1" w:styleId="EstiloCorreo4981">
    <w:name w:val="EstiloCorreo4981"/>
    <w:rsid w:val="00FF04A3"/>
    <w:rPr>
      <w:rFonts w:ascii="Arial" w:hAnsi="Arial" w:cs="Arial" w:hint="default"/>
    </w:rPr>
  </w:style>
  <w:style w:type="character" w:customStyle="1" w:styleId="mediumtext">
    <w:name w:val="mediumtext"/>
    <w:rsid w:val="00FF04A3"/>
  </w:style>
  <w:style w:type="character" w:customStyle="1" w:styleId="eacep">
    <w:name w:val="eacep"/>
    <w:rsid w:val="00FF04A3"/>
  </w:style>
  <w:style w:type="character" w:customStyle="1" w:styleId="style481">
    <w:name w:val="style481"/>
    <w:rsid w:val="00FF04A3"/>
    <w:rPr>
      <w:rFonts w:ascii="Times New Roman" w:hAnsi="Times New Roman" w:cs="Times New Roman" w:hint="default"/>
      <w:color w:val="0000FF"/>
    </w:rPr>
  </w:style>
  <w:style w:type="character" w:customStyle="1" w:styleId="CarCar211">
    <w:name w:val="Car Car21"/>
    <w:rsid w:val="00FF04A3"/>
    <w:rPr>
      <w:lang w:eastAsia="ar-SA"/>
    </w:rPr>
  </w:style>
  <w:style w:type="character" w:customStyle="1" w:styleId="CarCar12">
    <w:name w:val="Car Car12"/>
    <w:qFormat/>
    <w:rsid w:val="00FF04A3"/>
  </w:style>
  <w:style w:type="character" w:customStyle="1" w:styleId="CarCar24">
    <w:name w:val="Car Car24"/>
    <w:rsid w:val="00FF04A3"/>
    <w:rPr>
      <w:rFonts w:ascii="Arial" w:hAnsi="Arial" w:cs="Arial" w:hint="default"/>
      <w:b/>
      <w:bCs/>
      <w:i/>
      <w:iCs/>
    </w:rPr>
  </w:style>
  <w:style w:type="character" w:customStyle="1" w:styleId="CarCar23">
    <w:name w:val="Car Car23"/>
    <w:rsid w:val="00FF04A3"/>
    <w:rPr>
      <w:rFonts w:ascii="Arial" w:hAnsi="Arial" w:cs="Arial" w:hint="default"/>
      <w:b/>
      <w:bCs/>
    </w:rPr>
  </w:style>
  <w:style w:type="character" w:customStyle="1" w:styleId="CarCar190">
    <w:name w:val="Car Car19"/>
    <w:rsid w:val="00FF04A3"/>
    <w:rPr>
      <w:rFonts w:ascii="Arial" w:hAnsi="Arial" w:cs="Arial" w:hint="default"/>
      <w:b/>
      <w:bCs/>
      <w:u w:val="single"/>
    </w:rPr>
  </w:style>
  <w:style w:type="character" w:customStyle="1" w:styleId="CarCar170">
    <w:name w:val="Car Car17"/>
    <w:rsid w:val="00FF04A3"/>
    <w:rPr>
      <w:rFonts w:ascii="Arial" w:hAnsi="Arial" w:cs="Arial" w:hint="default"/>
    </w:rPr>
  </w:style>
  <w:style w:type="character" w:customStyle="1" w:styleId="CarCar131">
    <w:name w:val="Car Car131"/>
    <w:rsid w:val="00FF04A3"/>
    <w:rPr>
      <w:rFonts w:ascii="Arial" w:hAnsi="Arial" w:cs="Arial" w:hint="default"/>
    </w:rPr>
  </w:style>
  <w:style w:type="character" w:customStyle="1" w:styleId="CarCar121">
    <w:name w:val="Car Car121"/>
    <w:rsid w:val="00FF04A3"/>
  </w:style>
  <w:style w:type="character" w:customStyle="1" w:styleId="EstiloCorreo691">
    <w:name w:val="EstiloCorreo691"/>
    <w:rsid w:val="00FF04A3"/>
    <w:rPr>
      <w:rFonts w:ascii="Arial" w:hAnsi="Arial" w:cs="Arial" w:hint="default"/>
      <w:color w:val="000080"/>
    </w:rPr>
  </w:style>
  <w:style w:type="character" w:customStyle="1" w:styleId="CarCar110">
    <w:name w:val="Car Car11"/>
    <w:qFormat/>
    <w:rsid w:val="00FF04A3"/>
    <w:rPr>
      <w:rFonts w:ascii="Book Antiqua" w:hAnsi="Book Antiqua" w:hint="default"/>
    </w:rPr>
  </w:style>
  <w:style w:type="character" w:customStyle="1" w:styleId="CarCar81">
    <w:name w:val="Car Car81"/>
    <w:rsid w:val="00FF04A3"/>
    <w:rPr>
      <w:rFonts w:ascii="Arial" w:hAnsi="Arial" w:cs="Arial" w:hint="default"/>
    </w:rPr>
  </w:style>
  <w:style w:type="character" w:customStyle="1" w:styleId="CarCar30">
    <w:name w:val="Car Car3"/>
    <w:qFormat/>
    <w:rsid w:val="00FF04A3"/>
    <w:rPr>
      <w:b/>
      <w:bCs/>
    </w:rPr>
  </w:style>
  <w:style w:type="character" w:customStyle="1" w:styleId="CarCar140">
    <w:name w:val="Car Car14"/>
    <w:rsid w:val="00FF04A3"/>
    <w:rPr>
      <w:rFonts w:ascii="Arial" w:hAnsi="Arial" w:cs="Arial" w:hint="default"/>
    </w:rPr>
  </w:style>
  <w:style w:type="character" w:customStyle="1" w:styleId="CarCar26">
    <w:name w:val="Car Car26"/>
    <w:rsid w:val="00FF04A3"/>
  </w:style>
  <w:style w:type="character" w:customStyle="1" w:styleId="skypepnhcontainer">
    <w:name w:val="skype_pnh_container"/>
    <w:rsid w:val="00FF04A3"/>
  </w:style>
  <w:style w:type="character" w:customStyle="1" w:styleId="skypepnhmark1">
    <w:name w:val="skype_pnh_mark1"/>
    <w:rsid w:val="00FF04A3"/>
    <w:rPr>
      <w:vanish/>
      <w:webHidden w:val="0"/>
      <w:specVanish w:val="0"/>
    </w:rPr>
  </w:style>
  <w:style w:type="character" w:customStyle="1" w:styleId="skypepnhprintcontainer1366813726">
    <w:name w:val="skype_pnh_print_container_1366813726"/>
    <w:rsid w:val="00FF04A3"/>
  </w:style>
  <w:style w:type="character" w:customStyle="1" w:styleId="skypepnhtextspan">
    <w:name w:val="skype_pnh_text_span"/>
    <w:rsid w:val="00FF04A3"/>
  </w:style>
  <w:style w:type="character" w:customStyle="1" w:styleId="skypepnhfreetextspan">
    <w:name w:val="skype_pnh_free_text_span"/>
    <w:rsid w:val="00FF04A3"/>
  </w:style>
  <w:style w:type="character" w:customStyle="1" w:styleId="CarCar1100">
    <w:name w:val="Car Car110"/>
    <w:rsid w:val="00FF04A3"/>
    <w:rPr>
      <w:rFonts w:ascii="Courier New" w:hAnsi="Courier New" w:cs="Courier New" w:hint="default"/>
    </w:rPr>
  </w:style>
  <w:style w:type="character" w:customStyle="1" w:styleId="EstiloCorreo1211">
    <w:name w:val="EstiloCorreo1211"/>
    <w:rsid w:val="00FF04A3"/>
  </w:style>
  <w:style w:type="character" w:customStyle="1" w:styleId="CarCar25">
    <w:name w:val="Car Car25"/>
    <w:rsid w:val="00FF04A3"/>
    <w:rPr>
      <w:rFonts w:ascii="Courier New" w:hAnsi="Courier New" w:cs="Courier New" w:hint="default"/>
      <w:color w:val="000000"/>
    </w:rPr>
  </w:style>
  <w:style w:type="character" w:customStyle="1" w:styleId="EstiloCorreo683">
    <w:name w:val="EstiloCorreo683"/>
    <w:rsid w:val="00FF04A3"/>
    <w:rPr>
      <w:rFonts w:ascii="Arial" w:hAnsi="Arial" w:cs="Arial" w:hint="default"/>
    </w:rPr>
  </w:style>
  <w:style w:type="character" w:customStyle="1" w:styleId="EstiloCorreo684">
    <w:name w:val="EstiloCorreo684"/>
    <w:rsid w:val="00FF04A3"/>
    <w:rPr>
      <w:rFonts w:ascii="Arial" w:hAnsi="Arial" w:cs="Arial" w:hint="default"/>
      <w:color w:val="000080"/>
    </w:rPr>
  </w:style>
  <w:style w:type="character" w:customStyle="1" w:styleId="EstiloCorreo685">
    <w:name w:val="EstiloCorreo685"/>
    <w:rsid w:val="00FF04A3"/>
    <w:rPr>
      <w:rFonts w:ascii="Arial" w:hAnsi="Arial" w:cs="Arial" w:hint="default"/>
      <w:b w:val="0"/>
      <w:bCs w:val="0"/>
      <w:i w:val="0"/>
      <w:iCs w:val="0"/>
      <w:strike w:val="0"/>
      <w:dstrike w:val="0"/>
      <w:u w:val="none"/>
      <w:effect w:val="none"/>
    </w:rPr>
  </w:style>
  <w:style w:type="character" w:customStyle="1" w:styleId="EstiloCorreo686">
    <w:name w:val="EstiloCorreo686"/>
    <w:rsid w:val="00FF04A3"/>
    <w:rPr>
      <w:rFonts w:ascii="Arial" w:hAnsi="Arial" w:cs="Arial" w:hint="default"/>
      <w:b w:val="0"/>
      <w:bCs w:val="0"/>
      <w:i w:val="0"/>
      <w:iCs w:val="0"/>
      <w:strike w:val="0"/>
      <w:dstrike w:val="0"/>
      <w:u w:val="none"/>
      <w:effect w:val="none"/>
    </w:rPr>
  </w:style>
  <w:style w:type="character" w:customStyle="1" w:styleId="EstiloCorreo6871">
    <w:name w:val="EstiloCorreo6871"/>
    <w:rsid w:val="00FF04A3"/>
    <w:rPr>
      <w:rFonts w:ascii="Arial" w:hAnsi="Arial" w:cs="Arial" w:hint="default"/>
      <w:b w:val="0"/>
      <w:bCs w:val="0"/>
      <w:i w:val="0"/>
      <w:iCs w:val="0"/>
      <w:strike w:val="0"/>
      <w:dstrike w:val="0"/>
      <w:u w:val="none"/>
      <w:effect w:val="none"/>
    </w:rPr>
  </w:style>
  <w:style w:type="character" w:customStyle="1" w:styleId="CarCar28">
    <w:name w:val="Car Car28"/>
    <w:rsid w:val="00FF04A3"/>
    <w:rPr>
      <w:rFonts w:ascii="MS Mincho" w:eastAsia="MS Mincho" w:hAnsi="MS Mincho" w:hint="eastAsia"/>
      <w:lang w:eastAsia="ar-SA"/>
    </w:rPr>
  </w:style>
  <w:style w:type="character" w:customStyle="1" w:styleId="nwtovh0">
    <w:name w:val="nwtovh"/>
    <w:rsid w:val="00FF04A3"/>
  </w:style>
  <w:style w:type="character" w:customStyle="1" w:styleId="Ancladenotaalpie">
    <w:name w:val="Ancla de nota al pie"/>
    <w:rsid w:val="00FF04A3"/>
    <w:rPr>
      <w:vertAlign w:val="superscript"/>
    </w:rPr>
  </w:style>
  <w:style w:type="character" w:customStyle="1" w:styleId="Refdenotaalpie3">
    <w:name w:val="Ref. de nota al pie3"/>
    <w:rsid w:val="00FF04A3"/>
    <w:rPr>
      <w:vertAlign w:val="superscript"/>
    </w:rPr>
  </w:style>
  <w:style w:type="character" w:customStyle="1" w:styleId="DefaultParagraphFont1">
    <w:name w:val="Default Paragraph Font1"/>
    <w:qFormat/>
    <w:rsid w:val="00FF04A3"/>
    <w:rPr>
      <w:rFonts w:ascii="Times New Roman" w:hAnsi="Times New Roman" w:cs="Times New Roman" w:hint="default"/>
      <w:color w:val="00000A"/>
    </w:rPr>
  </w:style>
  <w:style w:type="character" w:customStyle="1" w:styleId="s9">
    <w:name w:val="s9"/>
    <w:rsid w:val="00FF04A3"/>
  </w:style>
  <w:style w:type="character" w:customStyle="1" w:styleId="bumpedfont15">
    <w:name w:val="bumpedfont15"/>
    <w:rsid w:val="00FF04A3"/>
  </w:style>
  <w:style w:type="character" w:customStyle="1" w:styleId="s24">
    <w:name w:val="s24"/>
    <w:rsid w:val="00FF04A3"/>
  </w:style>
  <w:style w:type="character" w:customStyle="1" w:styleId="12ptlargebluebold">
    <w:name w:val="12pt large blue bold"/>
    <w:rsid w:val="00FF04A3"/>
    <w:rPr>
      <w:color w:val="5EAAC4"/>
    </w:rPr>
  </w:style>
  <w:style w:type="character" w:customStyle="1" w:styleId="estilo171">
    <w:name w:val="estilo171"/>
    <w:rsid w:val="00FF04A3"/>
  </w:style>
  <w:style w:type="character" w:customStyle="1" w:styleId="Internetlink0">
    <w:name w:val="Internet link"/>
    <w:rsid w:val="00FF04A3"/>
    <w:rPr>
      <w:rFonts w:ascii="Arial" w:hAnsi="Arial" w:cs="Arial" w:hint="default"/>
      <w:color w:val="000080"/>
      <w:u w:val="single"/>
      <w:shd w:val="clear" w:color="auto" w:fill="FFFFFF"/>
    </w:rPr>
  </w:style>
  <w:style w:type="character" w:customStyle="1" w:styleId="texto">
    <w:name w:val="texto"/>
    <w:rsid w:val="00FF04A3"/>
  </w:style>
  <w:style w:type="character" w:customStyle="1" w:styleId="EstiloCorreo8231">
    <w:name w:val="EstiloCorreo8231"/>
    <w:rsid w:val="00FF04A3"/>
    <w:rPr>
      <w:color w:val="000000"/>
    </w:rPr>
  </w:style>
  <w:style w:type="character" w:customStyle="1" w:styleId="displayonly">
    <w:name w:val="display_only"/>
    <w:rsid w:val="00FF04A3"/>
  </w:style>
  <w:style w:type="character" w:customStyle="1" w:styleId="EstiloCorreo828">
    <w:name w:val="EstiloCorreo828"/>
    <w:rsid w:val="00FF04A3"/>
    <w:rPr>
      <w:rFonts w:ascii="Arial" w:hAnsi="Arial" w:cs="Arial" w:hint="default"/>
    </w:rPr>
  </w:style>
  <w:style w:type="character" w:customStyle="1" w:styleId="body">
    <w:name w:val="body"/>
    <w:rsid w:val="00FF04A3"/>
  </w:style>
  <w:style w:type="character" w:customStyle="1" w:styleId="drilldown">
    <w:name w:val="drilldown"/>
    <w:rsid w:val="00FF04A3"/>
  </w:style>
  <w:style w:type="character" w:customStyle="1" w:styleId="EstiloArial11ptNegrita">
    <w:name w:val="Estilo Arial 11 pt Negrita"/>
    <w:rsid w:val="00FF04A3"/>
    <w:rPr>
      <w:rFonts w:ascii="Arial" w:hAnsi="Arial" w:cs="Arial" w:hint="default"/>
      <w:b/>
      <w:bCs/>
    </w:rPr>
  </w:style>
  <w:style w:type="character" w:customStyle="1" w:styleId="xvegaguz">
    <w:name w:val="xvegaguz"/>
    <w:rsid w:val="00FF04A3"/>
    <w:rPr>
      <w:rFonts w:ascii="Arial" w:hAnsi="Arial" w:cs="Arial" w:hint="default"/>
      <w:color w:val="000080"/>
    </w:rPr>
  </w:style>
  <w:style w:type="character" w:customStyle="1" w:styleId="FootnoteTextChar0">
    <w:name w:val="Footnote Text Char"/>
    <w:rsid w:val="00FF04A3"/>
    <w:rPr>
      <w:lang w:eastAsia="en-US"/>
    </w:rPr>
  </w:style>
  <w:style w:type="character" w:customStyle="1" w:styleId="WW8Num12z3">
    <w:name w:val="WW8Num12z3"/>
    <w:qFormat/>
    <w:rsid w:val="00FF04A3"/>
    <w:rPr>
      <w:rFonts w:ascii="Symbol" w:hAnsi="Symbol" w:hint="default"/>
    </w:rPr>
  </w:style>
  <w:style w:type="character" w:customStyle="1" w:styleId="WW8Num19z3">
    <w:name w:val="WW8Num19z3"/>
    <w:rsid w:val="00FF04A3"/>
    <w:rPr>
      <w:rFonts w:ascii="Symbol" w:hAnsi="Symbol" w:hint="default"/>
    </w:rPr>
  </w:style>
  <w:style w:type="character" w:customStyle="1" w:styleId="WW8Num29z3">
    <w:name w:val="WW8Num29z3"/>
    <w:rsid w:val="00FF04A3"/>
    <w:rPr>
      <w:rFonts w:ascii="Symbol" w:hAnsi="Symbol" w:hint="default"/>
    </w:rPr>
  </w:style>
  <w:style w:type="character" w:customStyle="1" w:styleId="Refdecomentario1">
    <w:name w:val="Ref. de comentario1"/>
    <w:rsid w:val="00FF04A3"/>
  </w:style>
  <w:style w:type="character" w:customStyle="1" w:styleId="nwtdibovh">
    <w:name w:val="nwt dib ovh"/>
    <w:rsid w:val="00FF04A3"/>
  </w:style>
  <w:style w:type="character" w:customStyle="1" w:styleId="WW-Caracteresdenotaalpie0">
    <w:name w:val="WW-Caracteres de nota al pie"/>
    <w:rsid w:val="00FF04A3"/>
    <w:rPr>
      <w:vertAlign w:val="superscript"/>
    </w:rPr>
  </w:style>
  <w:style w:type="character" w:customStyle="1" w:styleId="nfasis10">
    <w:name w:val="Énfasis1"/>
    <w:rsid w:val="00FF04A3"/>
    <w:rPr>
      <w:i/>
      <w:iCs/>
      <w:u w:val="single"/>
      <w:shd w:val="clear" w:color="auto" w:fill="FFFFFF"/>
    </w:rPr>
  </w:style>
  <w:style w:type="character" w:customStyle="1" w:styleId="WW-Muydestacado0">
    <w:name w:val="WW-Muy destacado"/>
    <w:rsid w:val="00FF04A3"/>
    <w:rPr>
      <w:b/>
      <w:bCs/>
    </w:rPr>
  </w:style>
  <w:style w:type="character" w:customStyle="1" w:styleId="EstiloCorreo9791">
    <w:name w:val="EstiloCorreo9791"/>
    <w:rsid w:val="00FF04A3"/>
    <w:rPr>
      <w:rFonts w:ascii="Arial" w:hAnsi="Arial" w:cs="Arial" w:hint="default"/>
    </w:rPr>
  </w:style>
  <w:style w:type="character" w:customStyle="1" w:styleId="WW8NumSt1z0">
    <w:name w:val="WW8NumSt1z0"/>
    <w:rsid w:val="00FF04A3"/>
    <w:rPr>
      <w:rFonts w:ascii="Symbol" w:hAnsi="Symbol" w:hint="default"/>
    </w:rPr>
  </w:style>
  <w:style w:type="character" w:customStyle="1" w:styleId="Fuentedeencabezadopredeter">
    <w:name w:val="Fuente de encabezado predeter."/>
    <w:rsid w:val="00FF04A3"/>
  </w:style>
  <w:style w:type="character" w:customStyle="1" w:styleId="EquationCaption">
    <w:name w:val="_Equation Caption"/>
    <w:rsid w:val="00FF04A3"/>
  </w:style>
  <w:style w:type="character" w:customStyle="1" w:styleId="EstiloCorreo9831">
    <w:name w:val="EstiloCorreo9831"/>
    <w:rsid w:val="00FF04A3"/>
    <w:rPr>
      <w:rFonts w:ascii="Arial" w:hAnsi="Arial" w:cs="Arial" w:hint="default"/>
      <w:color w:val="000080"/>
    </w:rPr>
  </w:style>
  <w:style w:type="character" w:customStyle="1" w:styleId="EstiloCorreo9841">
    <w:name w:val="EstiloCorreo9841"/>
    <w:rsid w:val="00FF04A3"/>
    <w:rPr>
      <w:rFonts w:ascii="Arial" w:hAnsi="Arial" w:cs="Arial" w:hint="default"/>
    </w:rPr>
  </w:style>
  <w:style w:type="character" w:customStyle="1" w:styleId="EstiloCorreo9851">
    <w:name w:val="EstiloCorreo9851"/>
    <w:rsid w:val="00FF04A3"/>
    <w:rPr>
      <w:rFonts w:ascii="Arial" w:hAnsi="Arial" w:cs="Arial" w:hint="default"/>
      <w:color w:val="000080"/>
    </w:rPr>
  </w:style>
  <w:style w:type="character" w:customStyle="1" w:styleId="EstiloCorreo9861">
    <w:name w:val="EstiloCorreo9861"/>
    <w:rsid w:val="00FF04A3"/>
    <w:rPr>
      <w:rFonts w:ascii="Arial" w:hAnsi="Arial" w:cs="Arial" w:hint="default"/>
    </w:rPr>
  </w:style>
  <w:style w:type="character" w:customStyle="1" w:styleId="EstiloCorreo987">
    <w:name w:val="EstiloCorreo987"/>
    <w:rsid w:val="00FF04A3"/>
    <w:rPr>
      <w:rFonts w:ascii="Arial" w:hAnsi="Arial" w:cs="Arial" w:hint="default"/>
    </w:rPr>
  </w:style>
  <w:style w:type="character" w:customStyle="1" w:styleId="EstiloCorreo989">
    <w:name w:val="EstiloCorreo989"/>
    <w:rsid w:val="00FF04A3"/>
    <w:rPr>
      <w:rFonts w:ascii="Palatino Linotype" w:hAnsi="Palatino Linotype" w:hint="default"/>
      <w:b/>
      <w:bCs/>
    </w:rPr>
  </w:style>
  <w:style w:type="character" w:customStyle="1" w:styleId="EstiloCorreo990">
    <w:name w:val="EstiloCorreo990"/>
    <w:rsid w:val="00FF04A3"/>
    <w:rPr>
      <w:color w:val="000000"/>
    </w:rPr>
  </w:style>
  <w:style w:type="character" w:customStyle="1" w:styleId="EstiloCorreo991">
    <w:name w:val="EstiloCorreo991"/>
    <w:rsid w:val="00FF04A3"/>
    <w:rPr>
      <w:rFonts w:ascii="Arial" w:hAnsi="Arial" w:cs="Arial" w:hint="default"/>
      <w:color w:val="000080"/>
    </w:rPr>
  </w:style>
  <w:style w:type="character" w:customStyle="1" w:styleId="EstiloCorreo9921">
    <w:name w:val="EstiloCorreo9921"/>
    <w:rsid w:val="00FF04A3"/>
    <w:rPr>
      <w:rFonts w:ascii="Arial" w:hAnsi="Arial" w:cs="Arial" w:hint="default"/>
    </w:rPr>
  </w:style>
  <w:style w:type="character" w:customStyle="1" w:styleId="EstiloCorreo993">
    <w:name w:val="EstiloCorreo993"/>
    <w:rsid w:val="00FF04A3"/>
    <w:rPr>
      <w:rFonts w:ascii="Arial" w:hAnsi="Arial" w:cs="Arial" w:hint="default"/>
      <w:color w:val="000080"/>
    </w:rPr>
  </w:style>
  <w:style w:type="character" w:customStyle="1" w:styleId="EstiloCorreo994">
    <w:name w:val="EstiloCorreo994"/>
    <w:rsid w:val="00FF04A3"/>
    <w:rPr>
      <w:rFonts w:ascii="Tahoma" w:hAnsi="Tahoma" w:cs="Tahoma" w:hint="default"/>
    </w:rPr>
  </w:style>
  <w:style w:type="character" w:customStyle="1" w:styleId="EstiloCorreo995">
    <w:name w:val="EstiloCorreo995"/>
    <w:rsid w:val="00FF04A3"/>
    <w:rPr>
      <w:rFonts w:ascii="Tahoma" w:hAnsi="Tahoma" w:cs="Tahoma" w:hint="default"/>
    </w:rPr>
  </w:style>
  <w:style w:type="character" w:customStyle="1" w:styleId="BulletSymbols">
    <w:name w:val="Bullet Symbols"/>
    <w:rsid w:val="00FF04A3"/>
    <w:rPr>
      <w:rFonts w:ascii="Arial Unicode MS" w:eastAsia="Arial Unicode MS" w:hAnsi="Arial Unicode MS" w:cs="Arial Unicode MS" w:hint="eastAsia"/>
      <w:color w:val="000000"/>
      <w:shd w:val="clear" w:color="auto" w:fill="FFFFFF"/>
    </w:rPr>
  </w:style>
  <w:style w:type="character" w:customStyle="1" w:styleId="RTFNum31">
    <w:name w:val="RTF_Num 3 1"/>
    <w:rsid w:val="00FF04A3"/>
    <w:rPr>
      <w:rFonts w:ascii="Wingdings" w:hAnsi="Wingdings" w:hint="default"/>
      <w:color w:val="000000"/>
      <w:u w:val="single"/>
      <w:shd w:val="clear" w:color="auto" w:fill="FFFFFF"/>
    </w:rPr>
  </w:style>
  <w:style w:type="character" w:customStyle="1" w:styleId="RTFNum32">
    <w:name w:val="RTF_Num 3 2"/>
    <w:rsid w:val="00FF04A3"/>
    <w:rPr>
      <w:rFonts w:ascii="Wingdings" w:hAnsi="Wingdings" w:hint="default"/>
      <w:color w:val="000000"/>
      <w:u w:val="single"/>
      <w:shd w:val="clear" w:color="auto" w:fill="FFFFFF"/>
    </w:rPr>
  </w:style>
  <w:style w:type="character" w:customStyle="1" w:styleId="RTFNum33">
    <w:name w:val="RTF_Num 3 3"/>
    <w:rsid w:val="00FF04A3"/>
    <w:rPr>
      <w:rFonts w:ascii="Arial Unicode MS" w:eastAsia="Arial Unicode MS" w:hAnsi="Arial Unicode MS" w:cs="Arial Unicode MS" w:hint="eastAsia"/>
      <w:color w:val="000000"/>
      <w:shd w:val="clear" w:color="auto" w:fill="FFFFFF"/>
    </w:rPr>
  </w:style>
  <w:style w:type="character" w:customStyle="1" w:styleId="RTFNum34">
    <w:name w:val="RTF_Num 3 4"/>
    <w:rsid w:val="00FF04A3"/>
    <w:rPr>
      <w:rFonts w:ascii="Arial Unicode MS" w:eastAsia="Arial Unicode MS" w:hAnsi="Arial Unicode MS" w:cs="Arial Unicode MS" w:hint="eastAsia"/>
      <w:color w:val="000000"/>
      <w:shd w:val="clear" w:color="auto" w:fill="FFFFFF"/>
    </w:rPr>
  </w:style>
  <w:style w:type="character" w:customStyle="1" w:styleId="RTFNum35">
    <w:name w:val="RTF_Num 3 5"/>
    <w:rsid w:val="00FF04A3"/>
    <w:rPr>
      <w:rFonts w:ascii="Wingdings 2" w:hAnsi="Wingdings 2" w:hint="default"/>
      <w:color w:val="000000"/>
      <w:shd w:val="clear" w:color="auto" w:fill="FFFFFF"/>
    </w:rPr>
  </w:style>
  <w:style w:type="character" w:customStyle="1" w:styleId="RTFNum36">
    <w:name w:val="RTF_Num 3 6"/>
    <w:rsid w:val="00FF04A3"/>
    <w:rPr>
      <w:rFonts w:ascii="Arial Unicode MS" w:eastAsia="Arial Unicode MS" w:hAnsi="Arial Unicode MS" w:cs="Arial Unicode MS" w:hint="eastAsia"/>
      <w:color w:val="000000"/>
      <w:shd w:val="clear" w:color="auto" w:fill="FFFFFF"/>
    </w:rPr>
  </w:style>
  <w:style w:type="character" w:customStyle="1" w:styleId="RTFNum37">
    <w:name w:val="RTF_Num 3 7"/>
    <w:rsid w:val="00FF04A3"/>
    <w:rPr>
      <w:rFonts w:ascii="Arial Unicode MS" w:eastAsia="Arial Unicode MS" w:hAnsi="Arial Unicode MS" w:cs="Arial Unicode MS" w:hint="eastAsia"/>
      <w:color w:val="000000"/>
      <w:shd w:val="clear" w:color="auto" w:fill="FFFFFF"/>
    </w:rPr>
  </w:style>
  <w:style w:type="character" w:customStyle="1" w:styleId="RTFNum38">
    <w:name w:val="RTF_Num 3 8"/>
    <w:rsid w:val="00FF04A3"/>
    <w:rPr>
      <w:rFonts w:ascii="Wingdings 2" w:hAnsi="Wingdings 2" w:hint="default"/>
      <w:color w:val="000000"/>
      <w:shd w:val="clear" w:color="auto" w:fill="FFFFFF"/>
    </w:rPr>
  </w:style>
  <w:style w:type="character" w:customStyle="1" w:styleId="RTFNum39">
    <w:name w:val="RTF_Num 3 9"/>
    <w:rsid w:val="00FF04A3"/>
    <w:rPr>
      <w:rFonts w:ascii="Arial Unicode MS" w:eastAsia="Arial Unicode MS" w:hAnsi="Arial Unicode MS" w:cs="Arial Unicode MS" w:hint="eastAsia"/>
      <w:color w:val="000000"/>
      <w:shd w:val="clear" w:color="auto" w:fill="FFFFFF"/>
    </w:rPr>
  </w:style>
  <w:style w:type="character" w:customStyle="1" w:styleId="RTFNum42">
    <w:name w:val="RTF_Num 4 2"/>
    <w:rsid w:val="00FF04A3"/>
    <w:rPr>
      <w:rFonts w:ascii="Wingdings" w:hAnsi="Wingdings" w:hint="default"/>
      <w:color w:val="000000"/>
      <w:u w:val="single"/>
      <w:shd w:val="clear" w:color="auto" w:fill="FFFFFF"/>
    </w:rPr>
  </w:style>
  <w:style w:type="character" w:customStyle="1" w:styleId="RTFNum82">
    <w:name w:val="RTF_Num 8 2"/>
    <w:rsid w:val="00FF04A3"/>
    <w:rPr>
      <w:rFonts w:ascii="Symbol" w:hAnsi="Symbol" w:hint="default"/>
      <w:color w:val="000000"/>
      <w:u w:val="single"/>
      <w:shd w:val="clear" w:color="auto" w:fill="FFFFFF"/>
    </w:rPr>
  </w:style>
  <w:style w:type="character" w:customStyle="1" w:styleId="RTFNum122">
    <w:name w:val="RTF_Num 12 2"/>
    <w:rsid w:val="00FF04A3"/>
    <w:rPr>
      <w:rFonts w:ascii="Symbol" w:hAnsi="Symbol" w:hint="default"/>
      <w:color w:val="000000"/>
      <w:u w:val="single"/>
      <w:shd w:val="clear" w:color="auto" w:fill="FFFFFF"/>
    </w:rPr>
  </w:style>
  <w:style w:type="character" w:customStyle="1" w:styleId="RTFNum132">
    <w:name w:val="RTF_Num 13 2"/>
    <w:rsid w:val="00FF04A3"/>
    <w:rPr>
      <w:rFonts w:ascii="Wingdings" w:hAnsi="Wingdings" w:hint="default"/>
      <w:color w:val="000000"/>
      <w:u w:val="single"/>
      <w:shd w:val="clear" w:color="auto" w:fill="FFFFFF"/>
    </w:rPr>
  </w:style>
  <w:style w:type="character" w:customStyle="1" w:styleId="RTFNum142">
    <w:name w:val="RTF_Num 14 2"/>
    <w:rsid w:val="00FF04A3"/>
    <w:rPr>
      <w:rFonts w:ascii="Symbol" w:hAnsi="Symbol" w:hint="default"/>
      <w:color w:val="000000"/>
      <w:u w:val="single"/>
      <w:shd w:val="clear" w:color="auto" w:fill="FFFFFF"/>
    </w:rPr>
  </w:style>
  <w:style w:type="character" w:customStyle="1" w:styleId="RTFNum152">
    <w:name w:val="RTF_Num 15 2"/>
    <w:rsid w:val="00FF04A3"/>
    <w:rPr>
      <w:rFonts w:ascii="Symbol" w:hAnsi="Symbol" w:hint="default"/>
      <w:color w:val="000000"/>
      <w:u w:val="single"/>
      <w:shd w:val="clear" w:color="auto" w:fill="FFFFFF"/>
    </w:rPr>
  </w:style>
  <w:style w:type="character" w:customStyle="1" w:styleId="RTFNum162">
    <w:name w:val="RTF_Num 16 2"/>
    <w:rsid w:val="00FF04A3"/>
    <w:rPr>
      <w:rFonts w:ascii="Wingdings" w:hAnsi="Wingdings" w:hint="default"/>
      <w:color w:val="000000"/>
      <w:u w:val="single"/>
      <w:shd w:val="clear" w:color="auto" w:fill="FFFFFF"/>
    </w:rPr>
  </w:style>
  <w:style w:type="character" w:customStyle="1" w:styleId="RTFNum182">
    <w:name w:val="RTF_Num 18 2"/>
    <w:rsid w:val="00FF04A3"/>
    <w:rPr>
      <w:rFonts w:ascii="Symbol" w:hAnsi="Symbol" w:hint="default"/>
      <w:color w:val="000000"/>
      <w:u w:val="single"/>
      <w:shd w:val="clear" w:color="auto" w:fill="FFFFFF"/>
    </w:rPr>
  </w:style>
  <w:style w:type="character" w:customStyle="1" w:styleId="RTFNum192">
    <w:name w:val="RTF_Num 19 2"/>
    <w:rsid w:val="00FF04A3"/>
    <w:rPr>
      <w:rFonts w:ascii="Symbol" w:hAnsi="Symbol" w:hint="default"/>
      <w:color w:val="000000"/>
      <w:u w:val="single"/>
      <w:shd w:val="clear" w:color="auto" w:fill="FFFFFF"/>
    </w:rPr>
  </w:style>
  <w:style w:type="character" w:customStyle="1" w:styleId="RTFNum212">
    <w:name w:val="RTF_Num 21 2"/>
    <w:rsid w:val="00FF04A3"/>
    <w:rPr>
      <w:rFonts w:ascii="Symbol" w:hAnsi="Symbol" w:hint="default"/>
      <w:color w:val="000000"/>
      <w:u w:val="single"/>
      <w:shd w:val="clear" w:color="auto" w:fill="FFFFFF"/>
    </w:rPr>
  </w:style>
  <w:style w:type="character" w:customStyle="1" w:styleId="RTFNum242">
    <w:name w:val="RTF_Num 24 2"/>
    <w:rsid w:val="00FF04A3"/>
    <w:rPr>
      <w:rFonts w:ascii="Wingdings" w:hAnsi="Wingdings" w:hint="default"/>
      <w:color w:val="000000"/>
      <w:u w:val="single"/>
      <w:shd w:val="clear" w:color="auto" w:fill="FFFFFF"/>
    </w:rPr>
  </w:style>
  <w:style w:type="character" w:customStyle="1" w:styleId="RTFNum262">
    <w:name w:val="RTF_Num 26 2"/>
    <w:rsid w:val="00FF04A3"/>
    <w:rPr>
      <w:rFonts w:ascii="Wingdings" w:hAnsi="Wingdings" w:hint="default"/>
      <w:color w:val="000000"/>
      <w:u w:val="single"/>
      <w:shd w:val="clear" w:color="auto" w:fill="FFFFFF"/>
    </w:rPr>
  </w:style>
  <w:style w:type="character" w:customStyle="1" w:styleId="RTFNum272">
    <w:name w:val="RTF_Num 27 2"/>
    <w:rsid w:val="00FF04A3"/>
    <w:rPr>
      <w:rFonts w:ascii="Wingdings" w:hAnsi="Wingdings" w:hint="default"/>
      <w:color w:val="000000"/>
      <w:u w:val="single"/>
      <w:shd w:val="clear" w:color="auto" w:fill="FFFFFF"/>
    </w:rPr>
  </w:style>
  <w:style w:type="character" w:customStyle="1" w:styleId="RTFNum282">
    <w:name w:val="RTF_Num 28 2"/>
    <w:rsid w:val="00FF04A3"/>
    <w:rPr>
      <w:rFonts w:ascii="Wingdings" w:hAnsi="Wingdings" w:hint="default"/>
      <w:color w:val="000000"/>
      <w:u w:val="single"/>
      <w:shd w:val="clear" w:color="auto" w:fill="FFFFFF"/>
    </w:rPr>
  </w:style>
  <w:style w:type="character" w:customStyle="1" w:styleId="RTFNum292">
    <w:name w:val="RTF_Num 29 2"/>
    <w:rsid w:val="00FF04A3"/>
    <w:rPr>
      <w:rFonts w:ascii="Wingdings" w:hAnsi="Wingdings" w:hint="default"/>
      <w:color w:val="000000"/>
      <w:u w:val="single"/>
      <w:shd w:val="clear" w:color="auto" w:fill="FFFFFF"/>
    </w:rPr>
  </w:style>
  <w:style w:type="character" w:customStyle="1" w:styleId="RTFNum302">
    <w:name w:val="RTF_Num 30 2"/>
    <w:rsid w:val="00FF04A3"/>
    <w:rPr>
      <w:rFonts w:ascii="Symbol" w:hAnsi="Symbol" w:hint="default"/>
      <w:color w:val="000000"/>
      <w:u w:val="single"/>
      <w:shd w:val="clear" w:color="auto" w:fill="FFFFFF"/>
    </w:rPr>
  </w:style>
  <w:style w:type="character" w:customStyle="1" w:styleId="RTFNum322">
    <w:name w:val="RTF_Num 32 2"/>
    <w:rsid w:val="00FF04A3"/>
    <w:rPr>
      <w:rFonts w:ascii="Wingdings" w:hAnsi="Wingdings" w:hint="default"/>
      <w:color w:val="000000"/>
      <w:u w:val="single"/>
      <w:shd w:val="clear" w:color="auto" w:fill="FFFFFF"/>
    </w:rPr>
  </w:style>
  <w:style w:type="character" w:customStyle="1" w:styleId="RTFNum342">
    <w:name w:val="RTF_Num 34 2"/>
    <w:rsid w:val="00FF04A3"/>
    <w:rPr>
      <w:rFonts w:ascii="Symbol" w:hAnsi="Symbol" w:hint="default"/>
      <w:color w:val="000000"/>
      <w:u w:val="single"/>
      <w:shd w:val="clear" w:color="auto" w:fill="FFFFFF"/>
    </w:rPr>
  </w:style>
  <w:style w:type="character" w:customStyle="1" w:styleId="RTFNum352">
    <w:name w:val="RTF_Num 35 2"/>
    <w:rsid w:val="00FF04A3"/>
    <w:rPr>
      <w:rFonts w:ascii="Wingdings" w:hAnsi="Wingdings" w:hint="default"/>
      <w:color w:val="000000"/>
      <w:u w:val="single"/>
      <w:shd w:val="clear" w:color="auto" w:fill="FFFFFF"/>
    </w:rPr>
  </w:style>
  <w:style w:type="character" w:customStyle="1" w:styleId="RTFNum362">
    <w:name w:val="RTF_Num 36 2"/>
    <w:rsid w:val="00FF04A3"/>
    <w:rPr>
      <w:rFonts w:ascii="Wingdings" w:hAnsi="Wingdings" w:hint="default"/>
      <w:color w:val="000000"/>
      <w:u w:val="single"/>
      <w:shd w:val="clear" w:color="auto" w:fill="FFFFFF"/>
    </w:rPr>
  </w:style>
  <w:style w:type="character" w:customStyle="1" w:styleId="RTFNum382">
    <w:name w:val="RTF_Num 38 2"/>
    <w:rsid w:val="00FF04A3"/>
    <w:rPr>
      <w:rFonts w:ascii="Wingdings" w:hAnsi="Wingdings" w:hint="default"/>
      <w:color w:val="000000"/>
      <w:u w:val="single"/>
      <w:shd w:val="clear" w:color="auto" w:fill="FFFFFF"/>
    </w:rPr>
  </w:style>
  <w:style w:type="character" w:customStyle="1" w:styleId="RTFNum392">
    <w:name w:val="RTF_Num 39 2"/>
    <w:rsid w:val="00FF04A3"/>
    <w:rPr>
      <w:rFonts w:ascii="Symbol" w:hAnsi="Symbol" w:hint="default"/>
      <w:color w:val="000000"/>
      <w:u w:val="single"/>
      <w:shd w:val="clear" w:color="auto" w:fill="FFFFFF"/>
    </w:rPr>
  </w:style>
  <w:style w:type="character" w:customStyle="1" w:styleId="RTFNum402">
    <w:name w:val="RTF_Num 40 2"/>
    <w:rsid w:val="00FF04A3"/>
    <w:rPr>
      <w:rFonts w:ascii="Wingdings" w:hAnsi="Wingdings" w:hint="default"/>
      <w:color w:val="000000"/>
      <w:u w:val="single"/>
      <w:shd w:val="clear" w:color="auto" w:fill="FFFFFF"/>
    </w:rPr>
  </w:style>
  <w:style w:type="character" w:customStyle="1" w:styleId="RTFNum412">
    <w:name w:val="RTF_Num 41 2"/>
    <w:rsid w:val="00FF04A3"/>
    <w:rPr>
      <w:rFonts w:ascii="Wingdings" w:hAnsi="Wingdings" w:hint="default"/>
      <w:color w:val="000000"/>
      <w:u w:val="single"/>
      <w:shd w:val="clear" w:color="auto" w:fill="FFFFFF"/>
    </w:rPr>
  </w:style>
  <w:style w:type="character" w:customStyle="1" w:styleId="RTFNum422">
    <w:name w:val="RTF_Num 42 2"/>
    <w:rsid w:val="00FF04A3"/>
    <w:rPr>
      <w:rFonts w:ascii="Symbol" w:hAnsi="Symbol" w:hint="default"/>
      <w:color w:val="000000"/>
      <w:u w:val="single"/>
      <w:shd w:val="clear" w:color="auto" w:fill="FFFFFF"/>
    </w:rPr>
  </w:style>
  <w:style w:type="character" w:customStyle="1" w:styleId="RTFNum442">
    <w:name w:val="RTF_Num 44 2"/>
    <w:rsid w:val="00FF04A3"/>
    <w:rPr>
      <w:rFonts w:ascii="Symbol" w:hAnsi="Symbol" w:hint="default"/>
      <w:color w:val="000000"/>
      <w:u w:val="single"/>
      <w:shd w:val="clear" w:color="auto" w:fill="FFFFFF"/>
    </w:rPr>
  </w:style>
  <w:style w:type="character" w:customStyle="1" w:styleId="RTFNum452">
    <w:name w:val="RTF_Num 45 2"/>
    <w:rsid w:val="00FF04A3"/>
    <w:rPr>
      <w:rFonts w:ascii="Symbol" w:hAnsi="Symbol" w:hint="default"/>
      <w:color w:val="000000"/>
      <w:u w:val="single"/>
      <w:shd w:val="clear" w:color="auto" w:fill="FFFFFF"/>
    </w:rPr>
  </w:style>
  <w:style w:type="character" w:customStyle="1" w:styleId="RTFNum462">
    <w:name w:val="RTF_Num 46 2"/>
    <w:rsid w:val="00FF04A3"/>
    <w:rPr>
      <w:rFonts w:ascii="Symbol" w:hAnsi="Symbol" w:hint="default"/>
      <w:color w:val="000000"/>
      <w:u w:val="single"/>
      <w:shd w:val="clear" w:color="auto" w:fill="FFFFFF"/>
    </w:rPr>
  </w:style>
  <w:style w:type="character" w:customStyle="1" w:styleId="RTFNum472">
    <w:name w:val="RTF_Num 47 2"/>
    <w:rsid w:val="00FF04A3"/>
    <w:rPr>
      <w:rFonts w:ascii="Wingdings" w:hAnsi="Wingdings" w:hint="default"/>
      <w:color w:val="000000"/>
      <w:u w:val="single"/>
      <w:shd w:val="clear" w:color="auto" w:fill="FFFFFF"/>
    </w:rPr>
  </w:style>
  <w:style w:type="character" w:customStyle="1" w:styleId="RTFNum482">
    <w:name w:val="RTF_Num 48 2"/>
    <w:rsid w:val="00FF04A3"/>
    <w:rPr>
      <w:rFonts w:ascii="Wingdings" w:hAnsi="Wingdings" w:hint="default"/>
      <w:color w:val="000000"/>
      <w:u w:val="single"/>
      <w:shd w:val="clear" w:color="auto" w:fill="FFFFFF"/>
    </w:rPr>
  </w:style>
  <w:style w:type="character" w:customStyle="1" w:styleId="RTFNum492">
    <w:name w:val="RTF_Num 49 2"/>
    <w:rsid w:val="00FF04A3"/>
    <w:rPr>
      <w:rFonts w:ascii="Wingdings" w:hAnsi="Wingdings" w:hint="default"/>
      <w:color w:val="000000"/>
      <w:u w:val="single"/>
      <w:shd w:val="clear" w:color="auto" w:fill="FFFFFF"/>
    </w:rPr>
  </w:style>
  <w:style w:type="character" w:customStyle="1" w:styleId="RTFNum502">
    <w:name w:val="RTF_Num 50 2"/>
    <w:rsid w:val="00FF04A3"/>
    <w:rPr>
      <w:rFonts w:ascii="Wingdings" w:hAnsi="Wingdings" w:hint="default"/>
      <w:color w:val="000000"/>
      <w:u w:val="single"/>
      <w:shd w:val="clear" w:color="auto" w:fill="FFFFFF"/>
    </w:rPr>
  </w:style>
  <w:style w:type="character" w:customStyle="1" w:styleId="RTFNum512">
    <w:name w:val="RTF_Num 51 2"/>
    <w:rsid w:val="00FF04A3"/>
    <w:rPr>
      <w:rFonts w:ascii="Wingdings" w:hAnsi="Wingdings" w:hint="default"/>
      <w:color w:val="000000"/>
      <w:u w:val="single"/>
      <w:shd w:val="clear" w:color="auto" w:fill="FFFFFF"/>
    </w:rPr>
  </w:style>
  <w:style w:type="character" w:customStyle="1" w:styleId="RTFNum522">
    <w:name w:val="RTF_Num 52 2"/>
    <w:rsid w:val="00FF04A3"/>
    <w:rPr>
      <w:rFonts w:ascii="Wingdings" w:hAnsi="Wingdings" w:hint="default"/>
      <w:color w:val="000000"/>
      <w:u w:val="single"/>
      <w:shd w:val="clear" w:color="auto" w:fill="FFFFFF"/>
    </w:rPr>
  </w:style>
  <w:style w:type="character" w:customStyle="1" w:styleId="RTFNum532">
    <w:name w:val="RTF_Num 53 2"/>
    <w:rsid w:val="00FF04A3"/>
    <w:rPr>
      <w:rFonts w:ascii="Wingdings" w:hAnsi="Wingdings" w:hint="default"/>
      <w:color w:val="000000"/>
      <w:u w:val="single"/>
      <w:shd w:val="clear" w:color="auto" w:fill="FFFFFF"/>
    </w:rPr>
  </w:style>
  <w:style w:type="character" w:customStyle="1" w:styleId="RTFNum542">
    <w:name w:val="RTF_Num 54 2"/>
    <w:rsid w:val="00FF04A3"/>
    <w:rPr>
      <w:rFonts w:ascii="Wingdings" w:hAnsi="Wingdings" w:hint="default"/>
      <w:color w:val="000000"/>
      <w:u w:val="single"/>
      <w:shd w:val="clear" w:color="auto" w:fill="FFFFFF"/>
    </w:rPr>
  </w:style>
  <w:style w:type="character" w:customStyle="1" w:styleId="RTFNum552">
    <w:name w:val="RTF_Num 55 2"/>
    <w:rsid w:val="00FF04A3"/>
    <w:rPr>
      <w:rFonts w:ascii="Wingdings" w:hAnsi="Wingdings" w:hint="default"/>
      <w:color w:val="000000"/>
      <w:u w:val="single"/>
      <w:shd w:val="clear" w:color="auto" w:fill="FFFFFF"/>
    </w:rPr>
  </w:style>
  <w:style w:type="character" w:customStyle="1" w:styleId="RTFNum562">
    <w:name w:val="RTF_Num 56 2"/>
    <w:rsid w:val="00FF04A3"/>
    <w:rPr>
      <w:rFonts w:ascii="Wingdings" w:hAnsi="Wingdings" w:hint="default"/>
      <w:color w:val="000000"/>
      <w:u w:val="single"/>
      <w:shd w:val="clear" w:color="auto" w:fill="FFFFFF"/>
    </w:rPr>
  </w:style>
  <w:style w:type="character" w:customStyle="1" w:styleId="RTFNum572">
    <w:name w:val="RTF_Num 57 2"/>
    <w:rsid w:val="00FF04A3"/>
    <w:rPr>
      <w:rFonts w:ascii="Wingdings" w:hAnsi="Wingdings" w:hint="default"/>
      <w:color w:val="000000"/>
      <w:u w:val="single"/>
      <w:shd w:val="clear" w:color="auto" w:fill="FFFFFF"/>
    </w:rPr>
  </w:style>
  <w:style w:type="character" w:customStyle="1" w:styleId="RTFNum582">
    <w:name w:val="RTF_Num 58 2"/>
    <w:rsid w:val="00FF04A3"/>
    <w:rPr>
      <w:rFonts w:ascii="Wingdings" w:hAnsi="Wingdings" w:hint="default"/>
      <w:color w:val="000000"/>
      <w:u w:val="single"/>
      <w:shd w:val="clear" w:color="auto" w:fill="FFFFFF"/>
    </w:rPr>
  </w:style>
  <w:style w:type="character" w:customStyle="1" w:styleId="RTFNum592">
    <w:name w:val="RTF_Num 59 2"/>
    <w:rsid w:val="00FF04A3"/>
    <w:rPr>
      <w:rFonts w:ascii="Wingdings" w:hAnsi="Wingdings" w:hint="default"/>
      <w:color w:val="000000"/>
      <w:u w:val="single"/>
      <w:shd w:val="clear" w:color="auto" w:fill="FFFFFF"/>
    </w:rPr>
  </w:style>
  <w:style w:type="character" w:customStyle="1" w:styleId="RTFNum602">
    <w:name w:val="RTF_Num 60 2"/>
    <w:rsid w:val="00FF04A3"/>
    <w:rPr>
      <w:rFonts w:ascii="Wingdings" w:hAnsi="Wingdings" w:hint="default"/>
      <w:color w:val="000000"/>
      <w:u w:val="single"/>
      <w:shd w:val="clear" w:color="auto" w:fill="FFFFFF"/>
    </w:rPr>
  </w:style>
  <w:style w:type="character" w:customStyle="1" w:styleId="RTFNum612">
    <w:name w:val="RTF_Num 61 2"/>
    <w:rsid w:val="00FF04A3"/>
    <w:rPr>
      <w:rFonts w:ascii="Wingdings" w:hAnsi="Wingdings" w:hint="default"/>
      <w:color w:val="000000"/>
      <w:u w:val="single"/>
      <w:shd w:val="clear" w:color="auto" w:fill="FFFFFF"/>
    </w:rPr>
  </w:style>
  <w:style w:type="character" w:customStyle="1" w:styleId="RTFNum622">
    <w:name w:val="RTF_Num 62 2"/>
    <w:rsid w:val="00FF04A3"/>
    <w:rPr>
      <w:rFonts w:ascii="Wingdings" w:hAnsi="Wingdings" w:hint="default"/>
      <w:color w:val="000000"/>
      <w:u w:val="single"/>
      <w:shd w:val="clear" w:color="auto" w:fill="FFFFFF"/>
    </w:rPr>
  </w:style>
  <w:style w:type="character" w:customStyle="1" w:styleId="RTFNum632">
    <w:name w:val="RTF_Num 63 2"/>
    <w:rsid w:val="00FF04A3"/>
    <w:rPr>
      <w:rFonts w:ascii="Wingdings" w:hAnsi="Wingdings" w:hint="default"/>
      <w:color w:val="000000"/>
      <w:u w:val="single"/>
      <w:shd w:val="clear" w:color="auto" w:fill="FFFFFF"/>
    </w:rPr>
  </w:style>
  <w:style w:type="character" w:customStyle="1" w:styleId="RTFNum642">
    <w:name w:val="RTF_Num 64 2"/>
    <w:rsid w:val="00FF04A3"/>
    <w:rPr>
      <w:rFonts w:ascii="Wingdings" w:hAnsi="Wingdings" w:hint="default"/>
      <w:color w:val="000000"/>
      <w:u w:val="single"/>
      <w:shd w:val="clear" w:color="auto" w:fill="FFFFFF"/>
    </w:rPr>
  </w:style>
  <w:style w:type="character" w:customStyle="1" w:styleId="RTFNum652">
    <w:name w:val="RTF_Num 65 2"/>
    <w:rsid w:val="00FF04A3"/>
    <w:rPr>
      <w:rFonts w:ascii="Wingdings" w:hAnsi="Wingdings" w:hint="default"/>
      <w:color w:val="000000"/>
      <w:u w:val="single"/>
      <w:shd w:val="clear" w:color="auto" w:fill="FFFFFF"/>
    </w:rPr>
  </w:style>
  <w:style w:type="character" w:customStyle="1" w:styleId="RTFNum662">
    <w:name w:val="RTF_Num 66 2"/>
    <w:rsid w:val="00FF04A3"/>
    <w:rPr>
      <w:rFonts w:ascii="Wingdings" w:hAnsi="Wingdings" w:hint="default"/>
      <w:color w:val="000000"/>
      <w:u w:val="single"/>
      <w:shd w:val="clear" w:color="auto" w:fill="FFFFFF"/>
    </w:rPr>
  </w:style>
  <w:style w:type="character" w:customStyle="1" w:styleId="RTFNum672">
    <w:name w:val="RTF_Num 67 2"/>
    <w:rsid w:val="00FF04A3"/>
    <w:rPr>
      <w:rFonts w:ascii="Wingdings" w:hAnsi="Wingdings" w:hint="default"/>
      <w:color w:val="000000"/>
      <w:u w:val="single"/>
      <w:shd w:val="clear" w:color="auto" w:fill="FFFFFF"/>
    </w:rPr>
  </w:style>
  <w:style w:type="character" w:customStyle="1" w:styleId="RTFNum682">
    <w:name w:val="RTF_Num 68 2"/>
    <w:rsid w:val="00FF04A3"/>
    <w:rPr>
      <w:rFonts w:ascii="Wingdings" w:hAnsi="Wingdings" w:hint="default"/>
      <w:color w:val="000000"/>
      <w:u w:val="single"/>
      <w:shd w:val="clear" w:color="auto" w:fill="FFFFFF"/>
    </w:rPr>
  </w:style>
  <w:style w:type="character" w:customStyle="1" w:styleId="RTFNum692">
    <w:name w:val="RTF_Num 69 2"/>
    <w:rsid w:val="00FF04A3"/>
    <w:rPr>
      <w:rFonts w:ascii="Wingdings" w:hAnsi="Wingdings" w:hint="default"/>
      <w:color w:val="000000"/>
      <w:u w:val="single"/>
      <w:shd w:val="clear" w:color="auto" w:fill="FFFFFF"/>
    </w:rPr>
  </w:style>
  <w:style w:type="character" w:customStyle="1" w:styleId="RTFNum702">
    <w:name w:val="RTF_Num 70 2"/>
    <w:rsid w:val="00FF04A3"/>
    <w:rPr>
      <w:rFonts w:ascii="Wingdings" w:hAnsi="Wingdings" w:hint="default"/>
      <w:color w:val="000000"/>
      <w:u w:val="single"/>
      <w:shd w:val="clear" w:color="auto" w:fill="FFFFFF"/>
    </w:rPr>
  </w:style>
  <w:style w:type="character" w:customStyle="1" w:styleId="RTFNum712">
    <w:name w:val="RTF_Num 71 2"/>
    <w:rsid w:val="00FF04A3"/>
    <w:rPr>
      <w:rFonts w:ascii="Wingdings" w:hAnsi="Wingdings" w:hint="default"/>
      <w:color w:val="000000"/>
      <w:u w:val="single"/>
      <w:shd w:val="clear" w:color="auto" w:fill="FFFFFF"/>
    </w:rPr>
  </w:style>
  <w:style w:type="character" w:customStyle="1" w:styleId="RTFNum722">
    <w:name w:val="RTF_Num 72 2"/>
    <w:rsid w:val="00FF04A3"/>
    <w:rPr>
      <w:rFonts w:ascii="Symbol" w:hAnsi="Symbol" w:hint="default"/>
      <w:color w:val="000000"/>
      <w:u w:val="single"/>
      <w:shd w:val="clear" w:color="auto" w:fill="FFFFFF"/>
    </w:rPr>
  </w:style>
  <w:style w:type="character" w:customStyle="1" w:styleId="RTFNum732">
    <w:name w:val="RTF_Num 73 2"/>
    <w:rsid w:val="00FF04A3"/>
    <w:rPr>
      <w:rFonts w:ascii="Wingdings" w:hAnsi="Wingdings" w:hint="default"/>
      <w:color w:val="000000"/>
      <w:u w:val="single"/>
      <w:shd w:val="clear" w:color="auto" w:fill="FFFFFF"/>
    </w:rPr>
  </w:style>
  <w:style w:type="character" w:customStyle="1" w:styleId="RTFNum742">
    <w:name w:val="RTF_Num 74 2"/>
    <w:rsid w:val="00FF04A3"/>
    <w:rPr>
      <w:rFonts w:ascii="Wingdings" w:hAnsi="Wingdings" w:hint="default"/>
      <w:color w:val="000000"/>
      <w:u w:val="single"/>
      <w:shd w:val="clear" w:color="auto" w:fill="FFFFFF"/>
    </w:rPr>
  </w:style>
  <w:style w:type="character" w:customStyle="1" w:styleId="RTFNum752">
    <w:name w:val="RTF_Num 75 2"/>
    <w:rsid w:val="00FF04A3"/>
    <w:rPr>
      <w:rFonts w:ascii="Symbol" w:hAnsi="Symbol" w:hint="default"/>
      <w:color w:val="000000"/>
      <w:u w:val="single"/>
      <w:shd w:val="clear" w:color="auto" w:fill="FFFFFF"/>
    </w:rPr>
  </w:style>
  <w:style w:type="character" w:customStyle="1" w:styleId="RTFNum762">
    <w:name w:val="RTF_Num 76 2"/>
    <w:rsid w:val="00FF04A3"/>
    <w:rPr>
      <w:rFonts w:ascii="Wingdings" w:hAnsi="Wingdings" w:hint="default"/>
      <w:color w:val="000000"/>
      <w:u w:val="single"/>
      <w:shd w:val="clear" w:color="auto" w:fill="FFFFFF"/>
    </w:rPr>
  </w:style>
  <w:style w:type="character" w:customStyle="1" w:styleId="RTFNum772">
    <w:name w:val="RTF_Num 77 2"/>
    <w:rsid w:val="00FF04A3"/>
    <w:rPr>
      <w:rFonts w:ascii="Symbol" w:hAnsi="Symbol" w:hint="default"/>
      <w:color w:val="000000"/>
      <w:u w:val="single"/>
      <w:shd w:val="clear" w:color="auto" w:fill="FFFFFF"/>
    </w:rPr>
  </w:style>
  <w:style w:type="character" w:customStyle="1" w:styleId="RTFNum782">
    <w:name w:val="RTF_Num 78 2"/>
    <w:rsid w:val="00FF04A3"/>
    <w:rPr>
      <w:rFonts w:ascii="Wingdings" w:hAnsi="Wingdings" w:hint="default"/>
      <w:color w:val="000000"/>
      <w:u w:val="single"/>
      <w:shd w:val="clear" w:color="auto" w:fill="FFFFFF"/>
    </w:rPr>
  </w:style>
  <w:style w:type="character" w:customStyle="1" w:styleId="RTFNum792">
    <w:name w:val="RTF_Num 79 2"/>
    <w:rsid w:val="00FF04A3"/>
    <w:rPr>
      <w:rFonts w:ascii="Wingdings" w:hAnsi="Wingdings" w:hint="default"/>
      <w:color w:val="000000"/>
      <w:u w:val="single"/>
      <w:shd w:val="clear" w:color="auto" w:fill="FFFFFF"/>
    </w:rPr>
  </w:style>
  <w:style w:type="character" w:customStyle="1" w:styleId="RTFNum802">
    <w:name w:val="RTF_Num 80 2"/>
    <w:rsid w:val="00FF04A3"/>
    <w:rPr>
      <w:rFonts w:ascii="Wingdings" w:hAnsi="Wingdings" w:hint="default"/>
      <w:color w:val="000000"/>
      <w:u w:val="single"/>
      <w:shd w:val="clear" w:color="auto" w:fill="FFFFFF"/>
    </w:rPr>
  </w:style>
  <w:style w:type="character" w:customStyle="1" w:styleId="RTFNum812">
    <w:name w:val="RTF_Num 81 2"/>
    <w:rsid w:val="00FF04A3"/>
    <w:rPr>
      <w:rFonts w:ascii="Wingdings" w:hAnsi="Wingdings" w:hint="default"/>
      <w:color w:val="000000"/>
      <w:u w:val="single"/>
      <w:shd w:val="clear" w:color="auto" w:fill="FFFFFF"/>
    </w:rPr>
  </w:style>
  <w:style w:type="character" w:customStyle="1" w:styleId="RTFNum822">
    <w:name w:val="RTF_Num 82 2"/>
    <w:rsid w:val="00FF04A3"/>
    <w:rPr>
      <w:rFonts w:ascii="Wingdings" w:hAnsi="Wingdings" w:hint="default"/>
      <w:color w:val="000000"/>
      <w:u w:val="single"/>
      <w:shd w:val="clear" w:color="auto" w:fill="FFFFFF"/>
    </w:rPr>
  </w:style>
  <w:style w:type="character" w:customStyle="1" w:styleId="RTFNum832">
    <w:name w:val="RTF_Num 83 2"/>
    <w:rsid w:val="00FF04A3"/>
    <w:rPr>
      <w:rFonts w:ascii="Wingdings" w:hAnsi="Wingdings" w:hint="default"/>
      <w:color w:val="000000"/>
      <w:u w:val="single"/>
      <w:shd w:val="clear" w:color="auto" w:fill="FFFFFF"/>
    </w:rPr>
  </w:style>
  <w:style w:type="character" w:customStyle="1" w:styleId="RTFNum842">
    <w:name w:val="RTF_Num 84 2"/>
    <w:rsid w:val="00FF04A3"/>
    <w:rPr>
      <w:rFonts w:ascii="Wingdings" w:hAnsi="Wingdings" w:hint="default"/>
      <w:color w:val="000000"/>
      <w:u w:val="single"/>
      <w:shd w:val="clear" w:color="auto" w:fill="FFFFFF"/>
    </w:rPr>
  </w:style>
  <w:style w:type="character" w:customStyle="1" w:styleId="RTFNum852">
    <w:name w:val="RTF_Num 85 2"/>
    <w:rsid w:val="00FF04A3"/>
    <w:rPr>
      <w:rFonts w:ascii="Wingdings" w:hAnsi="Wingdings" w:hint="default"/>
      <w:color w:val="000000"/>
      <w:u w:val="single"/>
      <w:shd w:val="clear" w:color="auto" w:fill="FFFFFF"/>
    </w:rPr>
  </w:style>
  <w:style w:type="character" w:customStyle="1" w:styleId="RTFNum862">
    <w:name w:val="RTF_Num 86 2"/>
    <w:rsid w:val="00FF04A3"/>
    <w:rPr>
      <w:rFonts w:ascii="Wingdings" w:hAnsi="Wingdings" w:hint="default"/>
      <w:color w:val="000000"/>
      <w:u w:val="single"/>
      <w:shd w:val="clear" w:color="auto" w:fill="FFFFFF"/>
    </w:rPr>
  </w:style>
  <w:style w:type="character" w:customStyle="1" w:styleId="RTFNum872">
    <w:name w:val="RTF_Num 87 2"/>
    <w:rsid w:val="00FF04A3"/>
    <w:rPr>
      <w:rFonts w:ascii="Wingdings" w:hAnsi="Wingdings" w:hint="default"/>
      <w:color w:val="000000"/>
      <w:u w:val="single"/>
      <w:shd w:val="clear" w:color="auto" w:fill="FFFFFF"/>
    </w:rPr>
  </w:style>
  <w:style w:type="character" w:customStyle="1" w:styleId="RTFNum882">
    <w:name w:val="RTF_Num 88 2"/>
    <w:rsid w:val="00FF04A3"/>
    <w:rPr>
      <w:rFonts w:ascii="Wingdings" w:hAnsi="Wingdings" w:hint="default"/>
      <w:color w:val="000000"/>
      <w:u w:val="single"/>
      <w:shd w:val="clear" w:color="auto" w:fill="FFFFFF"/>
    </w:rPr>
  </w:style>
  <w:style w:type="character" w:customStyle="1" w:styleId="RTFNum892">
    <w:name w:val="RTF_Num 89 2"/>
    <w:rsid w:val="00FF04A3"/>
    <w:rPr>
      <w:rFonts w:ascii="Wingdings" w:hAnsi="Wingdings" w:hint="default"/>
      <w:color w:val="000000"/>
      <w:u w:val="single"/>
      <w:shd w:val="clear" w:color="auto" w:fill="FFFFFF"/>
    </w:rPr>
  </w:style>
  <w:style w:type="character" w:customStyle="1" w:styleId="RTFNum902">
    <w:name w:val="RTF_Num 90 2"/>
    <w:rsid w:val="00FF04A3"/>
    <w:rPr>
      <w:rFonts w:ascii="Wingdings" w:hAnsi="Wingdings" w:hint="default"/>
      <w:color w:val="000000"/>
      <w:u w:val="single"/>
      <w:shd w:val="clear" w:color="auto" w:fill="FFFFFF"/>
    </w:rPr>
  </w:style>
  <w:style w:type="character" w:customStyle="1" w:styleId="RTFNum912">
    <w:name w:val="RTF_Num 91 2"/>
    <w:rsid w:val="00FF04A3"/>
    <w:rPr>
      <w:rFonts w:ascii="Symbol" w:hAnsi="Symbol" w:hint="default"/>
      <w:color w:val="000000"/>
      <w:u w:val="single"/>
      <w:shd w:val="clear" w:color="auto" w:fill="FFFFFF"/>
    </w:rPr>
  </w:style>
  <w:style w:type="character" w:customStyle="1" w:styleId="RTFNum922">
    <w:name w:val="RTF_Num 92 2"/>
    <w:rsid w:val="00FF04A3"/>
    <w:rPr>
      <w:rFonts w:ascii="Symbol" w:hAnsi="Symbol" w:hint="default"/>
      <w:color w:val="000000"/>
      <w:u w:val="single"/>
      <w:shd w:val="clear" w:color="auto" w:fill="FFFFFF"/>
    </w:rPr>
  </w:style>
  <w:style w:type="character" w:customStyle="1" w:styleId="RTFNum932">
    <w:name w:val="RTF_Num 93 2"/>
    <w:rsid w:val="00FF04A3"/>
    <w:rPr>
      <w:rFonts w:ascii="Symbol" w:hAnsi="Symbol" w:hint="default"/>
      <w:color w:val="000000"/>
      <w:u w:val="single"/>
      <w:shd w:val="clear" w:color="auto" w:fill="FFFFFF"/>
    </w:rPr>
  </w:style>
  <w:style w:type="character" w:customStyle="1" w:styleId="RTFNum942">
    <w:name w:val="RTF_Num 94 2"/>
    <w:rsid w:val="00FF04A3"/>
    <w:rPr>
      <w:rFonts w:ascii="Wingdings" w:hAnsi="Wingdings" w:hint="default"/>
      <w:color w:val="000000"/>
      <w:u w:val="single"/>
      <w:shd w:val="clear" w:color="auto" w:fill="FFFFFF"/>
    </w:rPr>
  </w:style>
  <w:style w:type="character" w:customStyle="1" w:styleId="RTFNum952">
    <w:name w:val="RTF_Num 95 2"/>
    <w:rsid w:val="00FF04A3"/>
    <w:rPr>
      <w:rFonts w:ascii="Wingdings" w:hAnsi="Wingdings" w:hint="default"/>
      <w:color w:val="000000"/>
      <w:u w:val="single"/>
      <w:shd w:val="clear" w:color="auto" w:fill="FFFFFF"/>
    </w:rPr>
  </w:style>
  <w:style w:type="character" w:customStyle="1" w:styleId="RTFNum962">
    <w:name w:val="RTF_Num 96 2"/>
    <w:rsid w:val="00FF04A3"/>
    <w:rPr>
      <w:rFonts w:ascii="Wingdings" w:hAnsi="Wingdings" w:hint="default"/>
      <w:color w:val="000000"/>
      <w:u w:val="single"/>
      <w:shd w:val="clear" w:color="auto" w:fill="FFFFFF"/>
    </w:rPr>
  </w:style>
  <w:style w:type="character" w:customStyle="1" w:styleId="RTFNum972">
    <w:name w:val="RTF_Num 97 2"/>
    <w:rsid w:val="00FF04A3"/>
    <w:rPr>
      <w:rFonts w:ascii="Symbol" w:hAnsi="Symbol" w:hint="default"/>
      <w:color w:val="000000"/>
      <w:u w:val="single"/>
      <w:shd w:val="clear" w:color="auto" w:fill="FFFFFF"/>
    </w:rPr>
  </w:style>
  <w:style w:type="character" w:customStyle="1" w:styleId="RTFNum982">
    <w:name w:val="RTF_Num 98 2"/>
    <w:rsid w:val="00FF04A3"/>
    <w:rPr>
      <w:rFonts w:ascii="Symbol" w:hAnsi="Symbol" w:hint="default"/>
      <w:color w:val="000000"/>
      <w:u w:val="single"/>
      <w:shd w:val="clear" w:color="auto" w:fill="FFFFFF"/>
    </w:rPr>
  </w:style>
  <w:style w:type="character" w:customStyle="1" w:styleId="RTFNum992">
    <w:name w:val="RTF_Num 99 2"/>
    <w:rsid w:val="00FF04A3"/>
    <w:rPr>
      <w:rFonts w:ascii="Symbol" w:hAnsi="Symbol" w:hint="default"/>
      <w:color w:val="000000"/>
      <w:u w:val="single"/>
      <w:shd w:val="clear" w:color="auto" w:fill="FFFFFF"/>
    </w:rPr>
  </w:style>
  <w:style w:type="character" w:customStyle="1" w:styleId="RTFNum1002">
    <w:name w:val="RTF_Num 100 2"/>
    <w:rsid w:val="00FF04A3"/>
    <w:rPr>
      <w:rFonts w:ascii="Symbol" w:hAnsi="Symbol" w:hint="default"/>
      <w:color w:val="000000"/>
      <w:u w:val="single"/>
      <w:shd w:val="clear" w:color="auto" w:fill="FFFFFF"/>
    </w:rPr>
  </w:style>
  <w:style w:type="character" w:customStyle="1" w:styleId="RTFNum1012">
    <w:name w:val="RTF_Num 101 2"/>
    <w:rsid w:val="00FF04A3"/>
    <w:rPr>
      <w:rFonts w:ascii="Symbol" w:hAnsi="Symbol" w:hint="default"/>
      <w:color w:val="000000"/>
      <w:u w:val="single"/>
      <w:shd w:val="clear" w:color="auto" w:fill="FFFFFF"/>
    </w:rPr>
  </w:style>
  <w:style w:type="character" w:customStyle="1" w:styleId="RTFNum1022">
    <w:name w:val="RTF_Num 102 2"/>
    <w:rsid w:val="00FF04A3"/>
    <w:rPr>
      <w:rFonts w:ascii="Symbol" w:hAnsi="Symbol" w:hint="default"/>
      <w:color w:val="000000"/>
      <w:u w:val="single"/>
      <w:shd w:val="clear" w:color="auto" w:fill="FFFFFF"/>
    </w:rPr>
  </w:style>
  <w:style w:type="character" w:customStyle="1" w:styleId="RTFNum1032">
    <w:name w:val="RTF_Num 103 2"/>
    <w:rsid w:val="00FF04A3"/>
    <w:rPr>
      <w:rFonts w:ascii="Symbol" w:hAnsi="Symbol" w:hint="default"/>
      <w:color w:val="000000"/>
      <w:u w:val="single"/>
      <w:shd w:val="clear" w:color="auto" w:fill="FFFFFF"/>
    </w:rPr>
  </w:style>
  <w:style w:type="character" w:customStyle="1" w:styleId="RTFNum1042">
    <w:name w:val="RTF_Num 104 2"/>
    <w:rsid w:val="00FF04A3"/>
    <w:rPr>
      <w:rFonts w:ascii="Symbol" w:hAnsi="Symbol" w:hint="default"/>
      <w:color w:val="000000"/>
      <w:u w:val="single"/>
      <w:shd w:val="clear" w:color="auto" w:fill="FFFFFF"/>
    </w:rPr>
  </w:style>
  <w:style w:type="character" w:customStyle="1" w:styleId="RTFNum1052">
    <w:name w:val="RTF_Num 105 2"/>
    <w:rsid w:val="00FF04A3"/>
    <w:rPr>
      <w:rFonts w:ascii="Symbol" w:hAnsi="Symbol" w:hint="default"/>
      <w:color w:val="000000"/>
      <w:u w:val="single"/>
      <w:shd w:val="clear" w:color="auto" w:fill="FFFFFF"/>
    </w:rPr>
  </w:style>
  <w:style w:type="character" w:customStyle="1" w:styleId="RTFNum1062">
    <w:name w:val="RTF_Num 106 2"/>
    <w:rsid w:val="00FF04A3"/>
    <w:rPr>
      <w:rFonts w:ascii="Symbol" w:hAnsi="Symbol" w:hint="default"/>
      <w:color w:val="000000"/>
      <w:u w:val="single"/>
      <w:shd w:val="clear" w:color="auto" w:fill="FFFFFF"/>
    </w:rPr>
  </w:style>
  <w:style w:type="character" w:customStyle="1" w:styleId="RTFNum1072">
    <w:name w:val="RTF_Num 107 2"/>
    <w:rsid w:val="00FF04A3"/>
    <w:rPr>
      <w:rFonts w:ascii="Symbol" w:hAnsi="Symbol" w:hint="default"/>
      <w:color w:val="000000"/>
      <w:u w:val="single"/>
      <w:shd w:val="clear" w:color="auto" w:fill="FFFFFF"/>
    </w:rPr>
  </w:style>
  <w:style w:type="character" w:customStyle="1" w:styleId="RTFNum1082">
    <w:name w:val="RTF_Num 108 2"/>
    <w:rsid w:val="00FF04A3"/>
    <w:rPr>
      <w:rFonts w:ascii="Symbol" w:hAnsi="Symbol" w:hint="default"/>
      <w:color w:val="000000"/>
      <w:u w:val="single"/>
      <w:shd w:val="clear" w:color="auto" w:fill="FFFFFF"/>
    </w:rPr>
  </w:style>
  <w:style w:type="character" w:customStyle="1" w:styleId="RTFNum1092">
    <w:name w:val="RTF_Num 109 2"/>
    <w:rsid w:val="00FF04A3"/>
    <w:rPr>
      <w:rFonts w:ascii="Wingdings" w:hAnsi="Wingdings" w:hint="default"/>
      <w:color w:val="000000"/>
      <w:u w:val="single"/>
      <w:shd w:val="clear" w:color="auto" w:fill="FFFFFF"/>
    </w:rPr>
  </w:style>
  <w:style w:type="character" w:customStyle="1" w:styleId="RTFNum1102">
    <w:name w:val="RTF_Num 110 2"/>
    <w:rsid w:val="00FF04A3"/>
    <w:rPr>
      <w:rFonts w:ascii="Symbol" w:hAnsi="Symbol" w:hint="default"/>
      <w:color w:val="000000"/>
      <w:u w:val="single"/>
      <w:shd w:val="clear" w:color="auto" w:fill="FFFFFF"/>
    </w:rPr>
  </w:style>
  <w:style w:type="character" w:customStyle="1" w:styleId="RTFNum1112">
    <w:name w:val="RTF_Num 111 2"/>
    <w:rsid w:val="00FF04A3"/>
    <w:rPr>
      <w:rFonts w:ascii="Symbol" w:hAnsi="Symbol" w:hint="default"/>
      <w:color w:val="000000"/>
      <w:u w:val="single"/>
      <w:shd w:val="clear" w:color="auto" w:fill="FFFFFF"/>
    </w:rPr>
  </w:style>
  <w:style w:type="character" w:customStyle="1" w:styleId="RTFNum1122">
    <w:name w:val="RTF_Num 112 2"/>
    <w:rsid w:val="00FF04A3"/>
    <w:rPr>
      <w:rFonts w:ascii="Symbol" w:hAnsi="Symbol" w:hint="default"/>
      <w:color w:val="000000"/>
      <w:u w:val="single"/>
      <w:shd w:val="clear" w:color="auto" w:fill="FFFFFF"/>
    </w:rPr>
  </w:style>
  <w:style w:type="character" w:customStyle="1" w:styleId="RTFNum1132">
    <w:name w:val="RTF_Num 113 2"/>
    <w:rsid w:val="00FF04A3"/>
    <w:rPr>
      <w:rFonts w:ascii="Symbol" w:hAnsi="Symbol" w:hint="default"/>
      <w:color w:val="000000"/>
      <w:u w:val="single"/>
      <w:shd w:val="clear" w:color="auto" w:fill="FFFFFF"/>
    </w:rPr>
  </w:style>
  <w:style w:type="character" w:customStyle="1" w:styleId="RTFNum1152">
    <w:name w:val="RTF_Num 115 2"/>
    <w:rsid w:val="00FF04A3"/>
    <w:rPr>
      <w:rFonts w:ascii="Symbol" w:hAnsi="Symbol" w:hint="default"/>
      <w:color w:val="000000"/>
      <w:u w:val="single"/>
      <w:shd w:val="clear" w:color="auto" w:fill="FFFFFF"/>
    </w:rPr>
  </w:style>
  <w:style w:type="character" w:customStyle="1" w:styleId="RTFNum1172">
    <w:name w:val="RTF_Num 117 2"/>
    <w:rsid w:val="00FF04A3"/>
    <w:rPr>
      <w:rFonts w:ascii="Symbol" w:hAnsi="Symbol" w:hint="default"/>
      <w:color w:val="000000"/>
      <w:u w:val="single"/>
      <w:shd w:val="clear" w:color="auto" w:fill="FFFFFF"/>
    </w:rPr>
  </w:style>
  <w:style w:type="character" w:customStyle="1" w:styleId="RTFNum1182">
    <w:name w:val="RTF_Num 118 2"/>
    <w:rsid w:val="00FF04A3"/>
    <w:rPr>
      <w:rFonts w:ascii="Symbol" w:hAnsi="Symbol" w:hint="default"/>
      <w:color w:val="000000"/>
      <w:u w:val="single"/>
      <w:shd w:val="clear" w:color="auto" w:fill="FFFFFF"/>
    </w:rPr>
  </w:style>
  <w:style w:type="character" w:customStyle="1" w:styleId="RTFNum1192">
    <w:name w:val="RTF_Num 119 2"/>
    <w:rsid w:val="00FF04A3"/>
    <w:rPr>
      <w:rFonts w:ascii="Symbol" w:hAnsi="Symbol" w:hint="default"/>
      <w:color w:val="000000"/>
      <w:u w:val="single"/>
      <w:shd w:val="clear" w:color="auto" w:fill="FFFFFF"/>
    </w:rPr>
  </w:style>
  <w:style w:type="character" w:customStyle="1" w:styleId="RTFNum1202">
    <w:name w:val="RTF_Num 120 2"/>
    <w:rsid w:val="00FF04A3"/>
    <w:rPr>
      <w:rFonts w:ascii="Symbol" w:hAnsi="Symbol" w:hint="default"/>
      <w:color w:val="000000"/>
      <w:u w:val="single"/>
      <w:shd w:val="clear" w:color="auto" w:fill="FFFFFF"/>
    </w:rPr>
  </w:style>
  <w:style w:type="character" w:customStyle="1" w:styleId="RTFNum1212">
    <w:name w:val="RTF_Num 121 2"/>
    <w:rsid w:val="00FF04A3"/>
    <w:rPr>
      <w:rFonts w:ascii="Symbol" w:hAnsi="Symbol" w:hint="default"/>
      <w:color w:val="000000"/>
      <w:u w:val="single"/>
      <w:shd w:val="clear" w:color="auto" w:fill="FFFFFF"/>
    </w:rPr>
  </w:style>
  <w:style w:type="character" w:customStyle="1" w:styleId="RTFNum1222">
    <w:name w:val="RTF_Num 122 2"/>
    <w:rsid w:val="00FF04A3"/>
    <w:rPr>
      <w:rFonts w:ascii="Symbol" w:hAnsi="Symbol" w:hint="default"/>
      <w:color w:val="000000"/>
      <w:u w:val="single"/>
      <w:shd w:val="clear" w:color="auto" w:fill="FFFFFF"/>
    </w:rPr>
  </w:style>
  <w:style w:type="character" w:customStyle="1" w:styleId="RTFNum1232">
    <w:name w:val="RTF_Num 123 2"/>
    <w:rsid w:val="00FF04A3"/>
    <w:rPr>
      <w:rFonts w:ascii="Symbol" w:hAnsi="Symbol" w:hint="default"/>
      <w:color w:val="000000"/>
      <w:u w:val="single"/>
      <w:shd w:val="clear" w:color="auto" w:fill="FFFFFF"/>
    </w:rPr>
  </w:style>
  <w:style w:type="character" w:customStyle="1" w:styleId="RTFNum1262">
    <w:name w:val="RTF_Num 126 2"/>
    <w:rsid w:val="00FF04A3"/>
    <w:rPr>
      <w:rFonts w:ascii="Symbol" w:hAnsi="Symbol" w:hint="default"/>
      <w:color w:val="000000"/>
      <w:u w:val="single"/>
      <w:shd w:val="clear" w:color="auto" w:fill="FFFFFF"/>
    </w:rPr>
  </w:style>
  <w:style w:type="character" w:customStyle="1" w:styleId="RTFNum1292">
    <w:name w:val="RTF_Num 129 2"/>
    <w:rsid w:val="00FF04A3"/>
    <w:rPr>
      <w:rFonts w:ascii="Symbol" w:hAnsi="Symbol" w:hint="default"/>
      <w:color w:val="000000"/>
      <w:shd w:val="clear" w:color="auto" w:fill="FFFFFF"/>
    </w:rPr>
  </w:style>
  <w:style w:type="character" w:customStyle="1" w:styleId="RTFNum1302">
    <w:name w:val="RTF_Num 130 2"/>
    <w:rsid w:val="00FF04A3"/>
    <w:rPr>
      <w:rFonts w:ascii="Symbol" w:hAnsi="Symbol" w:hint="default"/>
      <w:color w:val="000000"/>
      <w:shd w:val="clear" w:color="auto" w:fill="FFFFFF"/>
    </w:rPr>
  </w:style>
  <w:style w:type="character" w:customStyle="1" w:styleId="RTFNum1312">
    <w:name w:val="RTF_Num 131 2"/>
    <w:rsid w:val="00FF04A3"/>
    <w:rPr>
      <w:rFonts w:ascii="Symbol" w:hAnsi="Symbol" w:hint="default"/>
      <w:color w:val="000000"/>
      <w:shd w:val="clear" w:color="auto" w:fill="FFFFFF"/>
    </w:rPr>
  </w:style>
  <w:style w:type="character" w:customStyle="1" w:styleId="RTFNum1322">
    <w:name w:val="RTF_Num 132 2"/>
    <w:rsid w:val="00FF04A3"/>
    <w:rPr>
      <w:rFonts w:ascii="Symbol" w:hAnsi="Symbol" w:hint="default"/>
      <w:color w:val="000000"/>
      <w:shd w:val="clear" w:color="auto" w:fill="FFFFFF"/>
    </w:rPr>
  </w:style>
  <w:style w:type="character" w:customStyle="1" w:styleId="RTFNum1332">
    <w:name w:val="RTF_Num 133 2"/>
    <w:rsid w:val="00FF04A3"/>
    <w:rPr>
      <w:rFonts w:ascii="Symbol" w:hAnsi="Symbol" w:hint="default"/>
      <w:color w:val="000000"/>
      <w:shd w:val="clear" w:color="auto" w:fill="FFFFFF"/>
    </w:rPr>
  </w:style>
  <w:style w:type="character" w:customStyle="1" w:styleId="RTFNum1342">
    <w:name w:val="RTF_Num 134 2"/>
    <w:rsid w:val="00FF04A3"/>
    <w:rPr>
      <w:rFonts w:ascii="Symbol" w:hAnsi="Symbol" w:hint="default"/>
      <w:color w:val="000000"/>
      <w:shd w:val="clear" w:color="auto" w:fill="FFFFFF"/>
    </w:rPr>
  </w:style>
  <w:style w:type="character" w:customStyle="1" w:styleId="RTFNum1352">
    <w:name w:val="RTF_Num 135 2"/>
    <w:rsid w:val="00FF04A3"/>
    <w:rPr>
      <w:rFonts w:ascii="Symbol" w:hAnsi="Symbol" w:hint="default"/>
      <w:color w:val="000000"/>
      <w:shd w:val="clear" w:color="auto" w:fill="FFFFFF"/>
    </w:rPr>
  </w:style>
  <w:style w:type="character" w:customStyle="1" w:styleId="RTFNum1362">
    <w:name w:val="RTF_Num 136 2"/>
    <w:rsid w:val="00FF04A3"/>
    <w:rPr>
      <w:rFonts w:ascii="Symbol" w:hAnsi="Symbol" w:hint="default"/>
      <w:color w:val="000000"/>
      <w:shd w:val="clear" w:color="auto" w:fill="FFFFFF"/>
    </w:rPr>
  </w:style>
  <w:style w:type="character" w:customStyle="1" w:styleId="RTFNum1372">
    <w:name w:val="RTF_Num 137 2"/>
    <w:rsid w:val="00FF04A3"/>
    <w:rPr>
      <w:rFonts w:ascii="Symbol" w:hAnsi="Symbol" w:hint="default"/>
      <w:color w:val="000000"/>
      <w:shd w:val="clear" w:color="auto" w:fill="FFFFFF"/>
    </w:rPr>
  </w:style>
  <w:style w:type="character" w:customStyle="1" w:styleId="RTFNum1382">
    <w:name w:val="RTF_Num 138 2"/>
    <w:rsid w:val="00FF04A3"/>
    <w:rPr>
      <w:rFonts w:ascii="Symbol" w:hAnsi="Symbol" w:hint="default"/>
      <w:color w:val="000000"/>
      <w:shd w:val="clear" w:color="auto" w:fill="FFFFFF"/>
    </w:rPr>
  </w:style>
  <w:style w:type="character" w:customStyle="1" w:styleId="RTFNum1392">
    <w:name w:val="RTF_Num 139 2"/>
    <w:rsid w:val="00FF04A3"/>
    <w:rPr>
      <w:rFonts w:ascii="Symbol" w:hAnsi="Symbol" w:hint="default"/>
      <w:color w:val="000000"/>
      <w:shd w:val="clear" w:color="auto" w:fill="FFFFFF"/>
    </w:rPr>
  </w:style>
  <w:style w:type="character" w:customStyle="1" w:styleId="RTFNum1402">
    <w:name w:val="RTF_Num 140 2"/>
    <w:rsid w:val="00FF04A3"/>
    <w:rPr>
      <w:rFonts w:ascii="Symbol" w:hAnsi="Symbol" w:hint="default"/>
      <w:color w:val="000000"/>
      <w:shd w:val="clear" w:color="auto" w:fill="FFFFFF"/>
    </w:rPr>
  </w:style>
  <w:style w:type="character" w:customStyle="1" w:styleId="RTFNum1412">
    <w:name w:val="RTF_Num 141 2"/>
    <w:rsid w:val="00FF04A3"/>
    <w:rPr>
      <w:rFonts w:ascii="Symbol" w:hAnsi="Symbol" w:hint="default"/>
      <w:color w:val="000000"/>
      <w:shd w:val="clear" w:color="auto" w:fill="FFFFFF"/>
    </w:rPr>
  </w:style>
  <w:style w:type="character" w:customStyle="1" w:styleId="RTFNum1422">
    <w:name w:val="RTF_Num 142 2"/>
    <w:rsid w:val="00FF04A3"/>
    <w:rPr>
      <w:rFonts w:ascii="Symbol" w:hAnsi="Symbol" w:hint="default"/>
      <w:color w:val="000000"/>
      <w:shd w:val="clear" w:color="auto" w:fill="FFFFFF"/>
    </w:rPr>
  </w:style>
  <w:style w:type="character" w:customStyle="1" w:styleId="RTFNum1432">
    <w:name w:val="RTF_Num 143 2"/>
    <w:rsid w:val="00FF04A3"/>
    <w:rPr>
      <w:rFonts w:ascii="Symbol" w:hAnsi="Symbol" w:hint="default"/>
      <w:color w:val="000000"/>
      <w:shd w:val="clear" w:color="auto" w:fill="FFFFFF"/>
    </w:rPr>
  </w:style>
  <w:style w:type="character" w:customStyle="1" w:styleId="RTFNum1442">
    <w:name w:val="RTF_Num 144 2"/>
    <w:rsid w:val="00FF04A3"/>
    <w:rPr>
      <w:rFonts w:ascii="Wingdings" w:hAnsi="Wingdings" w:hint="default"/>
      <w:color w:val="000000"/>
      <w:shd w:val="clear" w:color="auto" w:fill="FFFFFF"/>
    </w:rPr>
  </w:style>
  <w:style w:type="character" w:customStyle="1" w:styleId="RTFNum1452">
    <w:name w:val="RTF_Num 145 2"/>
    <w:rsid w:val="00FF04A3"/>
    <w:rPr>
      <w:rFonts w:ascii="Symbol" w:hAnsi="Symbol" w:hint="default"/>
      <w:color w:val="000000"/>
      <w:shd w:val="clear" w:color="auto" w:fill="FFFFFF"/>
    </w:rPr>
  </w:style>
  <w:style w:type="character" w:customStyle="1" w:styleId="RTFNum1462">
    <w:name w:val="RTF_Num 146 2"/>
    <w:rsid w:val="00FF04A3"/>
    <w:rPr>
      <w:rFonts w:ascii="Symbol" w:hAnsi="Symbol" w:hint="default"/>
      <w:color w:val="000000"/>
      <w:shd w:val="clear" w:color="auto" w:fill="FFFFFF"/>
    </w:rPr>
  </w:style>
  <w:style w:type="character" w:customStyle="1" w:styleId="RTFNum1472">
    <w:name w:val="RTF_Num 147 2"/>
    <w:rsid w:val="00FF04A3"/>
    <w:rPr>
      <w:rFonts w:ascii="Symbol" w:hAnsi="Symbol" w:hint="default"/>
      <w:color w:val="000000"/>
      <w:shd w:val="clear" w:color="auto" w:fill="FFFFFF"/>
    </w:rPr>
  </w:style>
  <w:style w:type="character" w:customStyle="1" w:styleId="RTFNum1482">
    <w:name w:val="RTF_Num 148 2"/>
    <w:rsid w:val="00FF04A3"/>
    <w:rPr>
      <w:rFonts w:ascii="Symbol" w:hAnsi="Symbol" w:hint="default"/>
      <w:color w:val="000000"/>
      <w:shd w:val="clear" w:color="auto" w:fill="FFFFFF"/>
    </w:rPr>
  </w:style>
  <w:style w:type="character" w:customStyle="1" w:styleId="RTFNum1492">
    <w:name w:val="RTF_Num 149 2"/>
    <w:rsid w:val="00FF04A3"/>
    <w:rPr>
      <w:rFonts w:ascii="Wingdings" w:hAnsi="Wingdings" w:hint="default"/>
      <w:color w:val="000000"/>
      <w:shd w:val="clear" w:color="auto" w:fill="FFFFFF"/>
    </w:rPr>
  </w:style>
  <w:style w:type="character" w:customStyle="1" w:styleId="RTFNum1502">
    <w:name w:val="RTF_Num 150 2"/>
    <w:rsid w:val="00FF04A3"/>
    <w:rPr>
      <w:rFonts w:ascii="Symbol" w:hAnsi="Symbol" w:hint="default"/>
      <w:color w:val="000000"/>
      <w:shd w:val="clear" w:color="auto" w:fill="FFFFFF"/>
    </w:rPr>
  </w:style>
  <w:style w:type="character" w:customStyle="1" w:styleId="RTFNum1512">
    <w:name w:val="RTF_Num 151 2"/>
    <w:rsid w:val="00FF04A3"/>
    <w:rPr>
      <w:rFonts w:ascii="Symbol" w:hAnsi="Symbol" w:hint="default"/>
      <w:color w:val="000000"/>
      <w:shd w:val="clear" w:color="auto" w:fill="FFFFFF"/>
    </w:rPr>
  </w:style>
  <w:style w:type="character" w:customStyle="1" w:styleId="RTFNum1522">
    <w:name w:val="RTF_Num 152 2"/>
    <w:rsid w:val="00FF04A3"/>
    <w:rPr>
      <w:rFonts w:ascii="Symbol" w:hAnsi="Symbol" w:hint="default"/>
      <w:color w:val="000000"/>
      <w:shd w:val="clear" w:color="auto" w:fill="FFFFFF"/>
    </w:rPr>
  </w:style>
  <w:style w:type="character" w:customStyle="1" w:styleId="RTFNum1532">
    <w:name w:val="RTF_Num 153 2"/>
    <w:rsid w:val="00FF04A3"/>
    <w:rPr>
      <w:rFonts w:ascii="Symbol" w:hAnsi="Symbol" w:hint="default"/>
      <w:color w:val="000000"/>
      <w:shd w:val="clear" w:color="auto" w:fill="FFFFFF"/>
    </w:rPr>
  </w:style>
  <w:style w:type="character" w:customStyle="1" w:styleId="RTFNum1542">
    <w:name w:val="RTF_Num 154 2"/>
    <w:rsid w:val="00FF04A3"/>
    <w:rPr>
      <w:rFonts w:ascii="Symbol" w:hAnsi="Symbol" w:hint="default"/>
      <w:color w:val="000000"/>
      <w:shd w:val="clear" w:color="auto" w:fill="FFFFFF"/>
    </w:rPr>
  </w:style>
  <w:style w:type="character" w:customStyle="1" w:styleId="RTFNum1552">
    <w:name w:val="RTF_Num 155 2"/>
    <w:rsid w:val="00FF04A3"/>
    <w:rPr>
      <w:rFonts w:ascii="Wingdings" w:hAnsi="Wingdings" w:hint="default"/>
      <w:color w:val="000000"/>
      <w:shd w:val="clear" w:color="auto" w:fill="FFFFFF"/>
    </w:rPr>
  </w:style>
  <w:style w:type="character" w:customStyle="1" w:styleId="RTFNum1562">
    <w:name w:val="RTF_Num 156 2"/>
    <w:rsid w:val="00FF04A3"/>
    <w:rPr>
      <w:rFonts w:ascii="Wingdings" w:hAnsi="Wingdings" w:hint="default"/>
      <w:color w:val="000000"/>
      <w:shd w:val="clear" w:color="auto" w:fill="FFFFFF"/>
    </w:rPr>
  </w:style>
  <w:style w:type="character" w:customStyle="1" w:styleId="RTFNum1572">
    <w:name w:val="RTF_Num 157 2"/>
    <w:rsid w:val="00FF04A3"/>
    <w:rPr>
      <w:rFonts w:ascii="Wingdings" w:hAnsi="Wingdings" w:hint="default"/>
      <w:color w:val="000000"/>
      <w:shd w:val="clear" w:color="auto" w:fill="FFFFFF"/>
    </w:rPr>
  </w:style>
  <w:style w:type="character" w:customStyle="1" w:styleId="RTFNum1582">
    <w:name w:val="RTF_Num 158 2"/>
    <w:rsid w:val="00FF04A3"/>
    <w:rPr>
      <w:rFonts w:ascii="Wingdings" w:hAnsi="Wingdings" w:hint="default"/>
      <w:color w:val="000000"/>
      <w:shd w:val="clear" w:color="auto" w:fill="FFFFFF"/>
    </w:rPr>
  </w:style>
  <w:style w:type="character" w:customStyle="1" w:styleId="RTFNum1592">
    <w:name w:val="RTF_Num 159 2"/>
    <w:rsid w:val="00FF04A3"/>
    <w:rPr>
      <w:rFonts w:ascii="Wingdings" w:hAnsi="Wingdings" w:hint="default"/>
      <w:color w:val="000000"/>
      <w:shd w:val="clear" w:color="auto" w:fill="FFFFFF"/>
    </w:rPr>
  </w:style>
  <w:style w:type="character" w:customStyle="1" w:styleId="RTFNum1602">
    <w:name w:val="RTF_Num 160 2"/>
    <w:rsid w:val="00FF04A3"/>
    <w:rPr>
      <w:rFonts w:ascii="Wingdings" w:hAnsi="Wingdings" w:hint="default"/>
      <w:color w:val="000000"/>
      <w:shd w:val="clear" w:color="auto" w:fill="FFFFFF"/>
    </w:rPr>
  </w:style>
  <w:style w:type="character" w:customStyle="1" w:styleId="RTFNum1612">
    <w:name w:val="RTF_Num 161 2"/>
    <w:rsid w:val="00FF04A3"/>
    <w:rPr>
      <w:rFonts w:ascii="Wingdings" w:hAnsi="Wingdings" w:hint="default"/>
      <w:color w:val="000000"/>
      <w:shd w:val="clear" w:color="auto" w:fill="FFFFFF"/>
    </w:rPr>
  </w:style>
  <w:style w:type="character" w:customStyle="1" w:styleId="RTFNum1622">
    <w:name w:val="RTF_Num 162 2"/>
    <w:rsid w:val="00FF04A3"/>
    <w:rPr>
      <w:rFonts w:ascii="Wingdings" w:hAnsi="Wingdings" w:hint="default"/>
      <w:color w:val="000000"/>
      <w:shd w:val="clear" w:color="auto" w:fill="FFFFFF"/>
    </w:rPr>
  </w:style>
  <w:style w:type="character" w:customStyle="1" w:styleId="RTFNum1632">
    <w:name w:val="RTF_Num 163 2"/>
    <w:rsid w:val="00FF04A3"/>
    <w:rPr>
      <w:rFonts w:ascii="Symbol" w:hAnsi="Symbol" w:hint="default"/>
      <w:color w:val="000000"/>
      <w:shd w:val="clear" w:color="auto" w:fill="FFFFFF"/>
    </w:rPr>
  </w:style>
  <w:style w:type="character" w:customStyle="1" w:styleId="RTFNum1642">
    <w:name w:val="RTF_Num 164 2"/>
    <w:rsid w:val="00FF04A3"/>
    <w:rPr>
      <w:rFonts w:ascii="Symbol" w:hAnsi="Symbol" w:hint="default"/>
      <w:color w:val="000000"/>
      <w:shd w:val="clear" w:color="auto" w:fill="FFFFFF"/>
    </w:rPr>
  </w:style>
  <w:style w:type="character" w:customStyle="1" w:styleId="RTFNum1652">
    <w:name w:val="RTF_Num 165 2"/>
    <w:rsid w:val="00FF04A3"/>
    <w:rPr>
      <w:rFonts w:ascii="Symbol" w:hAnsi="Symbol" w:hint="default"/>
      <w:color w:val="000000"/>
      <w:shd w:val="clear" w:color="auto" w:fill="FFFFFF"/>
    </w:rPr>
  </w:style>
  <w:style w:type="character" w:customStyle="1" w:styleId="RTFNum1662">
    <w:name w:val="RTF_Num 166 2"/>
    <w:rsid w:val="00FF04A3"/>
    <w:rPr>
      <w:rFonts w:ascii="Wingdings" w:hAnsi="Wingdings" w:hint="default"/>
      <w:color w:val="000000"/>
      <w:shd w:val="clear" w:color="auto" w:fill="FFFFFF"/>
    </w:rPr>
  </w:style>
  <w:style w:type="character" w:customStyle="1" w:styleId="RTFNum1672">
    <w:name w:val="RTF_Num 167 2"/>
    <w:rsid w:val="00FF04A3"/>
    <w:rPr>
      <w:rFonts w:ascii="Wingdings" w:hAnsi="Wingdings" w:hint="default"/>
      <w:color w:val="000000"/>
      <w:shd w:val="clear" w:color="auto" w:fill="FFFFFF"/>
    </w:rPr>
  </w:style>
  <w:style w:type="character" w:customStyle="1" w:styleId="RTFNum1682">
    <w:name w:val="RTF_Num 168 2"/>
    <w:rsid w:val="00FF04A3"/>
    <w:rPr>
      <w:rFonts w:ascii="Wingdings" w:hAnsi="Wingdings" w:hint="default"/>
      <w:color w:val="000000"/>
      <w:shd w:val="clear" w:color="auto" w:fill="FFFFFF"/>
    </w:rPr>
  </w:style>
  <w:style w:type="character" w:customStyle="1" w:styleId="RTFNum1692">
    <w:name w:val="RTF_Num 169 2"/>
    <w:rsid w:val="00FF04A3"/>
    <w:rPr>
      <w:rFonts w:ascii="Symbol" w:hAnsi="Symbol" w:hint="default"/>
      <w:color w:val="000000"/>
      <w:shd w:val="clear" w:color="auto" w:fill="FFFFFF"/>
    </w:rPr>
  </w:style>
  <w:style w:type="character" w:customStyle="1" w:styleId="RTFNum1702">
    <w:name w:val="RTF_Num 170 2"/>
    <w:rsid w:val="00FF04A3"/>
    <w:rPr>
      <w:rFonts w:ascii="Wingdings" w:hAnsi="Wingdings" w:hint="default"/>
      <w:color w:val="000000"/>
      <w:shd w:val="clear" w:color="auto" w:fill="FFFFFF"/>
    </w:rPr>
  </w:style>
  <w:style w:type="character" w:customStyle="1" w:styleId="RTFNum1712">
    <w:name w:val="RTF_Num 171 2"/>
    <w:rsid w:val="00FF04A3"/>
    <w:rPr>
      <w:rFonts w:ascii="Symbol" w:hAnsi="Symbol" w:hint="default"/>
      <w:color w:val="000000"/>
      <w:shd w:val="clear" w:color="auto" w:fill="FFFFFF"/>
    </w:rPr>
  </w:style>
  <w:style w:type="character" w:customStyle="1" w:styleId="RTFNum1722">
    <w:name w:val="RTF_Num 172 2"/>
    <w:rsid w:val="00FF04A3"/>
    <w:rPr>
      <w:rFonts w:ascii="Symbol" w:hAnsi="Symbol" w:hint="default"/>
      <w:color w:val="000000"/>
      <w:shd w:val="clear" w:color="auto" w:fill="FFFFFF"/>
    </w:rPr>
  </w:style>
  <w:style w:type="character" w:customStyle="1" w:styleId="RTFNum1732">
    <w:name w:val="RTF_Num 173 2"/>
    <w:rsid w:val="00FF04A3"/>
    <w:rPr>
      <w:rFonts w:ascii="Wingdings" w:hAnsi="Wingdings" w:hint="default"/>
      <w:color w:val="000000"/>
      <w:shd w:val="clear" w:color="auto" w:fill="FFFFFF"/>
    </w:rPr>
  </w:style>
  <w:style w:type="character" w:customStyle="1" w:styleId="RTFNum1742">
    <w:name w:val="RTF_Num 174 2"/>
    <w:rsid w:val="00FF04A3"/>
    <w:rPr>
      <w:rFonts w:ascii="Wingdings" w:hAnsi="Wingdings" w:hint="default"/>
      <w:color w:val="000000"/>
      <w:shd w:val="clear" w:color="auto" w:fill="FFFFFF"/>
    </w:rPr>
  </w:style>
  <w:style w:type="character" w:customStyle="1" w:styleId="RTFNum1752">
    <w:name w:val="RTF_Num 175 2"/>
    <w:rsid w:val="00FF04A3"/>
    <w:rPr>
      <w:rFonts w:ascii="Wingdings" w:hAnsi="Wingdings" w:hint="default"/>
      <w:color w:val="000000"/>
      <w:shd w:val="clear" w:color="auto" w:fill="FFFFFF"/>
    </w:rPr>
  </w:style>
  <w:style w:type="character" w:customStyle="1" w:styleId="RTFNum1762">
    <w:name w:val="RTF_Num 176 2"/>
    <w:rsid w:val="00FF04A3"/>
    <w:rPr>
      <w:rFonts w:ascii="Wingdings" w:hAnsi="Wingdings" w:hint="default"/>
      <w:color w:val="000000"/>
      <w:shd w:val="clear" w:color="auto" w:fill="FFFFFF"/>
    </w:rPr>
  </w:style>
  <w:style w:type="character" w:customStyle="1" w:styleId="RTFNum1772">
    <w:name w:val="RTF_Num 177 2"/>
    <w:rsid w:val="00FF04A3"/>
    <w:rPr>
      <w:rFonts w:ascii="Symbol" w:hAnsi="Symbol" w:hint="default"/>
      <w:color w:val="000000"/>
      <w:shd w:val="clear" w:color="auto" w:fill="FFFFFF"/>
    </w:rPr>
  </w:style>
  <w:style w:type="character" w:customStyle="1" w:styleId="RTFNum1782">
    <w:name w:val="RTF_Num 178 2"/>
    <w:rsid w:val="00FF04A3"/>
    <w:rPr>
      <w:rFonts w:ascii="Wingdings" w:hAnsi="Wingdings" w:hint="default"/>
      <w:color w:val="000000"/>
      <w:shd w:val="clear" w:color="auto" w:fill="FFFFFF"/>
    </w:rPr>
  </w:style>
  <w:style w:type="character" w:customStyle="1" w:styleId="RTFNum1792">
    <w:name w:val="RTF_Num 179 2"/>
    <w:rsid w:val="00FF04A3"/>
    <w:rPr>
      <w:rFonts w:ascii="Wingdings" w:hAnsi="Wingdings" w:hint="default"/>
      <w:color w:val="000000"/>
      <w:shd w:val="clear" w:color="auto" w:fill="FFFFFF"/>
    </w:rPr>
  </w:style>
  <w:style w:type="character" w:customStyle="1" w:styleId="RTFNum1802">
    <w:name w:val="RTF_Num 180 2"/>
    <w:rsid w:val="00FF04A3"/>
    <w:rPr>
      <w:rFonts w:ascii="Symbol" w:hAnsi="Symbol" w:hint="default"/>
      <w:color w:val="000000"/>
      <w:shd w:val="clear" w:color="auto" w:fill="FFFFFF"/>
    </w:rPr>
  </w:style>
  <w:style w:type="character" w:customStyle="1" w:styleId="RTFNum1812">
    <w:name w:val="RTF_Num 181 2"/>
    <w:rsid w:val="00FF04A3"/>
    <w:rPr>
      <w:rFonts w:ascii="Wingdings" w:hAnsi="Wingdings" w:hint="default"/>
      <w:color w:val="000000"/>
      <w:shd w:val="clear" w:color="auto" w:fill="FFFFFF"/>
    </w:rPr>
  </w:style>
  <w:style w:type="character" w:customStyle="1" w:styleId="RTFNum1822">
    <w:name w:val="RTF_Num 182 2"/>
    <w:rsid w:val="00FF04A3"/>
    <w:rPr>
      <w:rFonts w:ascii="Symbol" w:hAnsi="Symbol" w:hint="default"/>
      <w:color w:val="000000"/>
      <w:shd w:val="clear" w:color="auto" w:fill="FFFFFF"/>
    </w:rPr>
  </w:style>
  <w:style w:type="character" w:customStyle="1" w:styleId="RTFNum1832">
    <w:name w:val="RTF_Num 183 2"/>
    <w:rsid w:val="00FF04A3"/>
    <w:rPr>
      <w:rFonts w:ascii="Symbol" w:hAnsi="Symbol" w:hint="default"/>
      <w:color w:val="000000"/>
      <w:shd w:val="clear" w:color="auto" w:fill="FFFFFF"/>
    </w:rPr>
  </w:style>
  <w:style w:type="character" w:customStyle="1" w:styleId="RTFNum1842">
    <w:name w:val="RTF_Num 184 2"/>
    <w:rsid w:val="00FF04A3"/>
    <w:rPr>
      <w:rFonts w:ascii="Symbol" w:hAnsi="Symbol" w:hint="default"/>
      <w:color w:val="000000"/>
      <w:shd w:val="clear" w:color="auto" w:fill="FFFFFF"/>
    </w:rPr>
  </w:style>
  <w:style w:type="character" w:customStyle="1" w:styleId="RTFNum1852">
    <w:name w:val="RTF_Num 185 2"/>
    <w:rsid w:val="00FF04A3"/>
    <w:rPr>
      <w:rFonts w:ascii="Symbol" w:hAnsi="Symbol" w:hint="default"/>
      <w:color w:val="000000"/>
      <w:shd w:val="clear" w:color="auto" w:fill="FFFFFF"/>
    </w:rPr>
  </w:style>
  <w:style w:type="character" w:customStyle="1" w:styleId="RTFNum1862">
    <w:name w:val="RTF_Num 186 2"/>
    <w:rsid w:val="00FF04A3"/>
    <w:rPr>
      <w:rFonts w:ascii="Symbol" w:hAnsi="Symbol" w:hint="default"/>
      <w:color w:val="000000"/>
      <w:shd w:val="clear" w:color="auto" w:fill="FFFFFF"/>
    </w:rPr>
  </w:style>
  <w:style w:type="character" w:customStyle="1" w:styleId="RTFNum1872">
    <w:name w:val="RTF_Num 187 2"/>
    <w:rsid w:val="00FF04A3"/>
    <w:rPr>
      <w:rFonts w:ascii="Symbol" w:hAnsi="Symbol" w:hint="default"/>
      <w:color w:val="000000"/>
      <w:shd w:val="clear" w:color="auto" w:fill="FFFFFF"/>
    </w:rPr>
  </w:style>
  <w:style w:type="character" w:customStyle="1" w:styleId="RTFNum1882">
    <w:name w:val="RTF_Num 188 2"/>
    <w:rsid w:val="00FF04A3"/>
    <w:rPr>
      <w:rFonts w:ascii="Symbol" w:hAnsi="Symbol" w:hint="default"/>
      <w:color w:val="000000"/>
      <w:shd w:val="clear" w:color="auto" w:fill="FFFFFF"/>
    </w:rPr>
  </w:style>
  <w:style w:type="character" w:customStyle="1" w:styleId="RTFNum1892">
    <w:name w:val="RTF_Num 189 2"/>
    <w:rsid w:val="00FF04A3"/>
    <w:rPr>
      <w:rFonts w:ascii="Symbol" w:hAnsi="Symbol" w:hint="default"/>
      <w:color w:val="000000"/>
      <w:shd w:val="clear" w:color="auto" w:fill="FFFFFF"/>
    </w:rPr>
  </w:style>
  <w:style w:type="character" w:customStyle="1" w:styleId="RTFNum1902">
    <w:name w:val="RTF_Num 190 2"/>
    <w:rsid w:val="00FF04A3"/>
    <w:rPr>
      <w:rFonts w:ascii="Symbol" w:hAnsi="Symbol" w:hint="default"/>
      <w:color w:val="000000"/>
      <w:shd w:val="clear" w:color="auto" w:fill="FFFFFF"/>
    </w:rPr>
  </w:style>
  <w:style w:type="character" w:customStyle="1" w:styleId="RTFNum1912">
    <w:name w:val="RTF_Num 191 2"/>
    <w:rsid w:val="00FF04A3"/>
    <w:rPr>
      <w:rFonts w:ascii="Wingdings" w:hAnsi="Wingdings" w:hint="default"/>
      <w:color w:val="000000"/>
      <w:shd w:val="clear" w:color="auto" w:fill="FFFFFF"/>
    </w:rPr>
  </w:style>
  <w:style w:type="character" w:customStyle="1" w:styleId="RTFNum1922">
    <w:name w:val="RTF_Num 192 2"/>
    <w:rsid w:val="00FF04A3"/>
    <w:rPr>
      <w:rFonts w:ascii="Wingdings" w:hAnsi="Wingdings" w:hint="default"/>
      <w:color w:val="000000"/>
      <w:shd w:val="clear" w:color="auto" w:fill="FFFFFF"/>
    </w:rPr>
  </w:style>
  <w:style w:type="character" w:customStyle="1" w:styleId="RTFNum1932">
    <w:name w:val="RTF_Num 193 2"/>
    <w:rsid w:val="00FF04A3"/>
    <w:rPr>
      <w:rFonts w:ascii="Symbol" w:hAnsi="Symbol" w:hint="default"/>
      <w:color w:val="000000"/>
      <w:shd w:val="clear" w:color="auto" w:fill="FFFFFF"/>
    </w:rPr>
  </w:style>
  <w:style w:type="character" w:customStyle="1" w:styleId="RTFNum1942">
    <w:name w:val="RTF_Num 194 2"/>
    <w:rsid w:val="00FF04A3"/>
    <w:rPr>
      <w:rFonts w:ascii="Symbol" w:hAnsi="Symbol" w:hint="default"/>
      <w:color w:val="000000"/>
      <w:shd w:val="clear" w:color="auto" w:fill="FFFFFF"/>
    </w:rPr>
  </w:style>
  <w:style w:type="character" w:customStyle="1" w:styleId="RTFNum1952">
    <w:name w:val="RTF_Num 195 2"/>
    <w:rsid w:val="00FF04A3"/>
    <w:rPr>
      <w:rFonts w:ascii="Symbol" w:hAnsi="Symbol" w:hint="default"/>
      <w:color w:val="000000"/>
      <w:shd w:val="clear" w:color="auto" w:fill="FFFFFF"/>
    </w:rPr>
  </w:style>
  <w:style w:type="character" w:customStyle="1" w:styleId="RTFNum1962">
    <w:name w:val="RTF_Num 196 2"/>
    <w:rsid w:val="00FF04A3"/>
    <w:rPr>
      <w:rFonts w:ascii="Wingdings" w:hAnsi="Wingdings" w:hint="default"/>
      <w:color w:val="000000"/>
      <w:shd w:val="clear" w:color="auto" w:fill="FFFFFF"/>
    </w:rPr>
  </w:style>
  <w:style w:type="character" w:customStyle="1" w:styleId="RTFNum1972">
    <w:name w:val="RTF_Num 197 2"/>
    <w:rsid w:val="00FF04A3"/>
    <w:rPr>
      <w:rFonts w:ascii="Wingdings" w:hAnsi="Wingdings" w:hint="default"/>
      <w:color w:val="000000"/>
      <w:shd w:val="clear" w:color="auto" w:fill="FFFFFF"/>
    </w:rPr>
  </w:style>
  <w:style w:type="character" w:customStyle="1" w:styleId="RTFNum1982">
    <w:name w:val="RTF_Num 198 2"/>
    <w:rsid w:val="00FF04A3"/>
    <w:rPr>
      <w:rFonts w:ascii="Wingdings" w:hAnsi="Wingdings" w:hint="default"/>
      <w:color w:val="000000"/>
      <w:shd w:val="clear" w:color="auto" w:fill="FFFFFF"/>
    </w:rPr>
  </w:style>
  <w:style w:type="character" w:customStyle="1" w:styleId="RTFNum1992">
    <w:name w:val="RTF_Num 199 2"/>
    <w:rsid w:val="00FF04A3"/>
    <w:rPr>
      <w:rFonts w:ascii="Wingdings" w:hAnsi="Wingdings" w:hint="default"/>
      <w:color w:val="000000"/>
      <w:shd w:val="clear" w:color="auto" w:fill="FFFFFF"/>
    </w:rPr>
  </w:style>
  <w:style w:type="character" w:customStyle="1" w:styleId="RTFNum2002">
    <w:name w:val="RTF_Num 200 2"/>
    <w:rsid w:val="00FF04A3"/>
    <w:rPr>
      <w:rFonts w:ascii="Wingdings" w:hAnsi="Wingdings" w:hint="default"/>
      <w:color w:val="000000"/>
      <w:shd w:val="clear" w:color="auto" w:fill="FFFFFF"/>
    </w:rPr>
  </w:style>
  <w:style w:type="character" w:customStyle="1" w:styleId="RTFNum2012">
    <w:name w:val="RTF_Num 201 2"/>
    <w:rsid w:val="00FF04A3"/>
    <w:rPr>
      <w:rFonts w:ascii="Wingdings" w:hAnsi="Wingdings" w:hint="default"/>
      <w:color w:val="000000"/>
      <w:shd w:val="clear" w:color="auto" w:fill="FFFFFF"/>
    </w:rPr>
  </w:style>
  <w:style w:type="character" w:customStyle="1" w:styleId="RTFNum2022">
    <w:name w:val="RTF_Num 202 2"/>
    <w:rsid w:val="00FF04A3"/>
    <w:rPr>
      <w:rFonts w:ascii="Wingdings" w:hAnsi="Wingdings" w:hint="default"/>
      <w:color w:val="000000"/>
      <w:shd w:val="clear" w:color="auto" w:fill="FFFFFF"/>
    </w:rPr>
  </w:style>
  <w:style w:type="character" w:customStyle="1" w:styleId="RTFNum2032">
    <w:name w:val="RTF_Num 203 2"/>
    <w:rsid w:val="00FF04A3"/>
    <w:rPr>
      <w:rFonts w:ascii="Wingdings" w:hAnsi="Wingdings" w:hint="default"/>
      <w:color w:val="000000"/>
      <w:shd w:val="clear" w:color="auto" w:fill="FFFFFF"/>
    </w:rPr>
  </w:style>
  <w:style w:type="character" w:customStyle="1" w:styleId="RTFNum2042">
    <w:name w:val="RTF_Num 204 2"/>
    <w:rsid w:val="00FF04A3"/>
    <w:rPr>
      <w:rFonts w:ascii="Wingdings" w:hAnsi="Wingdings" w:hint="default"/>
      <w:color w:val="000000"/>
      <w:shd w:val="clear" w:color="auto" w:fill="FFFFFF"/>
    </w:rPr>
  </w:style>
  <w:style w:type="character" w:customStyle="1" w:styleId="RTFNum2052">
    <w:name w:val="RTF_Num 205 2"/>
    <w:rsid w:val="00FF04A3"/>
    <w:rPr>
      <w:rFonts w:ascii="Wingdings" w:hAnsi="Wingdings" w:hint="default"/>
      <w:color w:val="000000"/>
      <w:shd w:val="clear" w:color="auto" w:fill="FFFFFF"/>
    </w:rPr>
  </w:style>
  <w:style w:type="character" w:customStyle="1" w:styleId="RTFNum2062">
    <w:name w:val="RTF_Num 206 2"/>
    <w:rsid w:val="00FF04A3"/>
    <w:rPr>
      <w:rFonts w:ascii="Wingdings" w:hAnsi="Wingdings" w:hint="default"/>
      <w:color w:val="000000"/>
      <w:shd w:val="clear" w:color="auto" w:fill="FFFFFF"/>
    </w:rPr>
  </w:style>
  <w:style w:type="character" w:customStyle="1" w:styleId="RTFNum2072">
    <w:name w:val="RTF_Num 207 2"/>
    <w:rsid w:val="00FF04A3"/>
    <w:rPr>
      <w:rFonts w:ascii="Wingdings" w:hAnsi="Wingdings" w:hint="default"/>
      <w:color w:val="000000"/>
      <w:shd w:val="clear" w:color="auto" w:fill="FFFFFF"/>
    </w:rPr>
  </w:style>
  <w:style w:type="character" w:customStyle="1" w:styleId="RTFNum2082">
    <w:name w:val="RTF_Num 208 2"/>
    <w:rsid w:val="00FF04A3"/>
    <w:rPr>
      <w:rFonts w:ascii="Wingdings" w:hAnsi="Wingdings" w:hint="default"/>
      <w:color w:val="000000"/>
      <w:shd w:val="clear" w:color="auto" w:fill="FFFFFF"/>
    </w:rPr>
  </w:style>
  <w:style w:type="character" w:customStyle="1" w:styleId="RTFNum2092">
    <w:name w:val="RTF_Num 209 2"/>
    <w:rsid w:val="00FF04A3"/>
    <w:rPr>
      <w:rFonts w:ascii="Wingdings" w:hAnsi="Wingdings" w:hint="default"/>
      <w:color w:val="000000"/>
      <w:shd w:val="clear" w:color="auto" w:fill="FFFFFF"/>
    </w:rPr>
  </w:style>
  <w:style w:type="character" w:customStyle="1" w:styleId="RTFNum2102">
    <w:name w:val="RTF_Num 210 2"/>
    <w:rsid w:val="00FF04A3"/>
    <w:rPr>
      <w:rFonts w:ascii="Wingdings" w:hAnsi="Wingdings" w:hint="default"/>
      <w:color w:val="000000"/>
      <w:shd w:val="clear" w:color="auto" w:fill="FFFFFF"/>
    </w:rPr>
  </w:style>
  <w:style w:type="character" w:customStyle="1" w:styleId="RTFNum2112">
    <w:name w:val="RTF_Num 211 2"/>
    <w:rsid w:val="00FF04A3"/>
    <w:rPr>
      <w:rFonts w:ascii="Wingdings" w:hAnsi="Wingdings" w:hint="default"/>
      <w:color w:val="000000"/>
      <w:shd w:val="clear" w:color="auto" w:fill="FFFFFF"/>
    </w:rPr>
  </w:style>
  <w:style w:type="character" w:customStyle="1" w:styleId="RTFNum2122">
    <w:name w:val="RTF_Num 212 2"/>
    <w:rsid w:val="00FF04A3"/>
    <w:rPr>
      <w:rFonts w:ascii="Wingdings" w:hAnsi="Wingdings" w:hint="default"/>
      <w:color w:val="000000"/>
      <w:shd w:val="clear" w:color="auto" w:fill="FFFFFF"/>
    </w:rPr>
  </w:style>
  <w:style w:type="character" w:customStyle="1" w:styleId="RTFNum2132">
    <w:name w:val="RTF_Num 213 2"/>
    <w:rsid w:val="00FF04A3"/>
    <w:rPr>
      <w:rFonts w:ascii="Wingdings" w:hAnsi="Wingdings" w:hint="default"/>
      <w:color w:val="000000"/>
      <w:shd w:val="clear" w:color="auto" w:fill="FFFFFF"/>
    </w:rPr>
  </w:style>
  <w:style w:type="character" w:customStyle="1" w:styleId="RTFNum2142">
    <w:name w:val="RTF_Num 214 2"/>
    <w:rsid w:val="00FF04A3"/>
    <w:rPr>
      <w:rFonts w:ascii="Wingdings" w:hAnsi="Wingdings" w:hint="default"/>
      <w:color w:val="000000"/>
      <w:shd w:val="clear" w:color="auto" w:fill="FFFFFF"/>
    </w:rPr>
  </w:style>
  <w:style w:type="character" w:customStyle="1" w:styleId="RTFNum2152">
    <w:name w:val="RTF_Num 215 2"/>
    <w:rsid w:val="00FF04A3"/>
    <w:rPr>
      <w:rFonts w:ascii="Wingdings" w:hAnsi="Wingdings" w:hint="default"/>
      <w:color w:val="000000"/>
      <w:shd w:val="clear" w:color="auto" w:fill="FFFFFF"/>
    </w:rPr>
  </w:style>
  <w:style w:type="character" w:customStyle="1" w:styleId="RTFNum2162">
    <w:name w:val="RTF_Num 216 2"/>
    <w:rsid w:val="00FF04A3"/>
    <w:rPr>
      <w:rFonts w:ascii="Wingdings" w:hAnsi="Wingdings" w:hint="default"/>
      <w:color w:val="000000"/>
      <w:shd w:val="clear" w:color="auto" w:fill="FFFFFF"/>
    </w:rPr>
  </w:style>
  <w:style w:type="character" w:customStyle="1" w:styleId="RTFNum2172">
    <w:name w:val="RTF_Num 217 2"/>
    <w:rsid w:val="00FF04A3"/>
    <w:rPr>
      <w:rFonts w:ascii="Wingdings" w:hAnsi="Wingdings" w:hint="default"/>
      <w:color w:val="000000"/>
      <w:shd w:val="clear" w:color="auto" w:fill="FFFFFF"/>
    </w:rPr>
  </w:style>
  <w:style w:type="character" w:customStyle="1" w:styleId="RTFNum2182">
    <w:name w:val="RTF_Num 218 2"/>
    <w:rsid w:val="00FF04A3"/>
    <w:rPr>
      <w:rFonts w:ascii="Wingdings" w:hAnsi="Wingdings" w:hint="default"/>
      <w:color w:val="000000"/>
      <w:shd w:val="clear" w:color="auto" w:fill="FFFFFF"/>
    </w:rPr>
  </w:style>
  <w:style w:type="character" w:customStyle="1" w:styleId="RTFNum2192">
    <w:name w:val="RTF_Num 219 2"/>
    <w:rsid w:val="00FF04A3"/>
    <w:rPr>
      <w:rFonts w:ascii="Wingdings" w:hAnsi="Wingdings" w:hint="default"/>
      <w:color w:val="000000"/>
      <w:shd w:val="clear" w:color="auto" w:fill="FFFFFF"/>
    </w:rPr>
  </w:style>
  <w:style w:type="character" w:customStyle="1" w:styleId="RTFNum2202">
    <w:name w:val="RTF_Num 220 2"/>
    <w:rsid w:val="00FF04A3"/>
    <w:rPr>
      <w:rFonts w:ascii="Wingdings" w:hAnsi="Wingdings" w:hint="default"/>
      <w:color w:val="000000"/>
      <w:shd w:val="clear" w:color="auto" w:fill="FFFFFF"/>
    </w:rPr>
  </w:style>
  <w:style w:type="character" w:customStyle="1" w:styleId="RTFNum2212">
    <w:name w:val="RTF_Num 221 2"/>
    <w:rsid w:val="00FF04A3"/>
    <w:rPr>
      <w:rFonts w:ascii="Wingdings" w:hAnsi="Wingdings" w:hint="default"/>
      <w:color w:val="000000"/>
      <w:shd w:val="clear" w:color="auto" w:fill="FFFFFF"/>
    </w:rPr>
  </w:style>
  <w:style w:type="character" w:customStyle="1" w:styleId="RTFNum2222">
    <w:name w:val="RTF_Num 222 2"/>
    <w:rsid w:val="00FF04A3"/>
    <w:rPr>
      <w:rFonts w:ascii="Wingdings" w:hAnsi="Wingdings" w:hint="default"/>
      <w:color w:val="000000"/>
      <w:shd w:val="clear" w:color="auto" w:fill="FFFFFF"/>
    </w:rPr>
  </w:style>
  <w:style w:type="character" w:customStyle="1" w:styleId="RTFNum2232">
    <w:name w:val="RTF_Num 223 2"/>
    <w:rsid w:val="00FF04A3"/>
    <w:rPr>
      <w:rFonts w:ascii="Wingdings" w:hAnsi="Wingdings" w:hint="default"/>
      <w:color w:val="000000"/>
      <w:shd w:val="clear" w:color="auto" w:fill="FFFFFF"/>
    </w:rPr>
  </w:style>
  <w:style w:type="character" w:customStyle="1" w:styleId="RTFNum2242">
    <w:name w:val="RTF_Num 224 2"/>
    <w:rsid w:val="00FF04A3"/>
    <w:rPr>
      <w:rFonts w:ascii="Wingdings" w:hAnsi="Wingdings" w:hint="default"/>
      <w:color w:val="000000"/>
      <w:shd w:val="clear" w:color="auto" w:fill="FFFFFF"/>
    </w:rPr>
  </w:style>
  <w:style w:type="character" w:customStyle="1" w:styleId="RTFNum2252">
    <w:name w:val="RTF_Num 225 2"/>
    <w:rsid w:val="00FF04A3"/>
    <w:rPr>
      <w:rFonts w:ascii="Wingdings" w:hAnsi="Wingdings" w:hint="default"/>
      <w:color w:val="000000"/>
      <w:shd w:val="clear" w:color="auto" w:fill="FFFFFF"/>
    </w:rPr>
  </w:style>
  <w:style w:type="character" w:customStyle="1" w:styleId="RTFNum2262">
    <w:name w:val="RTF_Num 226 2"/>
    <w:rsid w:val="00FF04A3"/>
    <w:rPr>
      <w:rFonts w:ascii="Wingdings" w:hAnsi="Wingdings" w:hint="default"/>
      <w:color w:val="000000"/>
      <w:shd w:val="clear" w:color="auto" w:fill="FFFFFF"/>
    </w:rPr>
  </w:style>
  <w:style w:type="character" w:customStyle="1" w:styleId="RTFNum2272">
    <w:name w:val="RTF_Num 227 2"/>
    <w:rsid w:val="00FF04A3"/>
    <w:rPr>
      <w:rFonts w:ascii="Wingdings" w:hAnsi="Wingdings" w:hint="default"/>
      <w:color w:val="000000"/>
      <w:shd w:val="clear" w:color="auto" w:fill="FFFFFF"/>
    </w:rPr>
  </w:style>
  <w:style w:type="character" w:customStyle="1" w:styleId="RTFNum2282">
    <w:name w:val="RTF_Num 228 2"/>
    <w:rsid w:val="00FF04A3"/>
    <w:rPr>
      <w:rFonts w:ascii="Wingdings" w:hAnsi="Wingdings" w:hint="default"/>
      <w:color w:val="000000"/>
      <w:shd w:val="clear" w:color="auto" w:fill="FFFFFF"/>
    </w:rPr>
  </w:style>
  <w:style w:type="character" w:customStyle="1" w:styleId="RTFNum2292">
    <w:name w:val="RTF_Num 229 2"/>
    <w:rsid w:val="00FF04A3"/>
    <w:rPr>
      <w:rFonts w:ascii="Wingdings" w:hAnsi="Wingdings" w:hint="default"/>
      <w:color w:val="000000"/>
      <w:shd w:val="clear" w:color="auto" w:fill="FFFFFF"/>
    </w:rPr>
  </w:style>
  <w:style w:type="character" w:customStyle="1" w:styleId="RTFNum2302">
    <w:name w:val="RTF_Num 230 2"/>
    <w:rsid w:val="00FF04A3"/>
    <w:rPr>
      <w:rFonts w:ascii="Wingdings" w:hAnsi="Wingdings" w:hint="default"/>
      <w:color w:val="000000"/>
      <w:shd w:val="clear" w:color="auto" w:fill="FFFFFF"/>
    </w:rPr>
  </w:style>
  <w:style w:type="character" w:customStyle="1" w:styleId="RTFNum2312">
    <w:name w:val="RTF_Num 231 2"/>
    <w:rsid w:val="00FF04A3"/>
    <w:rPr>
      <w:rFonts w:ascii="Wingdings" w:hAnsi="Wingdings" w:hint="default"/>
      <w:color w:val="000000"/>
      <w:shd w:val="clear" w:color="auto" w:fill="FFFFFF"/>
    </w:rPr>
  </w:style>
  <w:style w:type="character" w:customStyle="1" w:styleId="RTFNum2322">
    <w:name w:val="RTF_Num 232 2"/>
    <w:rsid w:val="00FF04A3"/>
    <w:rPr>
      <w:rFonts w:ascii="Wingdings" w:hAnsi="Wingdings" w:hint="default"/>
      <w:color w:val="000000"/>
      <w:shd w:val="clear" w:color="auto" w:fill="FFFFFF"/>
    </w:rPr>
  </w:style>
  <w:style w:type="character" w:customStyle="1" w:styleId="RTFNum2332">
    <w:name w:val="RTF_Num 233 2"/>
    <w:rsid w:val="00FF04A3"/>
    <w:rPr>
      <w:rFonts w:ascii="Wingdings" w:hAnsi="Wingdings" w:hint="default"/>
      <w:color w:val="000000"/>
      <w:shd w:val="clear" w:color="auto" w:fill="FFFFFF"/>
    </w:rPr>
  </w:style>
  <w:style w:type="character" w:customStyle="1" w:styleId="RTFNum2342">
    <w:name w:val="RTF_Num 234 2"/>
    <w:rsid w:val="00FF04A3"/>
    <w:rPr>
      <w:rFonts w:ascii="Wingdings" w:hAnsi="Wingdings" w:hint="default"/>
      <w:color w:val="000000"/>
      <w:shd w:val="clear" w:color="auto" w:fill="FFFFFF"/>
    </w:rPr>
  </w:style>
  <w:style w:type="character" w:customStyle="1" w:styleId="RTFNum2352">
    <w:name w:val="RTF_Num 235 2"/>
    <w:rsid w:val="00FF04A3"/>
    <w:rPr>
      <w:rFonts w:ascii="Wingdings" w:hAnsi="Wingdings" w:hint="default"/>
      <w:color w:val="000000"/>
      <w:shd w:val="clear" w:color="auto" w:fill="FFFFFF"/>
    </w:rPr>
  </w:style>
  <w:style w:type="character" w:customStyle="1" w:styleId="RTFNum2362">
    <w:name w:val="RTF_Num 236 2"/>
    <w:rsid w:val="00FF04A3"/>
    <w:rPr>
      <w:rFonts w:ascii="Wingdings" w:hAnsi="Wingdings" w:hint="default"/>
      <w:color w:val="000000"/>
      <w:shd w:val="clear" w:color="auto" w:fill="FFFFFF"/>
    </w:rPr>
  </w:style>
  <w:style w:type="character" w:customStyle="1" w:styleId="RTFNum2372">
    <w:name w:val="RTF_Num 237 2"/>
    <w:rsid w:val="00FF04A3"/>
    <w:rPr>
      <w:rFonts w:ascii="Symbol" w:hAnsi="Symbol" w:hint="default"/>
      <w:color w:val="000000"/>
      <w:shd w:val="clear" w:color="auto" w:fill="FFFFFF"/>
    </w:rPr>
  </w:style>
  <w:style w:type="character" w:customStyle="1" w:styleId="RTFNum2382">
    <w:name w:val="RTF_Num 238 2"/>
    <w:rsid w:val="00FF04A3"/>
    <w:rPr>
      <w:rFonts w:ascii="Wingdings" w:hAnsi="Wingdings" w:hint="default"/>
      <w:color w:val="000000"/>
      <w:shd w:val="clear" w:color="auto" w:fill="FFFFFF"/>
    </w:rPr>
  </w:style>
  <w:style w:type="character" w:customStyle="1" w:styleId="RTFNum2392">
    <w:name w:val="RTF_Num 239 2"/>
    <w:rsid w:val="00FF04A3"/>
    <w:rPr>
      <w:rFonts w:ascii="Wingdings" w:hAnsi="Wingdings" w:hint="default"/>
      <w:color w:val="000000"/>
      <w:shd w:val="clear" w:color="auto" w:fill="FFFFFF"/>
    </w:rPr>
  </w:style>
  <w:style w:type="character" w:customStyle="1" w:styleId="RTFNum2402">
    <w:name w:val="RTF_Num 240 2"/>
    <w:rsid w:val="00FF04A3"/>
    <w:rPr>
      <w:rFonts w:ascii="Wingdings" w:hAnsi="Wingdings" w:hint="default"/>
      <w:color w:val="000000"/>
      <w:shd w:val="clear" w:color="auto" w:fill="FFFFFF"/>
    </w:rPr>
  </w:style>
  <w:style w:type="character" w:customStyle="1" w:styleId="RTFNum2412">
    <w:name w:val="RTF_Num 241 2"/>
    <w:rsid w:val="00FF04A3"/>
    <w:rPr>
      <w:rFonts w:ascii="Wingdings" w:hAnsi="Wingdings" w:hint="default"/>
      <w:color w:val="000000"/>
      <w:shd w:val="clear" w:color="auto" w:fill="FFFFFF"/>
    </w:rPr>
  </w:style>
  <w:style w:type="character" w:customStyle="1" w:styleId="RTFNum2422">
    <w:name w:val="RTF_Num 242 2"/>
    <w:rsid w:val="00FF04A3"/>
    <w:rPr>
      <w:rFonts w:ascii="Wingdings" w:hAnsi="Wingdings" w:hint="default"/>
      <w:color w:val="000000"/>
      <w:shd w:val="clear" w:color="auto" w:fill="FFFFFF"/>
    </w:rPr>
  </w:style>
  <w:style w:type="character" w:customStyle="1" w:styleId="RTFNum2432">
    <w:name w:val="RTF_Num 243 2"/>
    <w:rsid w:val="00FF04A3"/>
    <w:rPr>
      <w:rFonts w:ascii="Wingdings" w:hAnsi="Wingdings" w:hint="default"/>
      <w:color w:val="000000"/>
      <w:shd w:val="clear" w:color="auto" w:fill="FFFFFF"/>
    </w:rPr>
  </w:style>
  <w:style w:type="character" w:customStyle="1" w:styleId="RTFNum2442">
    <w:name w:val="RTF_Num 244 2"/>
    <w:rsid w:val="00FF04A3"/>
    <w:rPr>
      <w:rFonts w:ascii="Wingdings" w:hAnsi="Wingdings" w:hint="default"/>
      <w:color w:val="000000"/>
      <w:shd w:val="clear" w:color="auto" w:fill="FFFFFF"/>
    </w:rPr>
  </w:style>
  <w:style w:type="character" w:customStyle="1" w:styleId="RTFNum2452">
    <w:name w:val="RTF_Num 245 2"/>
    <w:rsid w:val="00FF04A3"/>
    <w:rPr>
      <w:rFonts w:ascii="Wingdings" w:hAnsi="Wingdings" w:hint="default"/>
      <w:color w:val="000000"/>
      <w:shd w:val="clear" w:color="auto" w:fill="FFFFFF"/>
    </w:rPr>
  </w:style>
  <w:style w:type="character" w:customStyle="1" w:styleId="RTFNum2462">
    <w:name w:val="RTF_Num 246 2"/>
    <w:rsid w:val="00FF04A3"/>
    <w:rPr>
      <w:rFonts w:ascii="Wingdings" w:hAnsi="Wingdings" w:hint="default"/>
      <w:color w:val="000000"/>
      <w:shd w:val="clear" w:color="auto" w:fill="FFFFFF"/>
    </w:rPr>
  </w:style>
  <w:style w:type="character" w:customStyle="1" w:styleId="RTFNum2472">
    <w:name w:val="RTF_Num 247 2"/>
    <w:rsid w:val="00FF04A3"/>
    <w:rPr>
      <w:rFonts w:ascii="Wingdings" w:hAnsi="Wingdings" w:hint="default"/>
      <w:color w:val="000000"/>
      <w:shd w:val="clear" w:color="auto" w:fill="FFFFFF"/>
    </w:rPr>
  </w:style>
  <w:style w:type="character" w:customStyle="1" w:styleId="RTFNum2482">
    <w:name w:val="RTF_Num 248 2"/>
    <w:rsid w:val="00FF04A3"/>
    <w:rPr>
      <w:rFonts w:ascii="Wingdings" w:hAnsi="Wingdings" w:hint="default"/>
      <w:color w:val="000000"/>
      <w:shd w:val="clear" w:color="auto" w:fill="FFFFFF"/>
    </w:rPr>
  </w:style>
  <w:style w:type="character" w:customStyle="1" w:styleId="RTFNum2492">
    <w:name w:val="RTF_Num 249 2"/>
    <w:rsid w:val="00FF04A3"/>
    <w:rPr>
      <w:rFonts w:ascii="Symbol" w:hAnsi="Symbol" w:hint="default"/>
      <w:color w:val="000000"/>
      <w:shd w:val="clear" w:color="auto" w:fill="FFFFFF"/>
    </w:rPr>
  </w:style>
  <w:style w:type="character" w:customStyle="1" w:styleId="RTFNum2502">
    <w:name w:val="RTF_Num 250 2"/>
    <w:rsid w:val="00FF04A3"/>
    <w:rPr>
      <w:rFonts w:ascii="Symbol" w:hAnsi="Symbol" w:hint="default"/>
      <w:color w:val="000000"/>
      <w:shd w:val="clear" w:color="auto" w:fill="FFFFFF"/>
    </w:rPr>
  </w:style>
  <w:style w:type="character" w:customStyle="1" w:styleId="RTFNum2512">
    <w:name w:val="RTF_Num 251 2"/>
    <w:rsid w:val="00FF04A3"/>
    <w:rPr>
      <w:rFonts w:ascii="Symbol" w:hAnsi="Symbol" w:hint="default"/>
      <w:color w:val="000000"/>
      <w:shd w:val="clear" w:color="auto" w:fill="FFFFFF"/>
    </w:rPr>
  </w:style>
  <w:style w:type="character" w:customStyle="1" w:styleId="RTFNum2522">
    <w:name w:val="RTF_Num 252 2"/>
    <w:rsid w:val="00FF04A3"/>
    <w:rPr>
      <w:rFonts w:ascii="Symbol" w:hAnsi="Symbol" w:hint="default"/>
      <w:color w:val="000000"/>
      <w:shd w:val="clear" w:color="auto" w:fill="FFFFFF"/>
    </w:rPr>
  </w:style>
  <w:style w:type="character" w:customStyle="1" w:styleId="RTFNum2532">
    <w:name w:val="RTF_Num 253 2"/>
    <w:rsid w:val="00FF04A3"/>
    <w:rPr>
      <w:rFonts w:ascii="Symbol" w:hAnsi="Symbol" w:hint="default"/>
      <w:color w:val="000000"/>
      <w:shd w:val="clear" w:color="auto" w:fill="FFFFFF"/>
    </w:rPr>
  </w:style>
  <w:style w:type="character" w:customStyle="1" w:styleId="RTFNum2542">
    <w:name w:val="RTF_Num 254 2"/>
    <w:rsid w:val="00FF04A3"/>
    <w:rPr>
      <w:rFonts w:ascii="Symbol" w:hAnsi="Symbol" w:hint="default"/>
      <w:color w:val="000000"/>
      <w:shd w:val="clear" w:color="auto" w:fill="FFFFFF"/>
    </w:rPr>
  </w:style>
  <w:style w:type="character" w:customStyle="1" w:styleId="RTFNum2552">
    <w:name w:val="RTF_Num 255 2"/>
    <w:rsid w:val="00FF04A3"/>
    <w:rPr>
      <w:rFonts w:ascii="Symbol" w:hAnsi="Symbol" w:hint="default"/>
      <w:color w:val="000000"/>
      <w:shd w:val="clear" w:color="auto" w:fill="FFFFFF"/>
    </w:rPr>
  </w:style>
  <w:style w:type="character" w:customStyle="1" w:styleId="RTFNum2562">
    <w:name w:val="RTF_Num 256 2"/>
    <w:rsid w:val="00FF04A3"/>
    <w:rPr>
      <w:rFonts w:ascii="Symbol" w:hAnsi="Symbol" w:hint="default"/>
      <w:color w:val="000000"/>
      <w:shd w:val="clear" w:color="auto" w:fill="FFFFFF"/>
    </w:rPr>
  </w:style>
  <w:style w:type="character" w:customStyle="1" w:styleId="RTFNum2572">
    <w:name w:val="RTF_Num 257 2"/>
    <w:rsid w:val="00FF04A3"/>
    <w:rPr>
      <w:rFonts w:ascii="Symbol" w:hAnsi="Symbol" w:hint="default"/>
      <w:color w:val="000000"/>
      <w:shd w:val="clear" w:color="auto" w:fill="FFFFFF"/>
    </w:rPr>
  </w:style>
  <w:style w:type="character" w:customStyle="1" w:styleId="RTFNum2582">
    <w:name w:val="RTF_Num 258 2"/>
    <w:rsid w:val="00FF04A3"/>
    <w:rPr>
      <w:rFonts w:ascii="Symbol" w:hAnsi="Symbol" w:hint="default"/>
      <w:color w:val="000000"/>
      <w:shd w:val="clear" w:color="auto" w:fill="FFFFFF"/>
    </w:rPr>
  </w:style>
  <w:style w:type="character" w:customStyle="1" w:styleId="RTFNum2592">
    <w:name w:val="RTF_Num 259 2"/>
    <w:rsid w:val="00FF04A3"/>
    <w:rPr>
      <w:rFonts w:ascii="Symbol" w:hAnsi="Symbol" w:hint="default"/>
      <w:color w:val="000000"/>
      <w:shd w:val="clear" w:color="auto" w:fill="FFFFFF"/>
    </w:rPr>
  </w:style>
  <w:style w:type="character" w:customStyle="1" w:styleId="RTFNum2602">
    <w:name w:val="RTF_Num 260 2"/>
    <w:rsid w:val="00FF04A3"/>
    <w:rPr>
      <w:rFonts w:ascii="Wingdings" w:hAnsi="Wingdings" w:hint="default"/>
      <w:color w:val="000000"/>
      <w:shd w:val="clear" w:color="auto" w:fill="FFFFFF"/>
    </w:rPr>
  </w:style>
  <w:style w:type="character" w:customStyle="1" w:styleId="RTFNum2612">
    <w:name w:val="RTF_Num 261 2"/>
    <w:rsid w:val="00FF04A3"/>
    <w:rPr>
      <w:rFonts w:ascii="Wingdings" w:hAnsi="Wingdings" w:hint="default"/>
      <w:color w:val="000000"/>
      <w:shd w:val="clear" w:color="auto" w:fill="FFFFFF"/>
    </w:rPr>
  </w:style>
  <w:style w:type="character" w:customStyle="1" w:styleId="RTFNum2622">
    <w:name w:val="RTF_Num 262 2"/>
    <w:rsid w:val="00FF04A3"/>
    <w:rPr>
      <w:rFonts w:ascii="Wingdings" w:hAnsi="Wingdings" w:hint="default"/>
      <w:color w:val="000000"/>
      <w:shd w:val="clear" w:color="auto" w:fill="FFFFFF"/>
    </w:rPr>
  </w:style>
  <w:style w:type="character" w:customStyle="1" w:styleId="RTFNum2632">
    <w:name w:val="RTF_Num 263 2"/>
    <w:rsid w:val="00FF04A3"/>
    <w:rPr>
      <w:rFonts w:ascii="Wingdings" w:hAnsi="Wingdings" w:hint="default"/>
      <w:color w:val="000000"/>
      <w:shd w:val="clear" w:color="auto" w:fill="FFFFFF"/>
    </w:rPr>
  </w:style>
  <w:style w:type="character" w:customStyle="1" w:styleId="RTFNum2642">
    <w:name w:val="RTF_Num 264 2"/>
    <w:rsid w:val="00FF04A3"/>
    <w:rPr>
      <w:rFonts w:ascii="Wingdings" w:hAnsi="Wingdings" w:hint="default"/>
      <w:color w:val="000000"/>
      <w:shd w:val="clear" w:color="auto" w:fill="FFFFFF"/>
    </w:rPr>
  </w:style>
  <w:style w:type="character" w:customStyle="1" w:styleId="RTFNum2652">
    <w:name w:val="RTF_Num 265 2"/>
    <w:rsid w:val="00FF04A3"/>
    <w:rPr>
      <w:rFonts w:ascii="Wingdings" w:hAnsi="Wingdings" w:hint="default"/>
      <w:color w:val="000000"/>
      <w:shd w:val="clear" w:color="auto" w:fill="FFFFFF"/>
    </w:rPr>
  </w:style>
  <w:style w:type="character" w:customStyle="1" w:styleId="RTFNum2662">
    <w:name w:val="RTF_Num 266 2"/>
    <w:rsid w:val="00FF04A3"/>
    <w:rPr>
      <w:rFonts w:ascii="Wingdings" w:hAnsi="Wingdings" w:hint="default"/>
      <w:color w:val="000000"/>
      <w:shd w:val="clear" w:color="auto" w:fill="FFFFFF"/>
    </w:rPr>
  </w:style>
  <w:style w:type="character" w:customStyle="1" w:styleId="RTFNum2672">
    <w:name w:val="RTF_Num 267 2"/>
    <w:rsid w:val="00FF04A3"/>
    <w:rPr>
      <w:rFonts w:ascii="Symbol" w:hAnsi="Symbol" w:hint="default"/>
      <w:color w:val="000000"/>
      <w:shd w:val="clear" w:color="auto" w:fill="FFFFFF"/>
    </w:rPr>
  </w:style>
  <w:style w:type="character" w:customStyle="1" w:styleId="RTFNum2682">
    <w:name w:val="RTF_Num 268 2"/>
    <w:rsid w:val="00FF04A3"/>
    <w:rPr>
      <w:rFonts w:ascii="Wingdings" w:hAnsi="Wingdings" w:hint="default"/>
      <w:color w:val="000000"/>
      <w:shd w:val="clear" w:color="auto" w:fill="FFFFFF"/>
    </w:rPr>
  </w:style>
  <w:style w:type="character" w:customStyle="1" w:styleId="RTFNum2692">
    <w:name w:val="RTF_Num 269 2"/>
    <w:rsid w:val="00FF04A3"/>
    <w:rPr>
      <w:rFonts w:ascii="Wingdings" w:hAnsi="Wingdings" w:hint="default"/>
      <w:color w:val="000000"/>
      <w:shd w:val="clear" w:color="auto" w:fill="FFFFFF"/>
    </w:rPr>
  </w:style>
  <w:style w:type="character" w:customStyle="1" w:styleId="RTFNum2702">
    <w:name w:val="RTF_Num 270 2"/>
    <w:rsid w:val="00FF04A3"/>
    <w:rPr>
      <w:rFonts w:ascii="Wingdings" w:hAnsi="Wingdings" w:hint="default"/>
      <w:color w:val="000000"/>
      <w:shd w:val="clear" w:color="auto" w:fill="FFFFFF"/>
    </w:rPr>
  </w:style>
  <w:style w:type="character" w:customStyle="1" w:styleId="RTFNum2712">
    <w:name w:val="RTF_Num 271 2"/>
    <w:rsid w:val="00FF04A3"/>
    <w:rPr>
      <w:rFonts w:ascii="Wingdings" w:hAnsi="Wingdings" w:hint="default"/>
      <w:color w:val="000000"/>
      <w:shd w:val="clear" w:color="auto" w:fill="FFFFFF"/>
    </w:rPr>
  </w:style>
  <w:style w:type="character" w:customStyle="1" w:styleId="RTFNum2722">
    <w:name w:val="RTF_Num 272 2"/>
    <w:rsid w:val="00FF04A3"/>
    <w:rPr>
      <w:rFonts w:ascii="Wingdings" w:hAnsi="Wingdings" w:hint="default"/>
      <w:color w:val="000000"/>
      <w:shd w:val="clear" w:color="auto" w:fill="FFFFFF"/>
    </w:rPr>
  </w:style>
  <w:style w:type="character" w:customStyle="1" w:styleId="RTFNum2732">
    <w:name w:val="RTF_Num 273 2"/>
    <w:rsid w:val="00FF04A3"/>
    <w:rPr>
      <w:rFonts w:ascii="Wingdings" w:hAnsi="Wingdings" w:hint="default"/>
      <w:color w:val="000000"/>
      <w:shd w:val="clear" w:color="auto" w:fill="FFFFFF"/>
    </w:rPr>
  </w:style>
  <w:style w:type="character" w:customStyle="1" w:styleId="RTFNum2742">
    <w:name w:val="RTF_Num 274 2"/>
    <w:rsid w:val="00FF04A3"/>
    <w:rPr>
      <w:rFonts w:ascii="Wingdings" w:hAnsi="Wingdings" w:hint="default"/>
      <w:color w:val="000000"/>
      <w:shd w:val="clear" w:color="auto" w:fill="FFFFFF"/>
    </w:rPr>
  </w:style>
  <w:style w:type="character" w:customStyle="1" w:styleId="RTFNum2752">
    <w:name w:val="RTF_Num 275 2"/>
    <w:rsid w:val="00FF04A3"/>
    <w:rPr>
      <w:rFonts w:ascii="Wingdings" w:hAnsi="Wingdings" w:hint="default"/>
      <w:color w:val="000000"/>
      <w:shd w:val="clear" w:color="auto" w:fill="FFFFFF"/>
    </w:rPr>
  </w:style>
  <w:style w:type="character" w:customStyle="1" w:styleId="RTFNum2762">
    <w:name w:val="RTF_Num 276 2"/>
    <w:rsid w:val="00FF04A3"/>
    <w:rPr>
      <w:rFonts w:ascii="Wingdings" w:hAnsi="Wingdings" w:hint="default"/>
      <w:color w:val="000000"/>
      <w:shd w:val="clear" w:color="auto" w:fill="FFFFFF"/>
    </w:rPr>
  </w:style>
  <w:style w:type="character" w:customStyle="1" w:styleId="RTFNum2772">
    <w:name w:val="RTF_Num 277 2"/>
    <w:rsid w:val="00FF04A3"/>
    <w:rPr>
      <w:rFonts w:ascii="Wingdings" w:hAnsi="Wingdings" w:hint="default"/>
      <w:color w:val="000000"/>
      <w:shd w:val="clear" w:color="auto" w:fill="FFFFFF"/>
    </w:rPr>
  </w:style>
  <w:style w:type="character" w:customStyle="1" w:styleId="RTFNum2782">
    <w:name w:val="RTF_Num 278 2"/>
    <w:rsid w:val="00FF04A3"/>
    <w:rPr>
      <w:rFonts w:ascii="Wingdings" w:hAnsi="Wingdings" w:hint="default"/>
      <w:color w:val="000000"/>
      <w:shd w:val="clear" w:color="auto" w:fill="FFFFFF"/>
    </w:rPr>
  </w:style>
  <w:style w:type="character" w:customStyle="1" w:styleId="RTFNum2792">
    <w:name w:val="RTF_Num 279 2"/>
    <w:rsid w:val="00FF04A3"/>
    <w:rPr>
      <w:rFonts w:ascii="Wingdings" w:hAnsi="Wingdings" w:hint="default"/>
      <w:color w:val="000000"/>
      <w:shd w:val="clear" w:color="auto" w:fill="FFFFFF"/>
    </w:rPr>
  </w:style>
  <w:style w:type="character" w:customStyle="1" w:styleId="RTFNum2802">
    <w:name w:val="RTF_Num 280 2"/>
    <w:rsid w:val="00FF04A3"/>
    <w:rPr>
      <w:rFonts w:ascii="Wingdings" w:hAnsi="Wingdings" w:hint="default"/>
      <w:color w:val="000000"/>
      <w:shd w:val="clear" w:color="auto" w:fill="FFFFFF"/>
    </w:rPr>
  </w:style>
  <w:style w:type="character" w:customStyle="1" w:styleId="RTFNum2812">
    <w:name w:val="RTF_Num 281 2"/>
    <w:rsid w:val="00FF04A3"/>
    <w:rPr>
      <w:rFonts w:ascii="Wingdings" w:hAnsi="Wingdings" w:hint="default"/>
      <w:color w:val="000000"/>
      <w:shd w:val="clear" w:color="auto" w:fill="FFFFFF"/>
    </w:rPr>
  </w:style>
  <w:style w:type="character" w:customStyle="1" w:styleId="RTFNum2822">
    <w:name w:val="RTF_Num 282 2"/>
    <w:rsid w:val="00FF04A3"/>
    <w:rPr>
      <w:rFonts w:ascii="Wingdings" w:hAnsi="Wingdings" w:hint="default"/>
      <w:color w:val="000000"/>
      <w:shd w:val="clear" w:color="auto" w:fill="FFFFFF"/>
    </w:rPr>
  </w:style>
  <w:style w:type="character" w:customStyle="1" w:styleId="RTFNum2832">
    <w:name w:val="RTF_Num 283 2"/>
    <w:rsid w:val="00FF04A3"/>
    <w:rPr>
      <w:rFonts w:ascii="Wingdings" w:hAnsi="Wingdings" w:hint="default"/>
      <w:color w:val="000000"/>
      <w:shd w:val="clear" w:color="auto" w:fill="FFFFFF"/>
    </w:rPr>
  </w:style>
  <w:style w:type="character" w:customStyle="1" w:styleId="RTFNum2842">
    <w:name w:val="RTF_Num 284 2"/>
    <w:rsid w:val="00FF04A3"/>
    <w:rPr>
      <w:rFonts w:ascii="Wingdings" w:hAnsi="Wingdings" w:hint="default"/>
      <w:color w:val="000000"/>
      <w:shd w:val="clear" w:color="auto" w:fill="FFFFFF"/>
    </w:rPr>
  </w:style>
  <w:style w:type="character" w:customStyle="1" w:styleId="RTFNum2852">
    <w:name w:val="RTF_Num 285 2"/>
    <w:rsid w:val="00FF04A3"/>
    <w:rPr>
      <w:rFonts w:ascii="Symbol" w:hAnsi="Symbol" w:hint="default"/>
      <w:color w:val="000000"/>
      <w:shd w:val="clear" w:color="auto" w:fill="FFFFFF"/>
    </w:rPr>
  </w:style>
  <w:style w:type="character" w:customStyle="1" w:styleId="RTFNum2862">
    <w:name w:val="RTF_Num 286 2"/>
    <w:rsid w:val="00FF04A3"/>
    <w:rPr>
      <w:rFonts w:ascii="Symbol" w:hAnsi="Symbol" w:hint="default"/>
      <w:color w:val="000000"/>
      <w:shd w:val="clear" w:color="auto" w:fill="FFFFFF"/>
    </w:rPr>
  </w:style>
  <w:style w:type="character" w:customStyle="1" w:styleId="RTFNum2872">
    <w:name w:val="RTF_Num 287 2"/>
    <w:rsid w:val="00FF04A3"/>
    <w:rPr>
      <w:rFonts w:ascii="Symbol" w:hAnsi="Symbol" w:hint="default"/>
      <w:color w:val="000000"/>
      <w:shd w:val="clear" w:color="auto" w:fill="FFFFFF"/>
    </w:rPr>
  </w:style>
  <w:style w:type="character" w:customStyle="1" w:styleId="RTFNum2882">
    <w:name w:val="RTF_Num 288 2"/>
    <w:rsid w:val="00FF04A3"/>
    <w:rPr>
      <w:rFonts w:ascii="Symbol" w:hAnsi="Symbol" w:hint="default"/>
      <w:color w:val="000000"/>
      <w:shd w:val="clear" w:color="auto" w:fill="FFFFFF"/>
    </w:rPr>
  </w:style>
  <w:style w:type="character" w:customStyle="1" w:styleId="RTFNum2892">
    <w:name w:val="RTF_Num 289 2"/>
    <w:rsid w:val="00FF04A3"/>
    <w:rPr>
      <w:rFonts w:ascii="Symbol" w:hAnsi="Symbol" w:hint="default"/>
      <w:color w:val="000000"/>
      <w:shd w:val="clear" w:color="auto" w:fill="FFFFFF"/>
    </w:rPr>
  </w:style>
  <w:style w:type="character" w:customStyle="1" w:styleId="RTFNum2902">
    <w:name w:val="RTF_Num 290 2"/>
    <w:rsid w:val="00FF04A3"/>
    <w:rPr>
      <w:rFonts w:ascii="Symbol" w:hAnsi="Symbol" w:hint="default"/>
      <w:color w:val="000000"/>
      <w:shd w:val="clear" w:color="auto" w:fill="FFFFFF"/>
    </w:rPr>
  </w:style>
  <w:style w:type="character" w:customStyle="1" w:styleId="RTFNum2912">
    <w:name w:val="RTF_Num 291 2"/>
    <w:rsid w:val="00FF04A3"/>
    <w:rPr>
      <w:rFonts w:ascii="Symbol" w:hAnsi="Symbol" w:hint="default"/>
      <w:color w:val="000000"/>
      <w:shd w:val="clear" w:color="auto" w:fill="FFFFFF"/>
    </w:rPr>
  </w:style>
  <w:style w:type="character" w:customStyle="1" w:styleId="RTFNum2922">
    <w:name w:val="RTF_Num 292 2"/>
    <w:rsid w:val="00FF04A3"/>
    <w:rPr>
      <w:rFonts w:ascii="Symbol" w:hAnsi="Symbol" w:hint="default"/>
      <w:color w:val="000000"/>
      <w:shd w:val="clear" w:color="auto" w:fill="FFFFFF"/>
    </w:rPr>
  </w:style>
  <w:style w:type="character" w:customStyle="1" w:styleId="RTFNum2932">
    <w:name w:val="RTF_Num 293 2"/>
    <w:rsid w:val="00FF04A3"/>
    <w:rPr>
      <w:rFonts w:ascii="Symbol" w:hAnsi="Symbol" w:hint="default"/>
      <w:color w:val="000000"/>
      <w:shd w:val="clear" w:color="auto" w:fill="FFFFFF"/>
    </w:rPr>
  </w:style>
  <w:style w:type="character" w:customStyle="1" w:styleId="RTFNum2942">
    <w:name w:val="RTF_Num 294 2"/>
    <w:rsid w:val="00FF04A3"/>
    <w:rPr>
      <w:rFonts w:ascii="Symbol" w:hAnsi="Symbol" w:hint="default"/>
      <w:color w:val="000000"/>
      <w:shd w:val="clear" w:color="auto" w:fill="FFFFFF"/>
    </w:rPr>
  </w:style>
  <w:style w:type="character" w:customStyle="1" w:styleId="RTFNum2952">
    <w:name w:val="RTF_Num 295 2"/>
    <w:rsid w:val="00FF04A3"/>
    <w:rPr>
      <w:rFonts w:ascii="Wingdings" w:hAnsi="Wingdings" w:hint="default"/>
      <w:color w:val="000000"/>
      <w:shd w:val="clear" w:color="auto" w:fill="FFFFFF"/>
    </w:rPr>
  </w:style>
  <w:style w:type="character" w:customStyle="1" w:styleId="RTFNum2962">
    <w:name w:val="RTF_Num 296 2"/>
    <w:rsid w:val="00FF04A3"/>
    <w:rPr>
      <w:rFonts w:ascii="Wingdings" w:hAnsi="Wingdings" w:hint="default"/>
      <w:color w:val="000000"/>
      <w:shd w:val="clear" w:color="auto" w:fill="FFFFFF"/>
    </w:rPr>
  </w:style>
  <w:style w:type="character" w:customStyle="1" w:styleId="RTFNum2972">
    <w:name w:val="RTF_Num 297 2"/>
    <w:rsid w:val="00FF04A3"/>
    <w:rPr>
      <w:rFonts w:ascii="Wingdings" w:hAnsi="Wingdings" w:hint="default"/>
      <w:color w:val="000000"/>
      <w:shd w:val="clear" w:color="auto" w:fill="FFFFFF"/>
    </w:rPr>
  </w:style>
  <w:style w:type="character" w:customStyle="1" w:styleId="RTFNum2982">
    <w:name w:val="RTF_Num 298 2"/>
    <w:rsid w:val="00FF04A3"/>
    <w:rPr>
      <w:rFonts w:ascii="Wingdings" w:hAnsi="Wingdings" w:hint="default"/>
      <w:color w:val="000000"/>
      <w:shd w:val="clear" w:color="auto" w:fill="FFFFFF"/>
    </w:rPr>
  </w:style>
  <w:style w:type="character" w:customStyle="1" w:styleId="RTFNum2992">
    <w:name w:val="RTF_Num 299 2"/>
    <w:rsid w:val="00FF04A3"/>
    <w:rPr>
      <w:rFonts w:ascii="Wingdings" w:hAnsi="Wingdings" w:hint="default"/>
      <w:color w:val="000000"/>
      <w:shd w:val="clear" w:color="auto" w:fill="FFFFFF"/>
    </w:rPr>
  </w:style>
  <w:style w:type="character" w:customStyle="1" w:styleId="RTFNum3002">
    <w:name w:val="RTF_Num 300 2"/>
    <w:rsid w:val="00FF04A3"/>
    <w:rPr>
      <w:rFonts w:ascii="Wingdings" w:hAnsi="Wingdings" w:hint="default"/>
      <w:color w:val="000000"/>
      <w:shd w:val="clear" w:color="auto" w:fill="FFFFFF"/>
    </w:rPr>
  </w:style>
  <w:style w:type="character" w:customStyle="1" w:styleId="RTFNum3012">
    <w:name w:val="RTF_Num 301 2"/>
    <w:rsid w:val="00FF04A3"/>
    <w:rPr>
      <w:rFonts w:ascii="Wingdings" w:hAnsi="Wingdings" w:hint="default"/>
      <w:color w:val="000000"/>
      <w:shd w:val="clear" w:color="auto" w:fill="FFFFFF"/>
    </w:rPr>
  </w:style>
  <w:style w:type="character" w:customStyle="1" w:styleId="RTFNum3022">
    <w:name w:val="RTF_Num 302 2"/>
    <w:rsid w:val="00FF04A3"/>
    <w:rPr>
      <w:rFonts w:ascii="Wingdings" w:hAnsi="Wingdings" w:hint="default"/>
      <w:color w:val="000000"/>
      <w:shd w:val="clear" w:color="auto" w:fill="FFFFFF"/>
    </w:rPr>
  </w:style>
  <w:style w:type="character" w:customStyle="1" w:styleId="RTFNum3032">
    <w:name w:val="RTF_Num 303 2"/>
    <w:rsid w:val="00FF04A3"/>
    <w:rPr>
      <w:rFonts w:ascii="Wingdings" w:hAnsi="Wingdings" w:hint="default"/>
      <w:color w:val="000000"/>
      <w:shd w:val="clear" w:color="auto" w:fill="FFFFFF"/>
    </w:rPr>
  </w:style>
  <w:style w:type="character" w:customStyle="1" w:styleId="RTFNum3042">
    <w:name w:val="RTF_Num 304 2"/>
    <w:rsid w:val="00FF04A3"/>
    <w:rPr>
      <w:rFonts w:ascii="Symbol" w:hAnsi="Symbol" w:hint="default"/>
      <w:color w:val="000000"/>
      <w:shd w:val="clear" w:color="auto" w:fill="FFFFFF"/>
    </w:rPr>
  </w:style>
  <w:style w:type="character" w:customStyle="1" w:styleId="RTFNum3052">
    <w:name w:val="RTF_Num 305 2"/>
    <w:rsid w:val="00FF04A3"/>
    <w:rPr>
      <w:rFonts w:ascii="Wingdings" w:hAnsi="Wingdings" w:hint="default"/>
      <w:color w:val="000000"/>
      <w:shd w:val="clear" w:color="auto" w:fill="FFFFFF"/>
    </w:rPr>
  </w:style>
  <w:style w:type="character" w:customStyle="1" w:styleId="RTFNum3062">
    <w:name w:val="RTF_Num 306 2"/>
    <w:rsid w:val="00FF04A3"/>
    <w:rPr>
      <w:rFonts w:ascii="Wingdings" w:hAnsi="Wingdings" w:hint="default"/>
      <w:color w:val="000000"/>
      <w:shd w:val="clear" w:color="auto" w:fill="FFFFFF"/>
    </w:rPr>
  </w:style>
  <w:style w:type="character" w:customStyle="1" w:styleId="RTFNum3072">
    <w:name w:val="RTF_Num 307 2"/>
    <w:rsid w:val="00FF04A3"/>
    <w:rPr>
      <w:rFonts w:ascii="Wingdings" w:hAnsi="Wingdings" w:hint="default"/>
      <w:color w:val="000000"/>
      <w:shd w:val="clear" w:color="auto" w:fill="FFFFFF"/>
    </w:rPr>
  </w:style>
  <w:style w:type="character" w:customStyle="1" w:styleId="RTFNum3082">
    <w:name w:val="RTF_Num 308 2"/>
    <w:rsid w:val="00FF04A3"/>
    <w:rPr>
      <w:rFonts w:ascii="Wingdings" w:hAnsi="Wingdings" w:hint="default"/>
      <w:color w:val="000000"/>
      <w:shd w:val="clear" w:color="auto" w:fill="FFFFFF"/>
    </w:rPr>
  </w:style>
  <w:style w:type="character" w:customStyle="1" w:styleId="RTFNum3092">
    <w:name w:val="RTF_Num 309 2"/>
    <w:rsid w:val="00FF04A3"/>
    <w:rPr>
      <w:rFonts w:ascii="Wingdings" w:hAnsi="Wingdings" w:hint="default"/>
      <w:color w:val="000000"/>
      <w:shd w:val="clear" w:color="auto" w:fill="FFFFFF"/>
    </w:rPr>
  </w:style>
  <w:style w:type="character" w:customStyle="1" w:styleId="RTFNum3102">
    <w:name w:val="RTF_Num 310 2"/>
    <w:rsid w:val="00FF04A3"/>
    <w:rPr>
      <w:rFonts w:ascii="Wingdings" w:hAnsi="Wingdings" w:hint="default"/>
      <w:color w:val="000000"/>
      <w:shd w:val="clear" w:color="auto" w:fill="FFFFFF"/>
    </w:rPr>
  </w:style>
  <w:style w:type="character" w:customStyle="1" w:styleId="RTFNum3112">
    <w:name w:val="RTF_Num 311 2"/>
    <w:rsid w:val="00FF04A3"/>
    <w:rPr>
      <w:rFonts w:ascii="Wingdings" w:hAnsi="Wingdings" w:hint="default"/>
      <w:color w:val="000000"/>
      <w:shd w:val="clear" w:color="auto" w:fill="FFFFFF"/>
    </w:rPr>
  </w:style>
  <w:style w:type="character" w:customStyle="1" w:styleId="RTFNum3122">
    <w:name w:val="RTF_Num 312 2"/>
    <w:rsid w:val="00FF04A3"/>
    <w:rPr>
      <w:rFonts w:ascii="Wingdings" w:hAnsi="Wingdings" w:hint="default"/>
      <w:color w:val="000000"/>
      <w:shd w:val="clear" w:color="auto" w:fill="FFFFFF"/>
    </w:rPr>
  </w:style>
  <w:style w:type="character" w:customStyle="1" w:styleId="RTFNum3132">
    <w:name w:val="RTF_Num 313 2"/>
    <w:rsid w:val="00FF04A3"/>
    <w:rPr>
      <w:rFonts w:ascii="Wingdings" w:hAnsi="Wingdings" w:hint="default"/>
      <w:color w:val="000000"/>
      <w:shd w:val="clear" w:color="auto" w:fill="FFFFFF"/>
    </w:rPr>
  </w:style>
  <w:style w:type="character" w:customStyle="1" w:styleId="RTFNum3142">
    <w:name w:val="RTF_Num 314 2"/>
    <w:rsid w:val="00FF04A3"/>
    <w:rPr>
      <w:rFonts w:ascii="Wingdings" w:hAnsi="Wingdings" w:hint="default"/>
      <w:color w:val="000000"/>
      <w:shd w:val="clear" w:color="auto" w:fill="FFFFFF"/>
    </w:rPr>
  </w:style>
  <w:style w:type="character" w:customStyle="1" w:styleId="RTFNum3152">
    <w:name w:val="RTF_Num 315 2"/>
    <w:rsid w:val="00FF04A3"/>
    <w:rPr>
      <w:rFonts w:ascii="Wingdings" w:hAnsi="Wingdings" w:hint="default"/>
      <w:color w:val="000000"/>
      <w:shd w:val="clear" w:color="auto" w:fill="FFFFFF"/>
    </w:rPr>
  </w:style>
  <w:style w:type="character" w:customStyle="1" w:styleId="RTFNum3162">
    <w:name w:val="RTF_Num 316 2"/>
    <w:rsid w:val="00FF04A3"/>
    <w:rPr>
      <w:rFonts w:ascii="Wingdings" w:hAnsi="Wingdings" w:hint="default"/>
      <w:color w:val="000000"/>
      <w:shd w:val="clear" w:color="auto" w:fill="FFFFFF"/>
    </w:rPr>
  </w:style>
  <w:style w:type="character" w:customStyle="1" w:styleId="RTFNum3172">
    <w:name w:val="RTF_Num 317 2"/>
    <w:rsid w:val="00FF04A3"/>
    <w:rPr>
      <w:rFonts w:ascii="Symbol" w:hAnsi="Symbol" w:hint="default"/>
      <w:color w:val="000000"/>
      <w:shd w:val="clear" w:color="auto" w:fill="FFFFFF"/>
    </w:rPr>
  </w:style>
  <w:style w:type="character" w:customStyle="1" w:styleId="RTFNum3182">
    <w:name w:val="RTF_Num 318 2"/>
    <w:rsid w:val="00FF04A3"/>
    <w:rPr>
      <w:rFonts w:ascii="Wingdings" w:hAnsi="Wingdings" w:hint="default"/>
      <w:color w:val="000000"/>
      <w:shd w:val="clear" w:color="auto" w:fill="FFFFFF"/>
    </w:rPr>
  </w:style>
  <w:style w:type="character" w:customStyle="1" w:styleId="RTFNum3192">
    <w:name w:val="RTF_Num 319 2"/>
    <w:rsid w:val="00FF04A3"/>
    <w:rPr>
      <w:rFonts w:ascii="Wingdings" w:hAnsi="Wingdings" w:hint="default"/>
      <w:color w:val="000000"/>
      <w:shd w:val="clear" w:color="auto" w:fill="FFFFFF"/>
    </w:rPr>
  </w:style>
  <w:style w:type="character" w:customStyle="1" w:styleId="RTFNum3202">
    <w:name w:val="RTF_Num 320 2"/>
    <w:rsid w:val="00FF04A3"/>
    <w:rPr>
      <w:rFonts w:ascii="Symbol" w:hAnsi="Symbol" w:hint="default"/>
      <w:color w:val="000000"/>
      <w:shd w:val="clear" w:color="auto" w:fill="FFFFFF"/>
    </w:rPr>
  </w:style>
  <w:style w:type="character" w:customStyle="1" w:styleId="RTFNum3212">
    <w:name w:val="RTF_Num 321 2"/>
    <w:rsid w:val="00FF04A3"/>
    <w:rPr>
      <w:rFonts w:ascii="Symbol" w:hAnsi="Symbol" w:hint="default"/>
      <w:color w:val="000000"/>
      <w:shd w:val="clear" w:color="auto" w:fill="FFFFFF"/>
    </w:rPr>
  </w:style>
  <w:style w:type="character" w:customStyle="1" w:styleId="RTFNum3222">
    <w:name w:val="RTF_Num 322 2"/>
    <w:rsid w:val="00FF04A3"/>
    <w:rPr>
      <w:rFonts w:ascii="Symbol" w:hAnsi="Symbol" w:hint="default"/>
      <w:color w:val="000000"/>
      <w:shd w:val="clear" w:color="auto" w:fill="FFFFFF"/>
    </w:rPr>
  </w:style>
  <w:style w:type="character" w:customStyle="1" w:styleId="RTFNum3232">
    <w:name w:val="RTF_Num 323 2"/>
    <w:rsid w:val="00FF04A3"/>
    <w:rPr>
      <w:rFonts w:ascii="Symbol" w:hAnsi="Symbol" w:hint="default"/>
      <w:color w:val="000000"/>
      <w:shd w:val="clear" w:color="auto" w:fill="FFFFFF"/>
    </w:rPr>
  </w:style>
  <w:style w:type="character" w:customStyle="1" w:styleId="RTFNum3242">
    <w:name w:val="RTF_Num 324 2"/>
    <w:rsid w:val="00FF04A3"/>
    <w:rPr>
      <w:rFonts w:ascii="Symbol" w:hAnsi="Symbol" w:hint="default"/>
      <w:color w:val="000000"/>
      <w:shd w:val="clear" w:color="auto" w:fill="FFFFFF"/>
    </w:rPr>
  </w:style>
  <w:style w:type="character" w:customStyle="1" w:styleId="RTFNum3252">
    <w:name w:val="RTF_Num 325 2"/>
    <w:rsid w:val="00FF04A3"/>
    <w:rPr>
      <w:rFonts w:ascii="Symbol" w:hAnsi="Symbol" w:hint="default"/>
      <w:color w:val="000000"/>
      <w:shd w:val="clear" w:color="auto" w:fill="FFFFFF"/>
    </w:rPr>
  </w:style>
  <w:style w:type="character" w:customStyle="1" w:styleId="RTFNum3262">
    <w:name w:val="RTF_Num 326 2"/>
    <w:rsid w:val="00FF04A3"/>
    <w:rPr>
      <w:rFonts w:ascii="Wingdings" w:hAnsi="Wingdings" w:hint="default"/>
      <w:color w:val="000000"/>
      <w:shd w:val="clear" w:color="auto" w:fill="FFFFFF"/>
    </w:rPr>
  </w:style>
  <w:style w:type="character" w:customStyle="1" w:styleId="RTFNum3272">
    <w:name w:val="RTF_Num 327 2"/>
    <w:rsid w:val="00FF04A3"/>
    <w:rPr>
      <w:rFonts w:ascii="Wingdings" w:hAnsi="Wingdings" w:hint="default"/>
      <w:color w:val="000000"/>
      <w:shd w:val="clear" w:color="auto" w:fill="FFFFFF"/>
    </w:rPr>
  </w:style>
  <w:style w:type="character" w:customStyle="1" w:styleId="RTFNum3282">
    <w:name w:val="RTF_Num 328 2"/>
    <w:rsid w:val="00FF04A3"/>
    <w:rPr>
      <w:rFonts w:ascii="Symbol" w:hAnsi="Symbol" w:hint="default"/>
      <w:color w:val="000000"/>
      <w:shd w:val="clear" w:color="auto" w:fill="FFFFFF"/>
    </w:rPr>
  </w:style>
  <w:style w:type="character" w:customStyle="1" w:styleId="RTFNum3292">
    <w:name w:val="RTF_Num 329 2"/>
    <w:rsid w:val="00FF04A3"/>
    <w:rPr>
      <w:rFonts w:ascii="Symbol" w:hAnsi="Symbol" w:hint="default"/>
      <w:color w:val="000000"/>
      <w:shd w:val="clear" w:color="auto" w:fill="FFFFFF"/>
    </w:rPr>
  </w:style>
  <w:style w:type="character" w:customStyle="1" w:styleId="RTFNum3302">
    <w:name w:val="RTF_Num 330 2"/>
    <w:rsid w:val="00FF04A3"/>
    <w:rPr>
      <w:rFonts w:ascii="Wingdings" w:hAnsi="Wingdings" w:hint="default"/>
      <w:color w:val="000000"/>
      <w:shd w:val="clear" w:color="auto" w:fill="FFFFFF"/>
    </w:rPr>
  </w:style>
  <w:style w:type="character" w:customStyle="1" w:styleId="RTFNum3312">
    <w:name w:val="RTF_Num 331 2"/>
    <w:rsid w:val="00FF04A3"/>
    <w:rPr>
      <w:rFonts w:ascii="Wingdings" w:hAnsi="Wingdings" w:hint="default"/>
      <w:color w:val="000000"/>
      <w:shd w:val="clear" w:color="auto" w:fill="FFFFFF"/>
    </w:rPr>
  </w:style>
  <w:style w:type="character" w:customStyle="1" w:styleId="RTFNum3322">
    <w:name w:val="RTF_Num 332 2"/>
    <w:rsid w:val="00FF04A3"/>
    <w:rPr>
      <w:rFonts w:ascii="Symbol" w:hAnsi="Symbol" w:hint="default"/>
      <w:color w:val="000000"/>
      <w:shd w:val="clear" w:color="auto" w:fill="FFFFFF"/>
    </w:rPr>
  </w:style>
  <w:style w:type="character" w:customStyle="1" w:styleId="RTFNum3332">
    <w:name w:val="RTF_Num 333 2"/>
    <w:rsid w:val="00FF04A3"/>
    <w:rPr>
      <w:rFonts w:ascii="Wingdings" w:hAnsi="Wingdings" w:hint="default"/>
      <w:color w:val="000000"/>
      <w:shd w:val="clear" w:color="auto" w:fill="FFFFFF"/>
    </w:rPr>
  </w:style>
  <w:style w:type="character" w:customStyle="1" w:styleId="RTFNum3342">
    <w:name w:val="RTF_Num 334 2"/>
    <w:rsid w:val="00FF04A3"/>
    <w:rPr>
      <w:rFonts w:ascii="Symbol" w:hAnsi="Symbol" w:hint="default"/>
      <w:color w:val="000000"/>
      <w:shd w:val="clear" w:color="auto" w:fill="FFFFFF"/>
    </w:rPr>
  </w:style>
  <w:style w:type="character" w:customStyle="1" w:styleId="RTFNum3352">
    <w:name w:val="RTF_Num 335 2"/>
    <w:rsid w:val="00FF04A3"/>
    <w:rPr>
      <w:rFonts w:ascii="Wingdings" w:hAnsi="Wingdings" w:hint="default"/>
      <w:color w:val="000000"/>
      <w:shd w:val="clear" w:color="auto" w:fill="FFFFFF"/>
    </w:rPr>
  </w:style>
  <w:style w:type="character" w:customStyle="1" w:styleId="RTFNum3362">
    <w:name w:val="RTF_Num 336 2"/>
    <w:rsid w:val="00FF04A3"/>
    <w:rPr>
      <w:rFonts w:ascii="Wingdings" w:hAnsi="Wingdings" w:hint="default"/>
      <w:color w:val="000000"/>
      <w:shd w:val="clear" w:color="auto" w:fill="FFFFFF"/>
    </w:rPr>
  </w:style>
  <w:style w:type="character" w:customStyle="1" w:styleId="RTFNum3372">
    <w:name w:val="RTF_Num 337 2"/>
    <w:rsid w:val="00FF04A3"/>
    <w:rPr>
      <w:rFonts w:ascii="Wingdings" w:hAnsi="Wingdings" w:hint="default"/>
      <w:color w:val="000000"/>
      <w:shd w:val="clear" w:color="auto" w:fill="FFFFFF"/>
    </w:rPr>
  </w:style>
  <w:style w:type="character" w:customStyle="1" w:styleId="RTFNum3382">
    <w:name w:val="RTF_Num 338 2"/>
    <w:rsid w:val="00FF04A3"/>
    <w:rPr>
      <w:rFonts w:ascii="Wingdings" w:hAnsi="Wingdings" w:hint="default"/>
      <w:color w:val="000000"/>
      <w:shd w:val="clear" w:color="auto" w:fill="FFFFFF"/>
    </w:rPr>
  </w:style>
  <w:style w:type="character" w:customStyle="1" w:styleId="RTFNum3392">
    <w:name w:val="RTF_Num 339 2"/>
    <w:rsid w:val="00FF04A3"/>
    <w:rPr>
      <w:rFonts w:ascii="Wingdings" w:hAnsi="Wingdings" w:hint="default"/>
      <w:color w:val="000000"/>
      <w:shd w:val="clear" w:color="auto" w:fill="FFFFFF"/>
    </w:rPr>
  </w:style>
  <w:style w:type="character" w:customStyle="1" w:styleId="RTFNum3402">
    <w:name w:val="RTF_Num 340 2"/>
    <w:rsid w:val="00FF04A3"/>
    <w:rPr>
      <w:rFonts w:ascii="Wingdings" w:hAnsi="Wingdings" w:hint="default"/>
      <w:color w:val="000000"/>
      <w:shd w:val="clear" w:color="auto" w:fill="FFFFFF"/>
    </w:rPr>
  </w:style>
  <w:style w:type="character" w:customStyle="1" w:styleId="RTFNum3412">
    <w:name w:val="RTF_Num 341 2"/>
    <w:rsid w:val="00FF04A3"/>
    <w:rPr>
      <w:rFonts w:ascii="Wingdings" w:hAnsi="Wingdings" w:hint="default"/>
      <w:color w:val="000000"/>
      <w:shd w:val="clear" w:color="auto" w:fill="FFFFFF"/>
    </w:rPr>
  </w:style>
  <w:style w:type="character" w:customStyle="1" w:styleId="RTFNum3422">
    <w:name w:val="RTF_Num 342 2"/>
    <w:rsid w:val="00FF04A3"/>
    <w:rPr>
      <w:rFonts w:ascii="Wingdings" w:hAnsi="Wingdings" w:hint="default"/>
      <w:color w:val="000000"/>
      <w:shd w:val="clear" w:color="auto" w:fill="FFFFFF"/>
    </w:rPr>
  </w:style>
  <w:style w:type="character" w:customStyle="1" w:styleId="RTFNum3432">
    <w:name w:val="RTF_Num 343 2"/>
    <w:rsid w:val="00FF04A3"/>
    <w:rPr>
      <w:rFonts w:ascii="Wingdings" w:hAnsi="Wingdings" w:hint="default"/>
      <w:color w:val="000000"/>
      <w:shd w:val="clear" w:color="auto" w:fill="FFFFFF"/>
    </w:rPr>
  </w:style>
  <w:style w:type="character" w:customStyle="1" w:styleId="RTFNum3442">
    <w:name w:val="RTF_Num 344 2"/>
    <w:rsid w:val="00FF04A3"/>
    <w:rPr>
      <w:rFonts w:ascii="Wingdings" w:hAnsi="Wingdings" w:hint="default"/>
      <w:color w:val="000000"/>
      <w:shd w:val="clear" w:color="auto" w:fill="FFFFFF"/>
    </w:rPr>
  </w:style>
  <w:style w:type="character" w:customStyle="1" w:styleId="RTFNum3452">
    <w:name w:val="RTF_Num 345 2"/>
    <w:rsid w:val="00FF04A3"/>
    <w:rPr>
      <w:rFonts w:ascii="Wingdings" w:hAnsi="Wingdings" w:hint="default"/>
      <w:color w:val="000000"/>
      <w:shd w:val="clear" w:color="auto" w:fill="FFFFFF"/>
    </w:rPr>
  </w:style>
  <w:style w:type="character" w:customStyle="1" w:styleId="RTFNum3462">
    <w:name w:val="RTF_Num 346 2"/>
    <w:rsid w:val="00FF04A3"/>
    <w:rPr>
      <w:rFonts w:ascii="Wingdings" w:hAnsi="Wingdings" w:hint="default"/>
      <w:color w:val="000000"/>
      <w:shd w:val="clear" w:color="auto" w:fill="FFFFFF"/>
    </w:rPr>
  </w:style>
  <w:style w:type="character" w:customStyle="1" w:styleId="RTFNum3472">
    <w:name w:val="RTF_Num 347 2"/>
    <w:rsid w:val="00FF04A3"/>
    <w:rPr>
      <w:rFonts w:ascii="Wingdings" w:hAnsi="Wingdings" w:hint="default"/>
      <w:color w:val="000000"/>
      <w:shd w:val="clear" w:color="auto" w:fill="FFFFFF"/>
    </w:rPr>
  </w:style>
  <w:style w:type="character" w:customStyle="1" w:styleId="RTFNum3482">
    <w:name w:val="RTF_Num 348 2"/>
    <w:rsid w:val="00FF04A3"/>
    <w:rPr>
      <w:rFonts w:ascii="Symbol" w:hAnsi="Symbol" w:hint="default"/>
      <w:color w:val="000000"/>
      <w:shd w:val="clear" w:color="auto" w:fill="FFFFFF"/>
    </w:rPr>
  </w:style>
  <w:style w:type="character" w:customStyle="1" w:styleId="RTFNum3492">
    <w:name w:val="RTF_Num 349 2"/>
    <w:rsid w:val="00FF04A3"/>
    <w:rPr>
      <w:rFonts w:ascii="Symbol" w:hAnsi="Symbol" w:hint="default"/>
      <w:color w:val="000000"/>
      <w:shd w:val="clear" w:color="auto" w:fill="FFFFFF"/>
    </w:rPr>
  </w:style>
  <w:style w:type="character" w:customStyle="1" w:styleId="RTFNum3502">
    <w:name w:val="RTF_Num 350 2"/>
    <w:rsid w:val="00FF04A3"/>
    <w:rPr>
      <w:rFonts w:ascii="Symbol" w:hAnsi="Symbol" w:hint="default"/>
      <w:color w:val="000000"/>
      <w:shd w:val="clear" w:color="auto" w:fill="FFFFFF"/>
    </w:rPr>
  </w:style>
  <w:style w:type="character" w:customStyle="1" w:styleId="RTFNum3512">
    <w:name w:val="RTF_Num 351 2"/>
    <w:rsid w:val="00FF04A3"/>
    <w:rPr>
      <w:rFonts w:ascii="Wingdings" w:hAnsi="Wingdings" w:hint="default"/>
      <w:color w:val="000000"/>
      <w:shd w:val="clear" w:color="auto" w:fill="FFFFFF"/>
    </w:rPr>
  </w:style>
  <w:style w:type="character" w:customStyle="1" w:styleId="RTFNum3522">
    <w:name w:val="RTF_Num 352 2"/>
    <w:rsid w:val="00FF04A3"/>
    <w:rPr>
      <w:rFonts w:ascii="Wingdings" w:hAnsi="Wingdings" w:hint="default"/>
      <w:color w:val="000000"/>
      <w:shd w:val="clear" w:color="auto" w:fill="FFFFFF"/>
    </w:rPr>
  </w:style>
  <w:style w:type="character" w:customStyle="1" w:styleId="RTFNum3532">
    <w:name w:val="RTF_Num 353 2"/>
    <w:rsid w:val="00FF04A3"/>
    <w:rPr>
      <w:rFonts w:ascii="Wingdings" w:hAnsi="Wingdings" w:hint="default"/>
      <w:color w:val="000000"/>
      <w:shd w:val="clear" w:color="auto" w:fill="FFFFFF"/>
    </w:rPr>
  </w:style>
  <w:style w:type="character" w:customStyle="1" w:styleId="RTFNum3542">
    <w:name w:val="RTF_Num 354 2"/>
    <w:rsid w:val="00FF04A3"/>
    <w:rPr>
      <w:rFonts w:ascii="Symbol" w:hAnsi="Symbol" w:hint="default"/>
      <w:color w:val="000000"/>
      <w:shd w:val="clear" w:color="auto" w:fill="FFFFFF"/>
    </w:rPr>
  </w:style>
  <w:style w:type="character" w:customStyle="1" w:styleId="RTFNum3552">
    <w:name w:val="RTF_Num 355 2"/>
    <w:rsid w:val="00FF04A3"/>
    <w:rPr>
      <w:rFonts w:ascii="Symbol" w:hAnsi="Symbol" w:hint="default"/>
      <w:color w:val="000000"/>
      <w:shd w:val="clear" w:color="auto" w:fill="FFFFFF"/>
    </w:rPr>
  </w:style>
  <w:style w:type="character" w:customStyle="1" w:styleId="RTFNum3562">
    <w:name w:val="RTF_Num 356 2"/>
    <w:rsid w:val="00FF04A3"/>
    <w:rPr>
      <w:rFonts w:ascii="Symbol" w:hAnsi="Symbol" w:hint="default"/>
      <w:color w:val="000000"/>
      <w:shd w:val="clear" w:color="auto" w:fill="FFFFFF"/>
    </w:rPr>
  </w:style>
  <w:style w:type="character" w:customStyle="1" w:styleId="RTFNum3572">
    <w:name w:val="RTF_Num 357 2"/>
    <w:rsid w:val="00FF04A3"/>
    <w:rPr>
      <w:rFonts w:ascii="Symbol" w:hAnsi="Symbol" w:hint="default"/>
      <w:color w:val="000000"/>
      <w:shd w:val="clear" w:color="auto" w:fill="FFFFFF"/>
    </w:rPr>
  </w:style>
  <w:style w:type="character" w:customStyle="1" w:styleId="RTFNum3582">
    <w:name w:val="RTF_Num 358 2"/>
    <w:rsid w:val="00FF04A3"/>
    <w:rPr>
      <w:rFonts w:ascii="Symbol" w:hAnsi="Symbol" w:hint="default"/>
      <w:color w:val="000000"/>
      <w:shd w:val="clear" w:color="auto" w:fill="FFFFFF"/>
    </w:rPr>
  </w:style>
  <w:style w:type="character" w:customStyle="1" w:styleId="RTFNum3592">
    <w:name w:val="RTF_Num 359 2"/>
    <w:rsid w:val="00FF04A3"/>
    <w:rPr>
      <w:rFonts w:ascii="Symbol" w:hAnsi="Symbol" w:hint="default"/>
      <w:color w:val="000000"/>
      <w:shd w:val="clear" w:color="auto" w:fill="FFFFFF"/>
    </w:rPr>
  </w:style>
  <w:style w:type="character" w:customStyle="1" w:styleId="RTFNum3602">
    <w:name w:val="RTF_Num 360 2"/>
    <w:rsid w:val="00FF04A3"/>
    <w:rPr>
      <w:rFonts w:ascii="Symbol" w:hAnsi="Symbol" w:hint="default"/>
      <w:color w:val="000000"/>
      <w:shd w:val="clear" w:color="auto" w:fill="FFFFFF"/>
    </w:rPr>
  </w:style>
  <w:style w:type="character" w:customStyle="1" w:styleId="RTFNum3612">
    <w:name w:val="RTF_Num 361 2"/>
    <w:rsid w:val="00FF04A3"/>
    <w:rPr>
      <w:rFonts w:ascii="Symbol" w:hAnsi="Symbol" w:hint="default"/>
      <w:color w:val="000000"/>
      <w:shd w:val="clear" w:color="auto" w:fill="FFFFFF"/>
    </w:rPr>
  </w:style>
  <w:style w:type="character" w:customStyle="1" w:styleId="RTFNum3622">
    <w:name w:val="RTF_Num 362 2"/>
    <w:rsid w:val="00FF04A3"/>
    <w:rPr>
      <w:rFonts w:ascii="Symbol" w:hAnsi="Symbol" w:hint="default"/>
      <w:color w:val="000000"/>
      <w:shd w:val="clear" w:color="auto" w:fill="FFFFFF"/>
    </w:rPr>
  </w:style>
  <w:style w:type="character" w:customStyle="1" w:styleId="RTFNum3632">
    <w:name w:val="RTF_Num 363 2"/>
    <w:rsid w:val="00FF04A3"/>
    <w:rPr>
      <w:rFonts w:ascii="Symbol" w:hAnsi="Symbol" w:hint="default"/>
      <w:color w:val="000000"/>
      <w:shd w:val="clear" w:color="auto" w:fill="FFFFFF"/>
    </w:rPr>
  </w:style>
  <w:style w:type="character" w:customStyle="1" w:styleId="RTFNum3642">
    <w:name w:val="RTF_Num 364 2"/>
    <w:rsid w:val="00FF04A3"/>
    <w:rPr>
      <w:rFonts w:ascii="Symbol" w:hAnsi="Symbol" w:hint="default"/>
      <w:color w:val="000000"/>
      <w:shd w:val="clear" w:color="auto" w:fill="FFFFFF"/>
    </w:rPr>
  </w:style>
  <w:style w:type="character" w:customStyle="1" w:styleId="RTFNum3652">
    <w:name w:val="RTF_Num 365 2"/>
    <w:rsid w:val="00FF04A3"/>
    <w:rPr>
      <w:rFonts w:ascii="Symbol" w:hAnsi="Symbol" w:hint="default"/>
      <w:color w:val="000000"/>
      <w:shd w:val="clear" w:color="auto" w:fill="FFFFFF"/>
    </w:rPr>
  </w:style>
  <w:style w:type="character" w:customStyle="1" w:styleId="RTFNum3662">
    <w:name w:val="RTF_Num 366 2"/>
    <w:rsid w:val="00FF04A3"/>
    <w:rPr>
      <w:rFonts w:ascii="Wingdings" w:hAnsi="Wingdings" w:hint="default"/>
      <w:color w:val="000000"/>
      <w:shd w:val="clear" w:color="auto" w:fill="FFFFFF"/>
    </w:rPr>
  </w:style>
  <w:style w:type="character" w:customStyle="1" w:styleId="RTFNum3672">
    <w:name w:val="RTF_Num 367 2"/>
    <w:rsid w:val="00FF04A3"/>
    <w:rPr>
      <w:rFonts w:ascii="Symbol" w:hAnsi="Symbol" w:hint="default"/>
      <w:color w:val="000000"/>
      <w:shd w:val="clear" w:color="auto" w:fill="FFFFFF"/>
    </w:rPr>
  </w:style>
  <w:style w:type="character" w:customStyle="1" w:styleId="RTFNum3682">
    <w:name w:val="RTF_Num 368 2"/>
    <w:rsid w:val="00FF04A3"/>
    <w:rPr>
      <w:rFonts w:ascii="Symbol" w:hAnsi="Symbol" w:hint="default"/>
      <w:color w:val="000000"/>
      <w:shd w:val="clear" w:color="auto" w:fill="FFFFFF"/>
    </w:rPr>
  </w:style>
  <w:style w:type="character" w:customStyle="1" w:styleId="RTFNum3692">
    <w:name w:val="RTF_Num 369 2"/>
    <w:rsid w:val="00FF04A3"/>
    <w:rPr>
      <w:rFonts w:ascii="Symbol" w:hAnsi="Symbol" w:hint="default"/>
      <w:color w:val="000000"/>
      <w:shd w:val="clear" w:color="auto" w:fill="FFFFFF"/>
    </w:rPr>
  </w:style>
  <w:style w:type="character" w:customStyle="1" w:styleId="RTFNum3702">
    <w:name w:val="RTF_Num 370 2"/>
    <w:rsid w:val="00FF04A3"/>
    <w:rPr>
      <w:rFonts w:ascii="Symbol" w:hAnsi="Symbol" w:hint="default"/>
      <w:color w:val="000000"/>
      <w:shd w:val="clear" w:color="auto" w:fill="FFFFFF"/>
    </w:rPr>
  </w:style>
  <w:style w:type="character" w:customStyle="1" w:styleId="RTFNum3712">
    <w:name w:val="RTF_Num 371 2"/>
    <w:rsid w:val="00FF04A3"/>
    <w:rPr>
      <w:rFonts w:ascii="Symbol" w:hAnsi="Symbol" w:hint="default"/>
      <w:color w:val="000000"/>
      <w:shd w:val="clear" w:color="auto" w:fill="FFFFFF"/>
    </w:rPr>
  </w:style>
  <w:style w:type="character" w:customStyle="1" w:styleId="RTFNum3722">
    <w:name w:val="RTF_Num 372 2"/>
    <w:rsid w:val="00FF04A3"/>
    <w:rPr>
      <w:rFonts w:ascii="Symbol" w:hAnsi="Symbol" w:hint="default"/>
      <w:color w:val="000000"/>
      <w:shd w:val="clear" w:color="auto" w:fill="FFFFFF"/>
    </w:rPr>
  </w:style>
  <w:style w:type="character" w:customStyle="1" w:styleId="RTFNum3732">
    <w:name w:val="RTF_Num 373 2"/>
    <w:rsid w:val="00FF04A3"/>
    <w:rPr>
      <w:rFonts w:ascii="Symbol" w:hAnsi="Symbol" w:hint="default"/>
      <w:color w:val="000000"/>
      <w:shd w:val="clear" w:color="auto" w:fill="FFFFFF"/>
    </w:rPr>
  </w:style>
  <w:style w:type="character" w:customStyle="1" w:styleId="RTFNum3742">
    <w:name w:val="RTF_Num 374 2"/>
    <w:rsid w:val="00FF04A3"/>
    <w:rPr>
      <w:rFonts w:ascii="Symbol" w:hAnsi="Symbol" w:hint="default"/>
      <w:color w:val="000000"/>
      <w:shd w:val="clear" w:color="auto" w:fill="FFFFFF"/>
    </w:rPr>
  </w:style>
  <w:style w:type="character" w:customStyle="1" w:styleId="RTFNum3752">
    <w:name w:val="RTF_Num 375 2"/>
    <w:rsid w:val="00FF04A3"/>
    <w:rPr>
      <w:rFonts w:ascii="Wingdings" w:hAnsi="Wingdings" w:hint="default"/>
      <w:color w:val="000000"/>
      <w:shd w:val="clear" w:color="auto" w:fill="FFFFFF"/>
    </w:rPr>
  </w:style>
  <w:style w:type="character" w:customStyle="1" w:styleId="RTFNum3762">
    <w:name w:val="RTF_Num 376 2"/>
    <w:rsid w:val="00FF04A3"/>
    <w:rPr>
      <w:rFonts w:ascii="Wingdings" w:hAnsi="Wingdings" w:hint="default"/>
      <w:color w:val="000000"/>
      <w:shd w:val="clear" w:color="auto" w:fill="FFFFFF"/>
    </w:rPr>
  </w:style>
  <w:style w:type="character" w:customStyle="1" w:styleId="RTFNum3772">
    <w:name w:val="RTF_Num 377 2"/>
    <w:rsid w:val="00FF04A3"/>
    <w:rPr>
      <w:rFonts w:ascii="Wingdings" w:hAnsi="Wingdings" w:hint="default"/>
      <w:color w:val="000000"/>
      <w:shd w:val="clear" w:color="auto" w:fill="FFFFFF"/>
    </w:rPr>
  </w:style>
  <w:style w:type="character" w:customStyle="1" w:styleId="RTFNum3782">
    <w:name w:val="RTF_Num 378 2"/>
    <w:rsid w:val="00FF04A3"/>
    <w:rPr>
      <w:rFonts w:ascii="Wingdings" w:hAnsi="Wingdings" w:hint="default"/>
      <w:color w:val="000000"/>
      <w:shd w:val="clear" w:color="auto" w:fill="FFFFFF"/>
    </w:rPr>
  </w:style>
  <w:style w:type="character" w:customStyle="1" w:styleId="RTFNum3792">
    <w:name w:val="RTF_Num 379 2"/>
    <w:rsid w:val="00FF04A3"/>
    <w:rPr>
      <w:rFonts w:ascii="Wingdings" w:hAnsi="Wingdings" w:hint="default"/>
      <w:color w:val="000000"/>
      <w:shd w:val="clear" w:color="auto" w:fill="FFFFFF"/>
    </w:rPr>
  </w:style>
  <w:style w:type="character" w:customStyle="1" w:styleId="RTFNum3802">
    <w:name w:val="RTF_Num 380 2"/>
    <w:rsid w:val="00FF04A3"/>
    <w:rPr>
      <w:rFonts w:ascii="Wingdings" w:hAnsi="Wingdings" w:hint="default"/>
      <w:color w:val="000000"/>
      <w:shd w:val="clear" w:color="auto" w:fill="FFFFFF"/>
    </w:rPr>
  </w:style>
  <w:style w:type="character" w:customStyle="1" w:styleId="RTFNum3812">
    <w:name w:val="RTF_Num 381 2"/>
    <w:rsid w:val="00FF04A3"/>
    <w:rPr>
      <w:rFonts w:ascii="Symbol" w:hAnsi="Symbol" w:hint="default"/>
      <w:color w:val="000000"/>
      <w:shd w:val="clear" w:color="auto" w:fill="FFFFFF"/>
    </w:rPr>
  </w:style>
  <w:style w:type="character" w:customStyle="1" w:styleId="RTFNum3822">
    <w:name w:val="RTF_Num 382 2"/>
    <w:rsid w:val="00FF04A3"/>
    <w:rPr>
      <w:rFonts w:ascii="Symbol" w:hAnsi="Symbol" w:hint="default"/>
      <w:color w:val="000000"/>
      <w:shd w:val="clear" w:color="auto" w:fill="FFFFFF"/>
    </w:rPr>
  </w:style>
  <w:style w:type="character" w:customStyle="1" w:styleId="RTFNum3832">
    <w:name w:val="RTF_Num 383 2"/>
    <w:rsid w:val="00FF04A3"/>
    <w:rPr>
      <w:rFonts w:ascii="Wingdings" w:hAnsi="Wingdings" w:hint="default"/>
      <w:color w:val="000000"/>
      <w:shd w:val="clear" w:color="auto" w:fill="FFFFFF"/>
    </w:rPr>
  </w:style>
  <w:style w:type="character" w:customStyle="1" w:styleId="RTFNum3842">
    <w:name w:val="RTF_Num 384 2"/>
    <w:rsid w:val="00FF04A3"/>
    <w:rPr>
      <w:rFonts w:ascii="Wingdings" w:hAnsi="Wingdings" w:hint="default"/>
      <w:color w:val="000000"/>
      <w:shd w:val="clear" w:color="auto" w:fill="FFFFFF"/>
    </w:rPr>
  </w:style>
  <w:style w:type="character" w:customStyle="1" w:styleId="RTFNum3852">
    <w:name w:val="RTF_Num 385 2"/>
    <w:rsid w:val="00FF04A3"/>
    <w:rPr>
      <w:rFonts w:ascii="Symbol" w:hAnsi="Symbol" w:hint="default"/>
      <w:color w:val="000000"/>
      <w:shd w:val="clear" w:color="auto" w:fill="FFFFFF"/>
    </w:rPr>
  </w:style>
  <w:style w:type="character" w:customStyle="1" w:styleId="RTFNum3862">
    <w:name w:val="RTF_Num 386 2"/>
    <w:rsid w:val="00FF04A3"/>
    <w:rPr>
      <w:rFonts w:ascii="Symbol" w:hAnsi="Symbol" w:hint="default"/>
      <w:color w:val="000000"/>
      <w:shd w:val="clear" w:color="auto" w:fill="FFFFFF"/>
    </w:rPr>
  </w:style>
  <w:style w:type="character" w:customStyle="1" w:styleId="RTFNum3872">
    <w:name w:val="RTF_Num 387 2"/>
    <w:rsid w:val="00FF04A3"/>
    <w:rPr>
      <w:rFonts w:ascii="Symbol" w:hAnsi="Symbol" w:hint="default"/>
      <w:color w:val="000000"/>
      <w:shd w:val="clear" w:color="auto" w:fill="FFFFFF"/>
    </w:rPr>
  </w:style>
  <w:style w:type="character" w:customStyle="1" w:styleId="RTFNum3882">
    <w:name w:val="RTF_Num 388 2"/>
    <w:rsid w:val="00FF04A3"/>
    <w:rPr>
      <w:rFonts w:ascii="Symbol" w:hAnsi="Symbol" w:hint="default"/>
      <w:color w:val="000000"/>
      <w:shd w:val="clear" w:color="auto" w:fill="FFFFFF"/>
    </w:rPr>
  </w:style>
  <w:style w:type="character" w:customStyle="1" w:styleId="RTFNum3892">
    <w:name w:val="RTF_Num 389 2"/>
    <w:rsid w:val="00FF04A3"/>
    <w:rPr>
      <w:rFonts w:ascii="Symbol" w:hAnsi="Symbol" w:hint="default"/>
      <w:color w:val="000000"/>
      <w:shd w:val="clear" w:color="auto" w:fill="FFFFFF"/>
    </w:rPr>
  </w:style>
  <w:style w:type="character" w:customStyle="1" w:styleId="RTFNum3902">
    <w:name w:val="RTF_Num 390 2"/>
    <w:rsid w:val="00FF04A3"/>
    <w:rPr>
      <w:rFonts w:ascii="Symbol" w:hAnsi="Symbol" w:hint="default"/>
      <w:color w:val="000000"/>
      <w:shd w:val="clear" w:color="auto" w:fill="FFFFFF"/>
    </w:rPr>
  </w:style>
  <w:style w:type="character" w:customStyle="1" w:styleId="RTFNum3912">
    <w:name w:val="RTF_Num 391 2"/>
    <w:rsid w:val="00FF04A3"/>
    <w:rPr>
      <w:rFonts w:ascii="Symbol" w:hAnsi="Symbol" w:hint="default"/>
      <w:color w:val="000000"/>
      <w:shd w:val="clear" w:color="auto" w:fill="FFFFFF"/>
    </w:rPr>
  </w:style>
  <w:style w:type="character" w:customStyle="1" w:styleId="RTFNum3922">
    <w:name w:val="RTF_Num 392 2"/>
    <w:rsid w:val="00FF04A3"/>
    <w:rPr>
      <w:rFonts w:ascii="Symbol" w:hAnsi="Symbol" w:hint="default"/>
      <w:color w:val="000000"/>
      <w:shd w:val="clear" w:color="auto" w:fill="FFFFFF"/>
    </w:rPr>
  </w:style>
  <w:style w:type="character" w:customStyle="1" w:styleId="RTFNum3932">
    <w:name w:val="RTF_Num 393 2"/>
    <w:rsid w:val="00FF04A3"/>
    <w:rPr>
      <w:rFonts w:ascii="Symbol" w:hAnsi="Symbol" w:hint="default"/>
      <w:color w:val="000000"/>
      <w:shd w:val="clear" w:color="auto" w:fill="FFFFFF"/>
    </w:rPr>
  </w:style>
  <w:style w:type="character" w:customStyle="1" w:styleId="RTFNum3942">
    <w:name w:val="RTF_Num 394 2"/>
    <w:rsid w:val="00FF04A3"/>
    <w:rPr>
      <w:rFonts w:ascii="Symbol" w:hAnsi="Symbol" w:hint="default"/>
      <w:color w:val="000000"/>
      <w:shd w:val="clear" w:color="auto" w:fill="FFFFFF"/>
    </w:rPr>
  </w:style>
  <w:style w:type="character" w:customStyle="1" w:styleId="RTFNum3952">
    <w:name w:val="RTF_Num 395 2"/>
    <w:rsid w:val="00FF04A3"/>
    <w:rPr>
      <w:rFonts w:ascii="Symbol" w:hAnsi="Symbol" w:hint="default"/>
      <w:color w:val="000000"/>
      <w:shd w:val="clear" w:color="auto" w:fill="FFFFFF"/>
    </w:rPr>
  </w:style>
  <w:style w:type="character" w:customStyle="1" w:styleId="RTFNum3962">
    <w:name w:val="RTF_Num 396 2"/>
    <w:rsid w:val="00FF04A3"/>
    <w:rPr>
      <w:rFonts w:ascii="Symbol" w:hAnsi="Symbol" w:hint="default"/>
      <w:color w:val="000000"/>
      <w:shd w:val="clear" w:color="auto" w:fill="FFFFFF"/>
    </w:rPr>
  </w:style>
  <w:style w:type="character" w:customStyle="1" w:styleId="RTFNum3972">
    <w:name w:val="RTF_Num 397 2"/>
    <w:rsid w:val="00FF04A3"/>
    <w:rPr>
      <w:rFonts w:ascii="Symbol" w:hAnsi="Symbol" w:hint="default"/>
      <w:color w:val="000000"/>
      <w:shd w:val="clear" w:color="auto" w:fill="FFFFFF"/>
    </w:rPr>
  </w:style>
  <w:style w:type="character" w:customStyle="1" w:styleId="RTFNum3982">
    <w:name w:val="RTF_Num 398 2"/>
    <w:rsid w:val="00FF04A3"/>
    <w:rPr>
      <w:rFonts w:ascii="Symbol" w:hAnsi="Symbol" w:hint="default"/>
      <w:color w:val="000000"/>
      <w:shd w:val="clear" w:color="auto" w:fill="FFFFFF"/>
    </w:rPr>
  </w:style>
  <w:style w:type="character" w:customStyle="1" w:styleId="RTFNum3992">
    <w:name w:val="RTF_Num 399 2"/>
    <w:rsid w:val="00FF04A3"/>
    <w:rPr>
      <w:rFonts w:ascii="Wingdings" w:hAnsi="Wingdings" w:hint="default"/>
      <w:color w:val="000000"/>
      <w:shd w:val="clear" w:color="auto" w:fill="FFFFFF"/>
    </w:rPr>
  </w:style>
  <w:style w:type="character" w:customStyle="1" w:styleId="RTFNum4002">
    <w:name w:val="RTF_Num 400 2"/>
    <w:rsid w:val="00FF04A3"/>
    <w:rPr>
      <w:rFonts w:ascii="Wingdings" w:hAnsi="Wingdings" w:hint="default"/>
      <w:color w:val="000000"/>
      <w:shd w:val="clear" w:color="auto" w:fill="FFFFFF"/>
    </w:rPr>
  </w:style>
  <w:style w:type="character" w:customStyle="1" w:styleId="RTFNum4012">
    <w:name w:val="RTF_Num 401 2"/>
    <w:rsid w:val="00FF04A3"/>
    <w:rPr>
      <w:rFonts w:ascii="Wingdings" w:hAnsi="Wingdings" w:hint="default"/>
      <w:color w:val="000000"/>
      <w:shd w:val="clear" w:color="auto" w:fill="FFFFFF"/>
    </w:rPr>
  </w:style>
  <w:style w:type="character" w:customStyle="1" w:styleId="RTFNum4022">
    <w:name w:val="RTF_Num 402 2"/>
    <w:rsid w:val="00FF04A3"/>
    <w:rPr>
      <w:rFonts w:ascii="Wingdings" w:hAnsi="Wingdings" w:hint="default"/>
      <w:color w:val="000000"/>
      <w:shd w:val="clear" w:color="auto" w:fill="FFFFFF"/>
    </w:rPr>
  </w:style>
  <w:style w:type="character" w:customStyle="1" w:styleId="RTFNum4032">
    <w:name w:val="RTF_Num 403 2"/>
    <w:rsid w:val="00FF04A3"/>
    <w:rPr>
      <w:rFonts w:ascii="Wingdings" w:hAnsi="Wingdings" w:hint="default"/>
      <w:color w:val="000000"/>
      <w:shd w:val="clear" w:color="auto" w:fill="FFFFFF"/>
    </w:rPr>
  </w:style>
  <w:style w:type="character" w:customStyle="1" w:styleId="RTFNum4042">
    <w:name w:val="RTF_Num 404 2"/>
    <w:rsid w:val="00FF04A3"/>
    <w:rPr>
      <w:rFonts w:ascii="Wingdings" w:hAnsi="Wingdings" w:hint="default"/>
      <w:color w:val="000000"/>
      <w:shd w:val="clear" w:color="auto" w:fill="FFFFFF"/>
    </w:rPr>
  </w:style>
  <w:style w:type="character" w:customStyle="1" w:styleId="RTFNum4052">
    <w:name w:val="RTF_Num 405 2"/>
    <w:rsid w:val="00FF04A3"/>
    <w:rPr>
      <w:rFonts w:ascii="Wingdings" w:hAnsi="Wingdings" w:hint="default"/>
      <w:color w:val="000000"/>
      <w:shd w:val="clear" w:color="auto" w:fill="FFFFFF"/>
    </w:rPr>
  </w:style>
  <w:style w:type="character" w:customStyle="1" w:styleId="RTFNum4062">
    <w:name w:val="RTF_Num 406 2"/>
    <w:rsid w:val="00FF04A3"/>
    <w:rPr>
      <w:rFonts w:ascii="Wingdings" w:hAnsi="Wingdings" w:hint="default"/>
      <w:color w:val="000000"/>
      <w:shd w:val="clear" w:color="auto" w:fill="FFFFFF"/>
    </w:rPr>
  </w:style>
  <w:style w:type="character" w:customStyle="1" w:styleId="RTFNum4072">
    <w:name w:val="RTF_Num 407 2"/>
    <w:rsid w:val="00FF04A3"/>
    <w:rPr>
      <w:rFonts w:ascii="Wingdings" w:hAnsi="Wingdings" w:hint="default"/>
      <w:color w:val="000000"/>
      <w:shd w:val="clear" w:color="auto" w:fill="FFFFFF"/>
    </w:rPr>
  </w:style>
  <w:style w:type="character" w:customStyle="1" w:styleId="RTFNum4082">
    <w:name w:val="RTF_Num 408 2"/>
    <w:rsid w:val="00FF04A3"/>
    <w:rPr>
      <w:rFonts w:ascii="Symbol" w:hAnsi="Symbol" w:hint="default"/>
      <w:color w:val="000000"/>
      <w:shd w:val="clear" w:color="auto" w:fill="FFFFFF"/>
    </w:rPr>
  </w:style>
  <w:style w:type="character" w:customStyle="1" w:styleId="RTFNum4092">
    <w:name w:val="RTF_Num 409 2"/>
    <w:rsid w:val="00FF04A3"/>
    <w:rPr>
      <w:rFonts w:ascii="Symbol" w:hAnsi="Symbol" w:hint="default"/>
      <w:color w:val="000000"/>
      <w:shd w:val="clear" w:color="auto" w:fill="FFFFFF"/>
    </w:rPr>
  </w:style>
  <w:style w:type="character" w:customStyle="1" w:styleId="RTFNum4102">
    <w:name w:val="RTF_Num 410 2"/>
    <w:rsid w:val="00FF04A3"/>
    <w:rPr>
      <w:rFonts w:ascii="Symbol" w:hAnsi="Symbol" w:hint="default"/>
      <w:color w:val="000000"/>
      <w:shd w:val="clear" w:color="auto" w:fill="FFFFFF"/>
    </w:rPr>
  </w:style>
  <w:style w:type="character" w:customStyle="1" w:styleId="RTFNum4112">
    <w:name w:val="RTF_Num 411 2"/>
    <w:rsid w:val="00FF04A3"/>
    <w:rPr>
      <w:rFonts w:ascii="Symbol" w:hAnsi="Symbol" w:hint="default"/>
      <w:color w:val="000000"/>
      <w:shd w:val="clear" w:color="auto" w:fill="FFFFFF"/>
    </w:rPr>
  </w:style>
  <w:style w:type="character" w:customStyle="1" w:styleId="RTFNum4122">
    <w:name w:val="RTF_Num 412 2"/>
    <w:rsid w:val="00FF04A3"/>
    <w:rPr>
      <w:rFonts w:ascii="Symbol" w:hAnsi="Symbol" w:hint="default"/>
      <w:color w:val="000000"/>
      <w:shd w:val="clear" w:color="auto" w:fill="FFFFFF"/>
    </w:rPr>
  </w:style>
  <w:style w:type="character" w:customStyle="1" w:styleId="RTFNum4132">
    <w:name w:val="RTF_Num 413 2"/>
    <w:rsid w:val="00FF04A3"/>
    <w:rPr>
      <w:rFonts w:ascii="Wingdings" w:hAnsi="Wingdings" w:hint="default"/>
      <w:color w:val="000000"/>
      <w:shd w:val="clear" w:color="auto" w:fill="FFFFFF"/>
    </w:rPr>
  </w:style>
  <w:style w:type="character" w:customStyle="1" w:styleId="RTFNum4142">
    <w:name w:val="RTF_Num 414 2"/>
    <w:rsid w:val="00FF04A3"/>
    <w:rPr>
      <w:rFonts w:ascii="Wingdings" w:hAnsi="Wingdings" w:hint="default"/>
      <w:color w:val="000000"/>
      <w:shd w:val="clear" w:color="auto" w:fill="FFFFFF"/>
    </w:rPr>
  </w:style>
  <w:style w:type="character" w:customStyle="1" w:styleId="RTFNum4152">
    <w:name w:val="RTF_Num 415 2"/>
    <w:rsid w:val="00FF04A3"/>
    <w:rPr>
      <w:rFonts w:ascii="Wingdings" w:hAnsi="Wingdings" w:hint="default"/>
      <w:color w:val="000000"/>
      <w:shd w:val="clear" w:color="auto" w:fill="FFFFFF"/>
    </w:rPr>
  </w:style>
  <w:style w:type="character" w:customStyle="1" w:styleId="RTFNum4162">
    <w:name w:val="RTF_Num 416 2"/>
    <w:rsid w:val="00FF04A3"/>
    <w:rPr>
      <w:rFonts w:ascii="Wingdings" w:hAnsi="Wingdings" w:hint="default"/>
      <w:color w:val="000000"/>
      <w:shd w:val="clear" w:color="auto" w:fill="FFFFFF"/>
    </w:rPr>
  </w:style>
  <w:style w:type="character" w:customStyle="1" w:styleId="RTFNum4172">
    <w:name w:val="RTF_Num 417 2"/>
    <w:rsid w:val="00FF04A3"/>
    <w:rPr>
      <w:rFonts w:ascii="Wingdings" w:hAnsi="Wingdings" w:hint="default"/>
      <w:color w:val="000000"/>
      <w:shd w:val="clear" w:color="auto" w:fill="FFFFFF"/>
    </w:rPr>
  </w:style>
  <w:style w:type="character" w:customStyle="1" w:styleId="RTFNum4182">
    <w:name w:val="RTF_Num 418 2"/>
    <w:rsid w:val="00FF04A3"/>
    <w:rPr>
      <w:rFonts w:ascii="Wingdings" w:hAnsi="Wingdings" w:hint="default"/>
      <w:color w:val="000000"/>
      <w:shd w:val="clear" w:color="auto" w:fill="FFFFFF"/>
    </w:rPr>
  </w:style>
  <w:style w:type="character" w:customStyle="1" w:styleId="RTFNum4192">
    <w:name w:val="RTF_Num 419 2"/>
    <w:rsid w:val="00FF04A3"/>
    <w:rPr>
      <w:rFonts w:ascii="Symbol" w:hAnsi="Symbol" w:hint="default"/>
      <w:color w:val="000000"/>
      <w:shd w:val="clear" w:color="auto" w:fill="FFFFFF"/>
    </w:rPr>
  </w:style>
  <w:style w:type="character" w:customStyle="1" w:styleId="RTFNum4202">
    <w:name w:val="RTF_Num 420 2"/>
    <w:rsid w:val="00FF04A3"/>
    <w:rPr>
      <w:rFonts w:ascii="Symbol" w:hAnsi="Symbol" w:hint="default"/>
      <w:color w:val="000000"/>
      <w:shd w:val="clear" w:color="auto" w:fill="FFFFFF"/>
    </w:rPr>
  </w:style>
  <w:style w:type="character" w:customStyle="1" w:styleId="RTFNum4212">
    <w:name w:val="RTF_Num 421 2"/>
    <w:rsid w:val="00FF04A3"/>
    <w:rPr>
      <w:rFonts w:ascii="Wingdings" w:hAnsi="Wingdings" w:hint="default"/>
      <w:color w:val="000000"/>
      <w:shd w:val="clear" w:color="auto" w:fill="FFFFFF"/>
    </w:rPr>
  </w:style>
  <w:style w:type="character" w:customStyle="1" w:styleId="RTFNum4222">
    <w:name w:val="RTF_Num 422 2"/>
    <w:rsid w:val="00FF04A3"/>
    <w:rPr>
      <w:rFonts w:ascii="Wingdings" w:hAnsi="Wingdings" w:hint="default"/>
      <w:color w:val="000000"/>
      <w:shd w:val="clear" w:color="auto" w:fill="FFFFFF"/>
    </w:rPr>
  </w:style>
  <w:style w:type="character" w:customStyle="1" w:styleId="RTFNum4232">
    <w:name w:val="RTF_Num 423 2"/>
    <w:rsid w:val="00FF04A3"/>
    <w:rPr>
      <w:rFonts w:ascii="Symbol" w:hAnsi="Symbol" w:hint="default"/>
      <w:color w:val="000000"/>
      <w:shd w:val="clear" w:color="auto" w:fill="FFFFFF"/>
    </w:rPr>
  </w:style>
  <w:style w:type="character" w:customStyle="1" w:styleId="RTFNum4242">
    <w:name w:val="RTF_Num 424 2"/>
    <w:rsid w:val="00FF04A3"/>
    <w:rPr>
      <w:rFonts w:ascii="Wingdings" w:hAnsi="Wingdings" w:hint="default"/>
      <w:color w:val="000000"/>
      <w:shd w:val="clear" w:color="auto" w:fill="FFFFFF"/>
    </w:rPr>
  </w:style>
  <w:style w:type="character" w:customStyle="1" w:styleId="RTFNum4252">
    <w:name w:val="RTF_Num 425 2"/>
    <w:rsid w:val="00FF04A3"/>
    <w:rPr>
      <w:rFonts w:ascii="Wingdings" w:hAnsi="Wingdings" w:hint="default"/>
      <w:color w:val="000000"/>
      <w:shd w:val="clear" w:color="auto" w:fill="FFFFFF"/>
    </w:rPr>
  </w:style>
  <w:style w:type="character" w:customStyle="1" w:styleId="RTFNum4262">
    <w:name w:val="RTF_Num 426 2"/>
    <w:rsid w:val="00FF04A3"/>
    <w:rPr>
      <w:rFonts w:ascii="Symbol" w:hAnsi="Symbol" w:hint="default"/>
      <w:color w:val="000000"/>
      <w:shd w:val="clear" w:color="auto" w:fill="FFFFFF"/>
    </w:rPr>
  </w:style>
  <w:style w:type="character" w:customStyle="1" w:styleId="RTFNum4272">
    <w:name w:val="RTF_Num 427 2"/>
    <w:rsid w:val="00FF04A3"/>
    <w:rPr>
      <w:rFonts w:ascii="Wingdings" w:hAnsi="Wingdings" w:hint="default"/>
      <w:color w:val="000000"/>
      <w:shd w:val="clear" w:color="auto" w:fill="FFFFFF"/>
    </w:rPr>
  </w:style>
  <w:style w:type="character" w:customStyle="1" w:styleId="RTFNum4282">
    <w:name w:val="RTF_Num 428 2"/>
    <w:rsid w:val="00FF04A3"/>
    <w:rPr>
      <w:rFonts w:ascii="Symbol" w:hAnsi="Symbol" w:hint="default"/>
      <w:color w:val="000000"/>
      <w:shd w:val="clear" w:color="auto" w:fill="FFFFFF"/>
    </w:rPr>
  </w:style>
  <w:style w:type="character" w:customStyle="1" w:styleId="RTFNum4292">
    <w:name w:val="RTF_Num 429 2"/>
    <w:rsid w:val="00FF04A3"/>
    <w:rPr>
      <w:rFonts w:ascii="Symbol" w:hAnsi="Symbol" w:hint="default"/>
      <w:color w:val="000000"/>
      <w:shd w:val="clear" w:color="auto" w:fill="FFFFFF"/>
    </w:rPr>
  </w:style>
  <w:style w:type="character" w:customStyle="1" w:styleId="RTFNum22">
    <w:name w:val="RTF_Num 2 2"/>
    <w:qFormat/>
    <w:rsid w:val="00FF04A3"/>
    <w:rPr>
      <w:rFonts w:ascii="Symbol" w:hAnsi="Symbol" w:hint="default"/>
      <w:color w:val="000000"/>
      <w:u w:val="single"/>
      <w:shd w:val="clear" w:color="auto" w:fill="FFFFFF"/>
    </w:rPr>
  </w:style>
  <w:style w:type="character" w:customStyle="1" w:styleId="RTFNum52">
    <w:name w:val="RTF_Num 5 2"/>
    <w:rsid w:val="00FF04A3"/>
    <w:rPr>
      <w:rFonts w:ascii="Wingdings" w:hAnsi="Wingdings" w:hint="default"/>
      <w:color w:val="000000"/>
      <w:u w:val="single"/>
      <w:shd w:val="clear" w:color="auto" w:fill="FFFFFF"/>
    </w:rPr>
  </w:style>
  <w:style w:type="character" w:customStyle="1" w:styleId="RTFNum62">
    <w:name w:val="RTF_Num 6 2"/>
    <w:rsid w:val="00FF04A3"/>
    <w:rPr>
      <w:rFonts w:ascii="Wingdings" w:hAnsi="Wingdings" w:hint="default"/>
      <w:color w:val="000000"/>
      <w:u w:val="single"/>
      <w:shd w:val="clear" w:color="auto" w:fill="FFFFFF"/>
    </w:rPr>
  </w:style>
  <w:style w:type="character" w:customStyle="1" w:styleId="RTFNum72">
    <w:name w:val="RTF_Num 7 2"/>
    <w:rsid w:val="00FF04A3"/>
    <w:rPr>
      <w:rFonts w:ascii="Wingdings" w:hAnsi="Wingdings" w:hint="default"/>
      <w:color w:val="000000"/>
      <w:u w:val="single"/>
      <w:shd w:val="clear" w:color="auto" w:fill="FFFFFF"/>
    </w:rPr>
  </w:style>
  <w:style w:type="character" w:customStyle="1" w:styleId="NumberingSymbols">
    <w:name w:val="Numbering Symbols"/>
    <w:rsid w:val="00FF04A3"/>
    <w:rPr>
      <w:rFonts w:ascii="Arial" w:hAnsi="Arial" w:cs="Arial" w:hint="default"/>
      <w:color w:val="000000"/>
      <w:u w:val="single"/>
      <w:shd w:val="clear" w:color="auto" w:fill="FFFFFF"/>
    </w:rPr>
  </w:style>
  <w:style w:type="character" w:customStyle="1" w:styleId="RTFNum102">
    <w:name w:val="RTF_Num 10 2"/>
    <w:rsid w:val="00FF04A3"/>
    <w:rPr>
      <w:rFonts w:ascii="Symbol" w:hAnsi="Symbol" w:hint="default"/>
      <w:color w:val="000000"/>
      <w:u w:val="single"/>
      <w:shd w:val="clear" w:color="auto" w:fill="FFFFFF"/>
    </w:rPr>
  </w:style>
  <w:style w:type="character" w:customStyle="1" w:styleId="RTFNum23">
    <w:name w:val="RTF_Num 2 3"/>
    <w:qFormat/>
    <w:rsid w:val="00FF04A3"/>
    <w:rPr>
      <w:rFonts w:ascii="Wingdings" w:hAnsi="Wingdings" w:hint="default"/>
      <w:color w:val="000000"/>
      <w:u w:val="single"/>
      <w:shd w:val="clear" w:color="auto" w:fill="FFFFFF"/>
    </w:rPr>
  </w:style>
  <w:style w:type="character" w:customStyle="1" w:styleId="RTFNum24">
    <w:name w:val="RTF_Num 2 4"/>
    <w:qFormat/>
    <w:rsid w:val="00FF04A3"/>
    <w:rPr>
      <w:rFonts w:ascii="Symbol" w:hAnsi="Symbol" w:hint="default"/>
      <w:color w:val="000000"/>
      <w:u w:val="single"/>
      <w:shd w:val="clear" w:color="auto" w:fill="FFFFFF"/>
    </w:rPr>
  </w:style>
  <w:style w:type="character" w:customStyle="1" w:styleId="RTFNum25">
    <w:name w:val="RTF_Num 2 5"/>
    <w:qFormat/>
    <w:rsid w:val="00FF04A3"/>
    <w:rPr>
      <w:rFonts w:ascii="Courier New" w:hAnsi="Courier New" w:cs="Courier New" w:hint="default"/>
      <w:color w:val="000000"/>
      <w:u w:val="single"/>
      <w:shd w:val="clear" w:color="auto" w:fill="FFFFFF"/>
    </w:rPr>
  </w:style>
  <w:style w:type="character" w:customStyle="1" w:styleId="RTFNum26">
    <w:name w:val="RTF_Num 2 6"/>
    <w:qFormat/>
    <w:rsid w:val="00FF04A3"/>
    <w:rPr>
      <w:rFonts w:ascii="Wingdings" w:hAnsi="Wingdings" w:hint="default"/>
      <w:color w:val="000000"/>
      <w:u w:val="single"/>
      <w:shd w:val="clear" w:color="auto" w:fill="FFFFFF"/>
    </w:rPr>
  </w:style>
  <w:style w:type="character" w:customStyle="1" w:styleId="RTFNum27">
    <w:name w:val="RTF_Num 2 7"/>
    <w:qFormat/>
    <w:rsid w:val="00FF04A3"/>
    <w:rPr>
      <w:rFonts w:ascii="Symbol" w:hAnsi="Symbol" w:hint="default"/>
      <w:color w:val="000000"/>
      <w:u w:val="single"/>
      <w:shd w:val="clear" w:color="auto" w:fill="FFFFFF"/>
    </w:rPr>
  </w:style>
  <w:style w:type="character" w:customStyle="1" w:styleId="RTFNum28">
    <w:name w:val="RTF_Num 2 8"/>
    <w:qFormat/>
    <w:rsid w:val="00FF04A3"/>
    <w:rPr>
      <w:rFonts w:ascii="Courier New" w:hAnsi="Courier New" w:cs="Courier New" w:hint="default"/>
      <w:color w:val="000000"/>
      <w:u w:val="single"/>
      <w:shd w:val="clear" w:color="auto" w:fill="FFFFFF"/>
    </w:rPr>
  </w:style>
  <w:style w:type="character" w:customStyle="1" w:styleId="RTFNum29">
    <w:name w:val="RTF_Num 2 9"/>
    <w:qFormat/>
    <w:rsid w:val="00FF04A3"/>
    <w:rPr>
      <w:rFonts w:ascii="Wingdings" w:hAnsi="Wingdings" w:hint="default"/>
      <w:color w:val="000000"/>
      <w:u w:val="single"/>
      <w:shd w:val="clear" w:color="auto" w:fill="FFFFFF"/>
    </w:rPr>
  </w:style>
  <w:style w:type="character" w:customStyle="1" w:styleId="RTFNum92">
    <w:name w:val="RTF_Num 9 2"/>
    <w:rsid w:val="00FF04A3"/>
    <w:rPr>
      <w:rFonts w:ascii="Symbol" w:hAnsi="Symbol" w:hint="default"/>
      <w:color w:val="000000"/>
      <w:u w:val="single"/>
      <w:shd w:val="clear" w:color="auto" w:fill="FFFFFF"/>
    </w:rPr>
  </w:style>
  <w:style w:type="character" w:customStyle="1" w:styleId="RTFNum112">
    <w:name w:val="RTF_Num 11 2"/>
    <w:rsid w:val="00FF04A3"/>
    <w:rPr>
      <w:rFonts w:ascii="Symbol" w:hAnsi="Symbol" w:hint="default"/>
      <w:color w:val="000000"/>
      <w:u w:val="single"/>
      <w:shd w:val="clear" w:color="auto" w:fill="FFFFFF"/>
    </w:rPr>
  </w:style>
  <w:style w:type="character" w:customStyle="1" w:styleId="RTFNum172">
    <w:name w:val="RTF_Num 17 2"/>
    <w:rsid w:val="00FF04A3"/>
    <w:rPr>
      <w:rFonts w:ascii="Symbol" w:hAnsi="Symbol" w:hint="default"/>
      <w:color w:val="000000"/>
      <w:u w:val="single"/>
      <w:shd w:val="clear" w:color="auto" w:fill="FFFFFF"/>
    </w:rPr>
  </w:style>
  <w:style w:type="character" w:customStyle="1" w:styleId="RTFNum202">
    <w:name w:val="RTF_Num 20 2"/>
    <w:rsid w:val="00FF04A3"/>
    <w:rPr>
      <w:rFonts w:ascii="Symbol" w:hAnsi="Symbol" w:hint="default"/>
      <w:color w:val="000000"/>
      <w:u w:val="single"/>
      <w:shd w:val="clear" w:color="auto" w:fill="FFFFFF"/>
    </w:rPr>
  </w:style>
  <w:style w:type="character" w:customStyle="1" w:styleId="RTFNum222">
    <w:name w:val="RTF_Num 22 2"/>
    <w:rsid w:val="00FF04A3"/>
    <w:rPr>
      <w:rFonts w:ascii="Symbol" w:hAnsi="Symbol" w:hint="default"/>
      <w:color w:val="000000"/>
      <w:u w:val="single"/>
      <w:shd w:val="clear" w:color="auto" w:fill="FFFFFF"/>
    </w:rPr>
  </w:style>
  <w:style w:type="character" w:customStyle="1" w:styleId="RTFNum232">
    <w:name w:val="RTF_Num 23 2"/>
    <w:rsid w:val="00FF04A3"/>
    <w:rPr>
      <w:rFonts w:ascii="Symbol" w:hAnsi="Symbol" w:hint="default"/>
      <w:color w:val="000000"/>
      <w:u w:val="single"/>
      <w:shd w:val="clear" w:color="auto" w:fill="FFFFFF"/>
    </w:rPr>
  </w:style>
  <w:style w:type="character" w:customStyle="1" w:styleId="RTFNum252">
    <w:name w:val="RTF_Num 25 2"/>
    <w:rsid w:val="00FF04A3"/>
    <w:rPr>
      <w:rFonts w:ascii="Wingdings" w:hAnsi="Wingdings" w:hint="default"/>
      <w:color w:val="000000"/>
      <w:u w:val="single"/>
      <w:shd w:val="clear" w:color="auto" w:fill="FFFFFF"/>
    </w:rPr>
  </w:style>
  <w:style w:type="character" w:customStyle="1" w:styleId="RTFNum312">
    <w:name w:val="RTF_Num 31 2"/>
    <w:rsid w:val="00FF04A3"/>
    <w:rPr>
      <w:rFonts w:ascii="Symbol" w:hAnsi="Symbol" w:hint="default"/>
      <w:color w:val="000000"/>
      <w:u w:val="single"/>
      <w:shd w:val="clear" w:color="auto" w:fill="FFFFFF"/>
    </w:rPr>
  </w:style>
  <w:style w:type="character" w:customStyle="1" w:styleId="RTFNum332">
    <w:name w:val="RTF_Num 33 2"/>
    <w:rsid w:val="00FF04A3"/>
    <w:rPr>
      <w:rFonts w:ascii="Wingdings" w:hAnsi="Wingdings" w:hint="default"/>
      <w:color w:val="000000"/>
      <w:u w:val="single"/>
      <w:shd w:val="clear" w:color="auto" w:fill="FFFFFF"/>
    </w:rPr>
  </w:style>
  <w:style w:type="character" w:customStyle="1" w:styleId="RTFNum372">
    <w:name w:val="RTF_Num 37 2"/>
    <w:rsid w:val="00FF04A3"/>
    <w:rPr>
      <w:rFonts w:ascii="Symbol" w:hAnsi="Symbol" w:hint="default"/>
      <w:color w:val="000000"/>
      <w:u w:val="single"/>
      <w:shd w:val="clear" w:color="auto" w:fill="FFFFFF"/>
    </w:rPr>
  </w:style>
  <w:style w:type="character" w:customStyle="1" w:styleId="RTFNum432">
    <w:name w:val="RTF_Num 43 2"/>
    <w:rsid w:val="00FF04A3"/>
    <w:rPr>
      <w:rFonts w:ascii="Symbol" w:hAnsi="Symbol" w:hint="default"/>
      <w:color w:val="000000"/>
      <w:u w:val="single"/>
      <w:shd w:val="clear" w:color="auto" w:fill="FFFFFF"/>
    </w:rPr>
  </w:style>
  <w:style w:type="character" w:customStyle="1" w:styleId="RTFNum1142">
    <w:name w:val="RTF_Num 114 2"/>
    <w:rsid w:val="00FF04A3"/>
    <w:rPr>
      <w:rFonts w:ascii="Symbol" w:hAnsi="Symbol" w:hint="default"/>
      <w:color w:val="000000"/>
      <w:u w:val="single"/>
      <w:shd w:val="clear" w:color="auto" w:fill="FFFFFF"/>
    </w:rPr>
  </w:style>
  <w:style w:type="character" w:customStyle="1" w:styleId="RTFNum1162">
    <w:name w:val="RTF_Num 116 2"/>
    <w:rsid w:val="00FF04A3"/>
    <w:rPr>
      <w:rFonts w:ascii="Symbol" w:hAnsi="Symbol" w:hint="default"/>
      <w:color w:val="000000"/>
      <w:u w:val="single"/>
      <w:shd w:val="clear" w:color="auto" w:fill="FFFFFF"/>
    </w:rPr>
  </w:style>
  <w:style w:type="character" w:customStyle="1" w:styleId="RTFNum1242">
    <w:name w:val="RTF_Num 124 2"/>
    <w:rsid w:val="00FF04A3"/>
    <w:rPr>
      <w:rFonts w:ascii="Symbol" w:hAnsi="Symbol" w:hint="default"/>
      <w:color w:val="000000"/>
      <w:u w:val="single"/>
      <w:shd w:val="clear" w:color="auto" w:fill="FFFFFF"/>
    </w:rPr>
  </w:style>
  <w:style w:type="character" w:customStyle="1" w:styleId="RTFNum1252">
    <w:name w:val="RTF_Num 125 2"/>
    <w:rsid w:val="00FF04A3"/>
    <w:rPr>
      <w:rFonts w:ascii="Symbol" w:hAnsi="Symbol" w:hint="default"/>
      <w:color w:val="000000"/>
      <w:u w:val="single"/>
      <w:shd w:val="clear" w:color="auto" w:fill="FFFFFF"/>
    </w:rPr>
  </w:style>
  <w:style w:type="character" w:customStyle="1" w:styleId="RTFNum1272">
    <w:name w:val="RTF_Num 127 2"/>
    <w:rsid w:val="00FF04A3"/>
    <w:rPr>
      <w:rFonts w:ascii="Symbol" w:hAnsi="Symbol" w:hint="default"/>
      <w:color w:val="000000"/>
      <w:u w:val="single"/>
      <w:shd w:val="clear" w:color="auto" w:fill="FFFFFF"/>
    </w:rPr>
  </w:style>
  <w:style w:type="character" w:customStyle="1" w:styleId="RTFNum1282">
    <w:name w:val="RTF_Num 128 2"/>
    <w:rsid w:val="00FF04A3"/>
    <w:rPr>
      <w:rFonts w:ascii="Symbol" w:hAnsi="Symbol" w:hint="default"/>
      <w:color w:val="000000"/>
      <w:u w:val="single"/>
      <w:shd w:val="clear" w:color="auto" w:fill="FFFFFF"/>
    </w:rPr>
  </w:style>
  <w:style w:type="character" w:customStyle="1" w:styleId="EstiloCorreo15">
    <w:name w:val="EstiloCorreo15"/>
    <w:rsid w:val="00FF04A3"/>
    <w:rPr>
      <w:rFonts w:ascii="Arial" w:hAnsi="Arial" w:cs="Arial" w:hint="default"/>
      <w:color w:val="000080"/>
    </w:rPr>
  </w:style>
  <w:style w:type="character" w:customStyle="1" w:styleId="st">
    <w:name w:val="st"/>
    <w:rsid w:val="00FF04A3"/>
  </w:style>
  <w:style w:type="character" w:customStyle="1" w:styleId="srtitle1">
    <w:name w:val="srtitle1"/>
    <w:rsid w:val="00FF04A3"/>
    <w:rPr>
      <w:b/>
      <w:bCs/>
    </w:rPr>
  </w:style>
  <w:style w:type="character" w:customStyle="1" w:styleId="resultindex2">
    <w:name w:val="resultindex2"/>
    <w:rsid w:val="00FF04A3"/>
    <w:rPr>
      <w:color w:val="000000"/>
    </w:rPr>
  </w:style>
  <w:style w:type="character" w:customStyle="1" w:styleId="bindingblock1">
    <w:name w:val="bindingblock1"/>
    <w:rsid w:val="00FF04A3"/>
  </w:style>
  <w:style w:type="character" w:customStyle="1" w:styleId="binding1">
    <w:name w:val="binding1"/>
    <w:rsid w:val="00FF04A3"/>
    <w:rPr>
      <w:b/>
      <w:bCs/>
    </w:rPr>
  </w:style>
  <w:style w:type="character" w:customStyle="1" w:styleId="postbody1">
    <w:name w:val="postbody1"/>
    <w:rsid w:val="00FF04A3"/>
  </w:style>
  <w:style w:type="character" w:customStyle="1" w:styleId="RTFNum41">
    <w:name w:val="RTF_Num 4 1"/>
    <w:rsid w:val="00FF04A3"/>
    <w:rPr>
      <w:rFonts w:ascii="Symbol" w:hAnsi="Symbol" w:hint="default"/>
      <w:color w:val="000000"/>
      <w:shd w:val="clear" w:color="auto" w:fill="FFFFFF"/>
    </w:rPr>
  </w:style>
  <w:style w:type="character" w:customStyle="1" w:styleId="RTFNum43">
    <w:name w:val="RTF_Num 4 3"/>
    <w:rsid w:val="00FF04A3"/>
    <w:rPr>
      <w:rFonts w:ascii="Wingdings" w:hAnsi="Wingdings" w:hint="default"/>
      <w:color w:val="000000"/>
      <w:shd w:val="clear" w:color="auto" w:fill="FFFFFF"/>
    </w:rPr>
  </w:style>
  <w:style w:type="character" w:customStyle="1" w:styleId="RTFNum44">
    <w:name w:val="RTF_Num 4 4"/>
    <w:rsid w:val="00FF04A3"/>
    <w:rPr>
      <w:rFonts w:ascii="Symbol" w:hAnsi="Symbol" w:hint="default"/>
      <w:color w:val="000000"/>
      <w:shd w:val="clear" w:color="auto" w:fill="FFFFFF"/>
    </w:rPr>
  </w:style>
  <w:style w:type="character" w:customStyle="1" w:styleId="RTFNum45">
    <w:name w:val="RTF_Num 4 5"/>
    <w:rsid w:val="00FF04A3"/>
    <w:rPr>
      <w:rFonts w:ascii="Courier New" w:hAnsi="Courier New" w:cs="Courier New" w:hint="default"/>
      <w:color w:val="000000"/>
      <w:shd w:val="clear" w:color="auto" w:fill="FFFFFF"/>
    </w:rPr>
  </w:style>
  <w:style w:type="character" w:customStyle="1" w:styleId="RTFNum46">
    <w:name w:val="RTF_Num 4 6"/>
    <w:rsid w:val="00FF04A3"/>
    <w:rPr>
      <w:rFonts w:ascii="Wingdings" w:hAnsi="Wingdings" w:hint="default"/>
      <w:color w:val="000000"/>
      <w:shd w:val="clear" w:color="auto" w:fill="FFFFFF"/>
    </w:rPr>
  </w:style>
  <w:style w:type="character" w:customStyle="1" w:styleId="RTFNum47">
    <w:name w:val="RTF_Num 4 7"/>
    <w:rsid w:val="00FF04A3"/>
    <w:rPr>
      <w:rFonts w:ascii="Symbol" w:hAnsi="Symbol" w:hint="default"/>
      <w:color w:val="000000"/>
      <w:shd w:val="clear" w:color="auto" w:fill="FFFFFF"/>
    </w:rPr>
  </w:style>
  <w:style w:type="character" w:customStyle="1" w:styleId="RTFNum48">
    <w:name w:val="RTF_Num 4 8"/>
    <w:rsid w:val="00FF04A3"/>
    <w:rPr>
      <w:rFonts w:ascii="Courier New" w:hAnsi="Courier New" w:cs="Courier New" w:hint="default"/>
      <w:color w:val="000000"/>
      <w:shd w:val="clear" w:color="auto" w:fill="FFFFFF"/>
    </w:rPr>
  </w:style>
  <w:style w:type="character" w:customStyle="1" w:styleId="RTFNum49">
    <w:name w:val="RTF_Num 4 9"/>
    <w:rsid w:val="00FF04A3"/>
    <w:rPr>
      <w:rFonts w:ascii="Wingdings" w:hAnsi="Wingdings" w:hint="default"/>
      <w:color w:val="000000"/>
      <w:shd w:val="clear" w:color="auto" w:fill="FFFFFF"/>
    </w:rPr>
  </w:style>
  <w:style w:type="character" w:customStyle="1" w:styleId="RTFNum3249">
    <w:name w:val="RTF_Num 324 9"/>
    <w:rsid w:val="00FF04A3"/>
    <w:rPr>
      <w:rFonts w:ascii="Wingdings" w:hAnsi="Wingdings" w:hint="default"/>
    </w:rPr>
  </w:style>
  <w:style w:type="character" w:customStyle="1" w:styleId="RTFNum3377">
    <w:name w:val="RTF_Num 337 7"/>
    <w:rsid w:val="00FF04A3"/>
    <w:rPr>
      <w:rFonts w:ascii="Symbol" w:hAnsi="Symbol" w:hint="default"/>
    </w:rPr>
  </w:style>
  <w:style w:type="character" w:customStyle="1" w:styleId="hasnegrita1">
    <w:name w:val="has_negrita1"/>
    <w:rsid w:val="00FF04A3"/>
    <w:rPr>
      <w:rFonts w:ascii="Times New Roman" w:hAnsi="Times New Roman" w:cs="Times New Roman" w:hint="default"/>
      <w:b/>
      <w:bCs/>
    </w:rPr>
  </w:style>
  <w:style w:type="character" w:customStyle="1" w:styleId="WW8Num52z0">
    <w:name w:val="WW8Num52z0"/>
    <w:rsid w:val="00FF04A3"/>
    <w:rPr>
      <w:rFonts w:ascii="Calibri" w:hAnsi="Calibri" w:hint="default"/>
    </w:rPr>
  </w:style>
  <w:style w:type="character" w:customStyle="1" w:styleId="WW8Num52z1">
    <w:name w:val="WW8Num52z1"/>
    <w:rsid w:val="00FF04A3"/>
    <w:rPr>
      <w:rFonts w:ascii="Courier New" w:hAnsi="Courier New" w:cs="Courier New" w:hint="default"/>
    </w:rPr>
  </w:style>
  <w:style w:type="character" w:customStyle="1" w:styleId="WW8Num52z2">
    <w:name w:val="WW8Num52z2"/>
    <w:rsid w:val="00FF04A3"/>
    <w:rPr>
      <w:rFonts w:ascii="Wingdings" w:hAnsi="Wingdings" w:hint="default"/>
    </w:rPr>
  </w:style>
  <w:style w:type="character" w:customStyle="1" w:styleId="WW8Num52z3">
    <w:name w:val="WW8Num52z3"/>
    <w:rsid w:val="00FF04A3"/>
    <w:rPr>
      <w:rFonts w:ascii="Symbol" w:hAnsi="Symbol" w:hint="default"/>
    </w:rPr>
  </w:style>
  <w:style w:type="character" w:customStyle="1" w:styleId="CarCar61">
    <w:name w:val="Car Car61"/>
    <w:rsid w:val="00FF04A3"/>
  </w:style>
  <w:style w:type="character" w:customStyle="1" w:styleId="CarCar31">
    <w:name w:val="Car Car31"/>
    <w:rsid w:val="00FF04A3"/>
  </w:style>
  <w:style w:type="character" w:customStyle="1" w:styleId="EstiloCorreo149">
    <w:name w:val="EstiloCorreo149"/>
    <w:rsid w:val="00FF04A3"/>
    <w:rPr>
      <w:rFonts w:ascii="Arial" w:hAnsi="Arial" w:cs="Arial" w:hint="default"/>
    </w:rPr>
  </w:style>
  <w:style w:type="character" w:customStyle="1" w:styleId="HeaderChar1">
    <w:name w:val="Header Char1"/>
    <w:aliases w:val="encabezado Char1,h Char1"/>
    <w:uiPriority w:val="99"/>
    <w:rsid w:val="00FF04A3"/>
    <w:rPr>
      <w:lang w:eastAsia="es-ES"/>
    </w:rPr>
  </w:style>
  <w:style w:type="character" w:customStyle="1" w:styleId="tnnotaobtenida">
    <w:name w:val="tn_nota_obtenida"/>
    <w:rsid w:val="00FF04A3"/>
  </w:style>
  <w:style w:type="character" w:customStyle="1" w:styleId="estilocorreo78">
    <w:name w:val="estilocorreo78"/>
    <w:rsid w:val="00FF04A3"/>
    <w:rPr>
      <w:rFonts w:ascii="Calibri" w:hAnsi="Calibri" w:hint="default"/>
    </w:rPr>
  </w:style>
  <w:style w:type="character" w:customStyle="1" w:styleId="TitleChar1">
    <w:name w:val="Title Char1"/>
    <w:uiPriority w:val="10"/>
    <w:rsid w:val="00FF04A3"/>
    <w:rPr>
      <w:rFonts w:ascii="Calibri Light" w:hAnsi="Calibri Light" w:hint="default"/>
      <w:b/>
      <w:bCs/>
      <w:lang w:eastAsia="en-US"/>
    </w:rPr>
  </w:style>
  <w:style w:type="character" w:customStyle="1" w:styleId="TextodegloboCar1">
    <w:name w:val="Texto de globo Car1"/>
    <w:uiPriority w:val="99"/>
    <w:rsid w:val="00FF04A3"/>
    <w:rPr>
      <w:rFonts w:ascii="Tahoma" w:hAnsi="Tahoma" w:cs="Tahoma" w:hint="default"/>
      <w:lang w:eastAsia="zh-CN"/>
    </w:rPr>
  </w:style>
  <w:style w:type="character" w:customStyle="1" w:styleId="TextonotaalfinalCar1">
    <w:name w:val="Texto nota al final Car1"/>
    <w:uiPriority w:val="99"/>
    <w:rsid w:val="00FF04A3"/>
    <w:rPr>
      <w:rFonts w:ascii="Calibri" w:hAnsi="Calibri" w:hint="default"/>
      <w:lang w:eastAsia="en-US"/>
    </w:rPr>
  </w:style>
  <w:style w:type="character" w:customStyle="1" w:styleId="TextosinformatoCar1">
    <w:name w:val="Texto sin formato Car1"/>
    <w:uiPriority w:val="99"/>
    <w:rsid w:val="00FF04A3"/>
    <w:rPr>
      <w:rFonts w:ascii="Courier New" w:hAnsi="Courier New" w:cs="Courier New" w:hint="default"/>
      <w:lang w:eastAsia="zh-CN"/>
    </w:rPr>
  </w:style>
  <w:style w:type="character" w:customStyle="1" w:styleId="estilocorreo82">
    <w:name w:val="estilocorreo82"/>
    <w:rsid w:val="00FF04A3"/>
    <w:rPr>
      <w:rFonts w:ascii="Calibri" w:hAnsi="Calibri" w:hint="default"/>
    </w:rPr>
  </w:style>
  <w:style w:type="character" w:customStyle="1" w:styleId="Textoindependiente2Car1">
    <w:name w:val="Texto independiente 2 Car1"/>
    <w:uiPriority w:val="99"/>
    <w:rsid w:val="00FF04A3"/>
    <w:rPr>
      <w:rFonts w:ascii="Times New Roman" w:hAnsi="Times New Roman" w:cs="Times New Roman" w:hint="default"/>
      <w:lang w:eastAsia="es-ES"/>
    </w:rPr>
  </w:style>
  <w:style w:type="character" w:customStyle="1" w:styleId="highlightedtext1">
    <w:name w:val="highlightedtext1"/>
    <w:rsid w:val="00FF04A3"/>
    <w:rPr>
      <w:shd w:val="clear" w:color="auto" w:fill="FFFF00"/>
    </w:rPr>
  </w:style>
  <w:style w:type="numbering" w:customStyle="1" w:styleId="1111111111">
    <w:name w:val="1.1 / 1.1.1 / 1.1.1.11"/>
    <w:rsid w:val="00FF04A3"/>
  </w:style>
  <w:style w:type="numbering" w:customStyle="1" w:styleId="11111111121">
    <w:name w:val="1.1 / 1.1.1 / 1.1.1.121"/>
    <w:rsid w:val="00FF04A3"/>
  </w:style>
  <w:style w:type="numbering" w:customStyle="1" w:styleId="1111111113">
    <w:name w:val="1.1 / 1.1.1 / 1.1.1.13"/>
    <w:rsid w:val="00FF04A3"/>
  </w:style>
  <w:style w:type="numbering" w:customStyle="1" w:styleId="11111111131">
    <w:name w:val="1.1 / 1.1.1 / 1.1.1.131"/>
    <w:rsid w:val="00FF04A3"/>
  </w:style>
  <w:style w:type="numbering" w:customStyle="1" w:styleId="11111111111">
    <w:name w:val="1.1 / 1.1.1 / 1.1.1.111"/>
    <w:rsid w:val="00FF04A3"/>
  </w:style>
  <w:style w:type="numbering" w:customStyle="1" w:styleId="1111111112">
    <w:name w:val="1.1 / 1.1.1 / 1.1.1.12"/>
    <w:rsid w:val="00FF04A3"/>
  </w:style>
  <w:style w:type="numbering" w:styleId="111111">
    <w:name w:val="Outline List 2"/>
    <w:aliases w:val="1.1 / 1.1.1 / 1.1.1.1"/>
    <w:basedOn w:val="Sinlista"/>
    <w:uiPriority w:val="99"/>
    <w:unhideWhenUsed/>
    <w:rsid w:val="00FF04A3"/>
  </w:style>
  <w:style w:type="paragraph" w:customStyle="1" w:styleId="m-6074630975206512451m-775200871255585192m-7567735478013994368m-2573041600113789362xmsonormal">
    <w:name w:val="m_-6074630975206512451m_-775200871255585192m_-7567735478013994368m_-2573041600113789362xmsonormal"/>
    <w:basedOn w:val="Normal"/>
    <w:rsid w:val="00FF04A3"/>
    <w:pPr>
      <w:suppressAutoHyphens w:val="0"/>
      <w:spacing w:before="100" w:beforeAutospacing="1" w:after="100" w:afterAutospacing="1"/>
    </w:pPr>
    <w:rPr>
      <w:rFonts w:ascii="Calibri" w:eastAsia="Calibri" w:hAnsi="Calibri" w:cs="Calibri"/>
      <w:sz w:val="22"/>
      <w:szCs w:val="22"/>
      <w:lang w:val="es-CR" w:eastAsia="es-CR"/>
    </w:rPr>
  </w:style>
  <w:style w:type="character" w:customStyle="1" w:styleId="Mencinsinresolver3">
    <w:name w:val="Mención sin resolver3"/>
    <w:uiPriority w:val="99"/>
    <w:unhideWhenUsed/>
    <w:rsid w:val="00FF04A3"/>
    <w:rPr>
      <w:color w:val="605E5C"/>
      <w:shd w:val="clear" w:color="auto" w:fill="E1DFDD"/>
    </w:rPr>
  </w:style>
  <w:style w:type="numbering" w:customStyle="1" w:styleId="Sinlista7">
    <w:name w:val="Sin lista7"/>
    <w:next w:val="Sinlista"/>
    <w:uiPriority w:val="99"/>
    <w:semiHidden/>
    <w:unhideWhenUsed/>
    <w:rsid w:val="00FF04A3"/>
  </w:style>
  <w:style w:type="numbering" w:customStyle="1" w:styleId="Sinlista8">
    <w:name w:val="Sin lista8"/>
    <w:next w:val="Sinlista"/>
    <w:uiPriority w:val="99"/>
    <w:semiHidden/>
    <w:unhideWhenUsed/>
    <w:rsid w:val="00FF04A3"/>
  </w:style>
  <w:style w:type="numbering" w:customStyle="1" w:styleId="Sinlista9">
    <w:name w:val="Sin lista9"/>
    <w:next w:val="Sinlista"/>
    <w:uiPriority w:val="99"/>
    <w:semiHidden/>
    <w:unhideWhenUsed/>
    <w:rsid w:val="00FF04A3"/>
  </w:style>
  <w:style w:type="numbering" w:customStyle="1" w:styleId="Sinlista10">
    <w:name w:val="Sin lista10"/>
    <w:next w:val="Sinlista"/>
    <w:uiPriority w:val="99"/>
    <w:semiHidden/>
    <w:unhideWhenUsed/>
    <w:rsid w:val="00FF04A3"/>
  </w:style>
  <w:style w:type="paragraph" w:customStyle="1" w:styleId="CarCar3CarCar">
    <w:name w:val="Car Car3 Car Car"/>
    <w:basedOn w:val="Normal"/>
    <w:uiPriority w:val="99"/>
    <w:semiHidden/>
    <w:rsid w:val="00FF04A3"/>
    <w:pPr>
      <w:suppressAutoHyphens w:val="0"/>
      <w:spacing w:after="160" w:line="240" w:lineRule="exact"/>
    </w:pPr>
    <w:rPr>
      <w:rFonts w:ascii="Verdana" w:eastAsia="Calibri" w:hAnsi="Verdana" w:cs="Calibri"/>
      <w:sz w:val="20"/>
      <w:szCs w:val="20"/>
      <w:lang w:val="es-CR" w:eastAsia="en-US"/>
    </w:rPr>
  </w:style>
  <w:style w:type="paragraph" w:customStyle="1" w:styleId="CarCar9CarCar">
    <w:name w:val="Car Car9 Car Car"/>
    <w:basedOn w:val="Normal"/>
    <w:uiPriority w:val="99"/>
    <w:semiHidden/>
    <w:rsid w:val="00FF04A3"/>
    <w:pPr>
      <w:suppressAutoHyphens w:val="0"/>
      <w:spacing w:after="160" w:line="240" w:lineRule="exact"/>
    </w:pPr>
    <w:rPr>
      <w:rFonts w:ascii="Verdana" w:eastAsia="Calibri" w:hAnsi="Verdana" w:cs="Calibri"/>
      <w:sz w:val="20"/>
      <w:szCs w:val="20"/>
      <w:lang w:val="es-CR" w:eastAsia="en-US"/>
    </w:rPr>
  </w:style>
  <w:style w:type="paragraph" w:customStyle="1" w:styleId="CarCar16CarCarCarCarCarCar">
    <w:name w:val="Car Car16 Car Car Car Car Car Car"/>
    <w:basedOn w:val="Normal"/>
    <w:uiPriority w:val="99"/>
    <w:semiHidden/>
    <w:rsid w:val="00FF04A3"/>
    <w:pPr>
      <w:suppressAutoHyphens w:val="0"/>
      <w:spacing w:after="160" w:line="240" w:lineRule="exact"/>
    </w:pPr>
    <w:rPr>
      <w:rFonts w:ascii="Verdana" w:eastAsia="Calibri" w:hAnsi="Verdana" w:cs="Calibri"/>
      <w:sz w:val="20"/>
      <w:szCs w:val="20"/>
      <w:lang w:val="es-CR" w:eastAsia="en-US"/>
    </w:rPr>
  </w:style>
  <w:style w:type="character" w:customStyle="1" w:styleId="WW-Predeterminado1Car">
    <w:name w:val="WW-Predeterminado1 Car"/>
    <w:link w:val="WW-Predeterminado1"/>
    <w:uiPriority w:val="99"/>
    <w:locked/>
    <w:rsid w:val="00FF04A3"/>
    <w:rPr>
      <w:rFonts w:ascii="Arial" w:hAnsi="Arial" w:cs="Arial"/>
      <w:color w:val="000000"/>
      <w:sz w:val="24"/>
      <w:szCs w:val="24"/>
    </w:rPr>
  </w:style>
  <w:style w:type="paragraph" w:customStyle="1" w:styleId="xxxxxmsonormal0">
    <w:name w:val="x_x_x_x_x_msonormal"/>
    <w:basedOn w:val="Normal"/>
    <w:uiPriority w:val="99"/>
    <w:semiHidden/>
    <w:rsid w:val="00FF04A3"/>
    <w:pPr>
      <w:suppressAutoHyphens w:val="0"/>
    </w:pPr>
    <w:rPr>
      <w:rFonts w:eastAsia="Calibri"/>
      <w:lang w:val="es-CR" w:eastAsia="es-CR"/>
    </w:rPr>
  </w:style>
  <w:style w:type="character" w:customStyle="1" w:styleId="Estilo3Car">
    <w:name w:val="Estilo3 Car"/>
    <w:link w:val="Estilo3"/>
    <w:uiPriority w:val="99"/>
    <w:semiHidden/>
    <w:locked/>
    <w:rsid w:val="00FF04A3"/>
    <w:rPr>
      <w:rFonts w:ascii="Arial" w:eastAsia="Calibri" w:hAnsi="Arial" w:cs="Arial"/>
      <w:sz w:val="24"/>
      <w:szCs w:val="24"/>
      <w:lang w:val="es-CR" w:eastAsia="ja-JP"/>
    </w:rPr>
  </w:style>
  <w:style w:type="paragraph" w:customStyle="1" w:styleId="CharChar20">
    <w:name w:val="Char Char2"/>
    <w:basedOn w:val="Normal"/>
    <w:uiPriority w:val="99"/>
    <w:semiHidden/>
    <w:rsid w:val="00FF04A3"/>
    <w:pPr>
      <w:suppressAutoHyphens w:val="0"/>
      <w:spacing w:after="160" w:line="240" w:lineRule="exact"/>
    </w:pPr>
    <w:rPr>
      <w:rFonts w:ascii="Verdana" w:eastAsia="Calibri" w:hAnsi="Verdana" w:cs="Calibri"/>
      <w:sz w:val="20"/>
      <w:szCs w:val="20"/>
      <w:lang w:val="es-CR" w:eastAsia="en-US"/>
    </w:rPr>
  </w:style>
  <w:style w:type="paragraph" w:customStyle="1" w:styleId="Textodebloque110">
    <w:name w:val="Texto de bloque11"/>
    <w:basedOn w:val="Normal"/>
    <w:uiPriority w:val="99"/>
    <w:semiHidden/>
    <w:rsid w:val="00FF04A3"/>
    <w:pPr>
      <w:suppressAutoHyphens w:val="0"/>
      <w:autoSpaceDE w:val="0"/>
      <w:ind w:left="-540" w:right="-415" w:firstLine="1248"/>
      <w:jc w:val="both"/>
    </w:pPr>
    <w:rPr>
      <w:rFonts w:ascii="Arial" w:eastAsia="Calibri" w:hAnsi="Arial" w:cs="Arial"/>
      <w:lang w:val="es-CR" w:eastAsia="zh-CN"/>
    </w:rPr>
  </w:style>
  <w:style w:type="paragraph" w:customStyle="1" w:styleId="Textoindependiente2210">
    <w:name w:val="Texto independiente 221"/>
    <w:basedOn w:val="Normal"/>
    <w:uiPriority w:val="99"/>
    <w:semiHidden/>
    <w:rsid w:val="00FF04A3"/>
    <w:pPr>
      <w:suppressAutoHyphens w:val="0"/>
      <w:spacing w:line="360" w:lineRule="auto"/>
      <w:jc w:val="both"/>
    </w:pPr>
    <w:rPr>
      <w:rFonts w:ascii="Arial" w:eastAsia="Calibri" w:hAnsi="Arial" w:cs="Arial"/>
      <w:lang w:val="es-CR"/>
    </w:rPr>
  </w:style>
  <w:style w:type="paragraph" w:customStyle="1" w:styleId="Sangra2detindependiente110">
    <w:name w:val="Sangría 2 de t. independiente11"/>
    <w:basedOn w:val="Normal"/>
    <w:uiPriority w:val="99"/>
    <w:semiHidden/>
    <w:rsid w:val="00FF04A3"/>
    <w:pPr>
      <w:suppressAutoHyphens w:val="0"/>
      <w:overflowPunct w:val="0"/>
      <w:autoSpaceDE w:val="0"/>
      <w:ind w:left="2835" w:hanging="2835"/>
      <w:jc w:val="both"/>
    </w:pPr>
    <w:rPr>
      <w:rFonts w:ascii="Georgia" w:eastAsia="Calibri" w:hAnsi="Georgia" w:cs="Calibri"/>
      <w:sz w:val="28"/>
      <w:szCs w:val="28"/>
      <w:lang w:val="es-CR" w:eastAsia="zh-CN"/>
    </w:rPr>
  </w:style>
  <w:style w:type="character" w:customStyle="1" w:styleId="AgestionCar">
    <w:name w:val="A gestion Car"/>
    <w:link w:val="Agestion"/>
    <w:semiHidden/>
    <w:locked/>
    <w:rsid w:val="00FF04A3"/>
    <w:rPr>
      <w:color w:val="000099"/>
      <w:lang w:eastAsia="ar-SA"/>
    </w:rPr>
  </w:style>
  <w:style w:type="paragraph" w:customStyle="1" w:styleId="Agestion">
    <w:name w:val="A gestion"/>
    <w:basedOn w:val="Normal"/>
    <w:link w:val="AgestionCar"/>
    <w:semiHidden/>
    <w:rsid w:val="00FF04A3"/>
    <w:pPr>
      <w:suppressAutoHyphens w:val="0"/>
      <w:spacing w:before="120" w:after="120"/>
      <w:ind w:left="851" w:right="851" w:firstLine="709"/>
      <w:jc w:val="both"/>
    </w:pPr>
    <w:rPr>
      <w:color w:val="000099"/>
      <w:sz w:val="20"/>
      <w:szCs w:val="20"/>
    </w:rPr>
  </w:style>
  <w:style w:type="paragraph" w:customStyle="1" w:styleId="Standarduser">
    <w:name w:val="Standard (user)"/>
    <w:basedOn w:val="Normal"/>
    <w:rsid w:val="00FF04A3"/>
    <w:pPr>
      <w:suppressAutoHyphens w:val="0"/>
      <w:autoSpaceDE w:val="0"/>
    </w:pPr>
    <w:rPr>
      <w:rFonts w:ascii="Book Antiqua" w:eastAsia="Calibri" w:hAnsi="Book Antiqua" w:cs="Calibri"/>
      <w:sz w:val="22"/>
      <w:szCs w:val="22"/>
      <w:lang w:val="es-CR" w:eastAsia="zh-CN"/>
    </w:rPr>
  </w:style>
  <w:style w:type="paragraph" w:customStyle="1" w:styleId="TableContentsuseruser">
    <w:name w:val="Table Contents (user) (user)"/>
    <w:basedOn w:val="Normal"/>
    <w:uiPriority w:val="99"/>
    <w:rsid w:val="00FF04A3"/>
    <w:pPr>
      <w:suppressAutoHyphens w:val="0"/>
      <w:autoSpaceDE w:val="0"/>
      <w:autoSpaceDN w:val="0"/>
    </w:pPr>
    <w:rPr>
      <w:rFonts w:ascii="Book Antiqua" w:eastAsia="Calibri" w:hAnsi="Book Antiqua" w:cs="Calibri"/>
      <w:sz w:val="22"/>
      <w:szCs w:val="22"/>
      <w:lang w:val="es-CR" w:eastAsia="zh-CN"/>
    </w:rPr>
  </w:style>
  <w:style w:type="paragraph" w:customStyle="1" w:styleId="Sinespaciado3">
    <w:name w:val="Sin espaciado3"/>
    <w:basedOn w:val="Normal"/>
    <w:uiPriority w:val="99"/>
    <w:rsid w:val="00FF04A3"/>
    <w:pPr>
      <w:suppressAutoHyphens w:val="0"/>
      <w:spacing w:line="100" w:lineRule="atLeast"/>
    </w:pPr>
    <w:rPr>
      <w:rFonts w:ascii="Calibri" w:eastAsia="Calibri" w:hAnsi="Calibri" w:cs="Calibri"/>
      <w:sz w:val="22"/>
      <w:szCs w:val="22"/>
      <w:lang w:val="es-CR" w:eastAsia="zh-CN"/>
    </w:rPr>
  </w:style>
  <w:style w:type="character" w:customStyle="1" w:styleId="AttuloCar">
    <w:name w:val="A título Car"/>
    <w:link w:val="Attulo"/>
    <w:semiHidden/>
    <w:locked/>
    <w:rsid w:val="00FF04A3"/>
    <w:rPr>
      <w:b/>
      <w:bCs/>
      <w:color w:val="000099"/>
      <w:u w:val="single"/>
      <w:lang w:eastAsia="ar-SA"/>
    </w:rPr>
  </w:style>
  <w:style w:type="paragraph" w:customStyle="1" w:styleId="Attulo">
    <w:name w:val="A título"/>
    <w:basedOn w:val="Normal"/>
    <w:link w:val="AttuloCar"/>
    <w:semiHidden/>
    <w:rsid w:val="00FF04A3"/>
    <w:pPr>
      <w:suppressAutoHyphens w:val="0"/>
      <w:spacing w:before="120" w:after="120"/>
      <w:ind w:left="851" w:right="851"/>
      <w:jc w:val="center"/>
    </w:pPr>
    <w:rPr>
      <w:b/>
      <w:bCs/>
      <w:color w:val="000099"/>
      <w:sz w:val="20"/>
      <w:szCs w:val="20"/>
      <w:u w:val="single"/>
    </w:rPr>
  </w:style>
  <w:style w:type="character" w:customStyle="1" w:styleId="BizquierdaCar">
    <w:name w:val="B izquierda Car"/>
    <w:link w:val="Bizquierda"/>
    <w:semiHidden/>
    <w:locked/>
    <w:rsid w:val="00FF04A3"/>
    <w:rPr>
      <w:rFonts w:ascii="Arial" w:hAnsi="Arial" w:cs="Arial"/>
      <w:b/>
      <w:bCs/>
      <w:color w:val="000099"/>
    </w:rPr>
  </w:style>
  <w:style w:type="paragraph" w:customStyle="1" w:styleId="Bizquierda">
    <w:name w:val="B izquierda"/>
    <w:basedOn w:val="Normal"/>
    <w:link w:val="BizquierdaCar"/>
    <w:semiHidden/>
    <w:rsid w:val="00FF04A3"/>
    <w:pPr>
      <w:suppressAutoHyphens w:val="0"/>
      <w:autoSpaceDE w:val="0"/>
      <w:autoSpaceDN w:val="0"/>
      <w:spacing w:line="360" w:lineRule="auto"/>
      <w:jc w:val="both"/>
    </w:pPr>
    <w:rPr>
      <w:rFonts w:ascii="Arial" w:hAnsi="Arial" w:cs="Arial"/>
      <w:b/>
      <w:bCs/>
      <w:color w:val="000099"/>
      <w:sz w:val="20"/>
      <w:szCs w:val="20"/>
      <w:lang w:eastAsia="es-ES"/>
    </w:rPr>
  </w:style>
  <w:style w:type="character" w:customStyle="1" w:styleId="AizquierdoCar">
    <w:name w:val="A izquierdo Car"/>
    <w:link w:val="Aizquierdo"/>
    <w:semiHidden/>
    <w:locked/>
    <w:rsid w:val="00FF04A3"/>
    <w:rPr>
      <w:rFonts w:ascii="Arial" w:hAnsi="Arial" w:cs="Arial"/>
      <w:b/>
      <w:bCs/>
      <w:color w:val="000099"/>
    </w:rPr>
  </w:style>
  <w:style w:type="paragraph" w:customStyle="1" w:styleId="Aizquierdo">
    <w:name w:val="A izquierdo"/>
    <w:basedOn w:val="Normal"/>
    <w:link w:val="AizquierdoCar"/>
    <w:semiHidden/>
    <w:rsid w:val="00FF04A3"/>
    <w:pPr>
      <w:suppressAutoHyphens w:val="0"/>
      <w:autoSpaceDE w:val="0"/>
      <w:autoSpaceDN w:val="0"/>
      <w:spacing w:before="120" w:after="120"/>
      <w:ind w:left="851" w:right="851"/>
    </w:pPr>
    <w:rPr>
      <w:rFonts w:ascii="Arial" w:hAnsi="Arial" w:cs="Arial"/>
      <w:b/>
      <w:bCs/>
      <w:color w:val="000099"/>
      <w:sz w:val="20"/>
      <w:szCs w:val="20"/>
      <w:lang w:eastAsia="es-ES"/>
    </w:rPr>
  </w:style>
  <w:style w:type="character" w:customStyle="1" w:styleId="AGessinespacioCar">
    <w:name w:val="A Ges sin espacio Car"/>
    <w:link w:val="AGessinespacio"/>
    <w:semiHidden/>
    <w:locked/>
    <w:rsid w:val="00FF04A3"/>
    <w:rPr>
      <w:color w:val="000099"/>
      <w:lang w:eastAsia="ar-SA"/>
    </w:rPr>
  </w:style>
  <w:style w:type="paragraph" w:customStyle="1" w:styleId="AGessinespacio">
    <w:name w:val="A Ges sin espacio"/>
    <w:basedOn w:val="Normal"/>
    <w:link w:val="AGessinespacioCar"/>
    <w:semiHidden/>
    <w:rsid w:val="00FF04A3"/>
    <w:pPr>
      <w:suppressAutoHyphens w:val="0"/>
      <w:spacing w:before="120" w:after="120"/>
      <w:ind w:left="851" w:right="851"/>
      <w:jc w:val="both"/>
    </w:pPr>
    <w:rPr>
      <w:color w:val="000099"/>
      <w:sz w:val="20"/>
      <w:szCs w:val="20"/>
    </w:rPr>
  </w:style>
  <w:style w:type="paragraph" w:customStyle="1" w:styleId="Sinespaciado4">
    <w:name w:val="Sin espaciado4"/>
    <w:basedOn w:val="Normal"/>
    <w:uiPriority w:val="99"/>
    <w:rsid w:val="00FF04A3"/>
    <w:pPr>
      <w:suppressAutoHyphens w:val="0"/>
      <w:spacing w:line="100" w:lineRule="atLeast"/>
    </w:pPr>
    <w:rPr>
      <w:rFonts w:ascii="Calibri" w:eastAsia="Calibri" w:hAnsi="Calibri" w:cs="Calibri"/>
      <w:sz w:val="22"/>
      <w:szCs w:val="22"/>
      <w:lang w:val="es-CR" w:eastAsia="zh-CN"/>
    </w:rPr>
  </w:style>
  <w:style w:type="paragraph" w:customStyle="1" w:styleId="Sinespaciado5">
    <w:name w:val="Sin espaciado5"/>
    <w:basedOn w:val="Normal"/>
    <w:uiPriority w:val="99"/>
    <w:rsid w:val="00FF04A3"/>
    <w:pPr>
      <w:suppressAutoHyphens w:val="0"/>
      <w:spacing w:line="100" w:lineRule="atLeast"/>
    </w:pPr>
    <w:rPr>
      <w:rFonts w:ascii="Calibri" w:eastAsia="Calibri" w:hAnsi="Calibri" w:cs="Calibri"/>
      <w:sz w:val="22"/>
      <w:szCs w:val="22"/>
      <w:lang w:val="es-CR" w:eastAsia="zh-CN"/>
    </w:rPr>
  </w:style>
  <w:style w:type="paragraph" w:customStyle="1" w:styleId="Standarduseruser">
    <w:name w:val="Standard (user) (user)"/>
    <w:basedOn w:val="Normal"/>
    <w:uiPriority w:val="99"/>
    <w:rsid w:val="00FF04A3"/>
    <w:pPr>
      <w:suppressAutoHyphens w:val="0"/>
      <w:autoSpaceDE w:val="0"/>
    </w:pPr>
    <w:rPr>
      <w:rFonts w:ascii="Book Antiqua" w:eastAsia="Calibri" w:hAnsi="Book Antiqua" w:cs="Calibri"/>
      <w:sz w:val="22"/>
      <w:szCs w:val="22"/>
      <w:lang w:val="es-CR" w:eastAsia="zh-CN"/>
    </w:rPr>
  </w:style>
  <w:style w:type="character" w:customStyle="1" w:styleId="AGestionCar0">
    <w:name w:val="A Gestion Car"/>
    <w:link w:val="AGestion0"/>
    <w:semiHidden/>
    <w:locked/>
    <w:rsid w:val="00FF04A3"/>
    <w:rPr>
      <w:color w:val="000099"/>
      <w:lang w:eastAsia="ar-SA"/>
    </w:rPr>
  </w:style>
  <w:style w:type="paragraph" w:customStyle="1" w:styleId="AGestion0">
    <w:name w:val="A Gestion"/>
    <w:basedOn w:val="Normal"/>
    <w:link w:val="AGestionCar0"/>
    <w:semiHidden/>
    <w:rsid w:val="00FF04A3"/>
    <w:pPr>
      <w:suppressAutoHyphens w:val="0"/>
      <w:spacing w:before="120" w:after="120"/>
      <w:ind w:left="851" w:right="851" w:firstLine="709"/>
      <w:jc w:val="both"/>
    </w:pPr>
    <w:rPr>
      <w:color w:val="000099"/>
      <w:sz w:val="20"/>
      <w:szCs w:val="20"/>
    </w:rPr>
  </w:style>
  <w:style w:type="character" w:customStyle="1" w:styleId="BtitulocentradoCar">
    <w:name w:val="B titulo centrado Car"/>
    <w:link w:val="Btitulocentrado"/>
    <w:semiHidden/>
    <w:locked/>
    <w:rsid w:val="00FF04A3"/>
    <w:rPr>
      <w:b/>
      <w:bCs/>
      <w:color w:val="000099"/>
      <w:lang w:eastAsia="ar-SA"/>
    </w:rPr>
  </w:style>
  <w:style w:type="paragraph" w:customStyle="1" w:styleId="Btitulocentrado">
    <w:name w:val="B titulo centrado"/>
    <w:basedOn w:val="Normal"/>
    <w:link w:val="BtitulocentradoCar"/>
    <w:semiHidden/>
    <w:rsid w:val="00FF04A3"/>
    <w:pPr>
      <w:suppressAutoHyphens w:val="0"/>
      <w:spacing w:before="120" w:after="120"/>
      <w:ind w:left="851" w:right="851"/>
      <w:jc w:val="center"/>
    </w:pPr>
    <w:rPr>
      <w:b/>
      <w:bCs/>
      <w:color w:val="000099"/>
      <w:sz w:val="20"/>
      <w:szCs w:val="20"/>
    </w:rPr>
  </w:style>
  <w:style w:type="paragraph" w:customStyle="1" w:styleId="Ttulo22">
    <w:name w:val="Título 22"/>
    <w:basedOn w:val="Normal"/>
    <w:uiPriority w:val="99"/>
    <w:rsid w:val="00FF04A3"/>
    <w:pPr>
      <w:keepNext/>
      <w:suppressAutoHyphens w:val="0"/>
      <w:spacing w:before="240" w:after="120" w:line="276" w:lineRule="auto"/>
    </w:pPr>
    <w:rPr>
      <w:rFonts w:ascii="Liberation Sans" w:eastAsia="Calibri" w:hAnsi="Liberation Sans" w:cs="Liberation Sans"/>
      <w:sz w:val="28"/>
      <w:szCs w:val="28"/>
      <w:lang w:val="es-CR" w:eastAsia="es-CR"/>
    </w:rPr>
  </w:style>
  <w:style w:type="paragraph" w:customStyle="1" w:styleId="Ttulo81">
    <w:name w:val="Título 81"/>
    <w:basedOn w:val="Normal"/>
    <w:uiPriority w:val="99"/>
    <w:qFormat/>
    <w:rsid w:val="00FF04A3"/>
    <w:pPr>
      <w:keepNext/>
      <w:suppressAutoHyphens w:val="0"/>
      <w:spacing w:before="240" w:after="120" w:line="276" w:lineRule="auto"/>
    </w:pPr>
    <w:rPr>
      <w:rFonts w:ascii="Liberation Sans" w:eastAsia="Calibri" w:hAnsi="Liberation Sans" w:cs="Liberation Sans"/>
      <w:sz w:val="28"/>
      <w:szCs w:val="28"/>
      <w:lang w:val="es-CR" w:eastAsia="es-CR"/>
    </w:rPr>
  </w:style>
  <w:style w:type="paragraph" w:customStyle="1" w:styleId="Piedepgina10">
    <w:name w:val="Pie de página1"/>
    <w:basedOn w:val="Normal"/>
    <w:uiPriority w:val="99"/>
    <w:qFormat/>
    <w:rsid w:val="00FF04A3"/>
    <w:pPr>
      <w:suppressAutoHyphens w:val="0"/>
    </w:pPr>
    <w:rPr>
      <w:rFonts w:ascii="Calibri" w:eastAsia="Calibri" w:hAnsi="Calibri" w:cs="Calibri"/>
      <w:sz w:val="22"/>
      <w:szCs w:val="22"/>
      <w:lang w:val="es-CR" w:eastAsia="es-CR"/>
    </w:rPr>
  </w:style>
  <w:style w:type="paragraph" w:customStyle="1" w:styleId="DocumentMap">
    <w:name w:val="DocumentMap"/>
    <w:basedOn w:val="Normal"/>
    <w:uiPriority w:val="99"/>
    <w:rsid w:val="00FF04A3"/>
    <w:pPr>
      <w:suppressAutoHyphens w:val="0"/>
    </w:pPr>
    <w:rPr>
      <w:rFonts w:eastAsia="Calibri"/>
      <w:sz w:val="20"/>
      <w:szCs w:val="20"/>
      <w:lang w:val="es-CR" w:eastAsia="es-CR"/>
    </w:rPr>
  </w:style>
  <w:style w:type="paragraph" w:customStyle="1" w:styleId="Lista23">
    <w:name w:val="Lista 23"/>
    <w:basedOn w:val="Normal"/>
    <w:uiPriority w:val="99"/>
    <w:semiHidden/>
    <w:rsid w:val="00FF04A3"/>
    <w:pPr>
      <w:suppressAutoHyphens w:val="0"/>
      <w:spacing w:after="200" w:line="276" w:lineRule="auto"/>
      <w:ind w:left="566" w:hanging="283"/>
    </w:pPr>
    <w:rPr>
      <w:rFonts w:ascii="Calibri" w:eastAsia="Calibri" w:hAnsi="Calibri" w:cs="Calibri"/>
      <w:lang w:val="es-CR" w:eastAsia="zh-CN"/>
    </w:rPr>
  </w:style>
  <w:style w:type="paragraph" w:customStyle="1" w:styleId="Lista22">
    <w:name w:val="Lista 22"/>
    <w:basedOn w:val="Normal"/>
    <w:uiPriority w:val="99"/>
    <w:semiHidden/>
    <w:rsid w:val="00FF04A3"/>
    <w:pPr>
      <w:suppressAutoHyphens w:val="0"/>
      <w:spacing w:after="200" w:line="276" w:lineRule="auto"/>
      <w:ind w:left="566" w:hanging="283"/>
    </w:pPr>
    <w:rPr>
      <w:rFonts w:ascii="Calibri" w:eastAsia="Calibri" w:hAnsi="Calibri" w:cs="Calibri"/>
      <w:lang w:val="es-CR" w:eastAsia="zh-CN"/>
    </w:rPr>
  </w:style>
  <w:style w:type="paragraph" w:customStyle="1" w:styleId="Objetoconpuntadeflecha">
    <w:name w:val="Objeto con punta de flecha"/>
    <w:basedOn w:val="Normal"/>
    <w:uiPriority w:val="99"/>
    <w:semiHidden/>
    <w:rsid w:val="00FF04A3"/>
    <w:pPr>
      <w:suppressAutoHyphens w:val="0"/>
      <w:spacing w:after="200" w:line="276" w:lineRule="auto"/>
    </w:pPr>
    <w:rPr>
      <w:rFonts w:ascii="Calibri" w:eastAsia="Calibri" w:hAnsi="Calibri" w:cs="Calibri"/>
      <w:lang w:val="es-CR" w:eastAsia="zh-CN"/>
    </w:rPr>
  </w:style>
  <w:style w:type="paragraph" w:customStyle="1" w:styleId="Objetoconsombra">
    <w:name w:val="Objeto con sombra"/>
    <w:basedOn w:val="Normal"/>
    <w:uiPriority w:val="99"/>
    <w:semiHidden/>
    <w:rsid w:val="00FF04A3"/>
    <w:pPr>
      <w:suppressAutoHyphens w:val="0"/>
      <w:spacing w:after="200" w:line="276" w:lineRule="auto"/>
    </w:pPr>
    <w:rPr>
      <w:rFonts w:ascii="Calibri" w:eastAsia="Calibri" w:hAnsi="Calibri" w:cs="Calibri"/>
      <w:lang w:val="es-CR" w:eastAsia="zh-CN"/>
    </w:rPr>
  </w:style>
  <w:style w:type="paragraph" w:customStyle="1" w:styleId="Objetosinrelleno">
    <w:name w:val="Objeto sin relleno"/>
    <w:basedOn w:val="Normal"/>
    <w:uiPriority w:val="99"/>
    <w:semiHidden/>
    <w:rsid w:val="00FF04A3"/>
    <w:pPr>
      <w:suppressAutoHyphens w:val="0"/>
      <w:spacing w:after="200" w:line="276" w:lineRule="auto"/>
    </w:pPr>
    <w:rPr>
      <w:rFonts w:ascii="Calibri" w:eastAsia="Calibri" w:hAnsi="Calibri" w:cs="Calibri"/>
      <w:lang w:val="es-CR" w:eastAsia="zh-CN"/>
    </w:rPr>
  </w:style>
  <w:style w:type="paragraph" w:customStyle="1" w:styleId="Cuerpodetextojustificado">
    <w:name w:val="Cuerpo de texto justificado"/>
    <w:basedOn w:val="Normal"/>
    <w:uiPriority w:val="99"/>
    <w:semiHidden/>
    <w:rsid w:val="00FF04A3"/>
    <w:pPr>
      <w:suppressAutoHyphens w:val="0"/>
      <w:spacing w:after="200" w:line="276" w:lineRule="auto"/>
    </w:pPr>
    <w:rPr>
      <w:rFonts w:ascii="Calibri" w:eastAsia="Calibri" w:hAnsi="Calibri" w:cs="Calibri"/>
      <w:lang w:val="es-CR" w:eastAsia="zh-CN"/>
    </w:rPr>
  </w:style>
  <w:style w:type="paragraph" w:customStyle="1" w:styleId="Sangradelaprimeralnea">
    <w:name w:val="Sangría de la primera línea"/>
    <w:basedOn w:val="Normal"/>
    <w:uiPriority w:val="99"/>
    <w:semiHidden/>
    <w:rsid w:val="00FF04A3"/>
    <w:pPr>
      <w:suppressAutoHyphens w:val="0"/>
      <w:spacing w:after="200" w:line="276" w:lineRule="auto"/>
      <w:ind w:firstLine="340"/>
    </w:pPr>
    <w:rPr>
      <w:rFonts w:ascii="Calibri" w:eastAsia="Calibri" w:hAnsi="Calibri" w:cs="Calibri"/>
      <w:lang w:val="es-CR" w:eastAsia="zh-CN"/>
    </w:rPr>
  </w:style>
  <w:style w:type="paragraph" w:customStyle="1" w:styleId="Lneadedimensiones">
    <w:name w:val="Línea de dimensiones"/>
    <w:basedOn w:val="Normal"/>
    <w:uiPriority w:val="99"/>
    <w:semiHidden/>
    <w:rsid w:val="00FF04A3"/>
    <w:pPr>
      <w:suppressAutoHyphens w:val="0"/>
      <w:spacing w:after="200" w:line="276" w:lineRule="auto"/>
    </w:pPr>
    <w:rPr>
      <w:rFonts w:ascii="Calibri" w:eastAsia="Calibri" w:hAnsi="Calibri" w:cs="Calibri"/>
      <w:lang w:val="es-CR" w:eastAsia="zh-CN"/>
    </w:rPr>
  </w:style>
  <w:style w:type="paragraph" w:customStyle="1" w:styleId="PredeterminadoLTGliederung1">
    <w:name w:val="Predeterminado~LT~Gliederung 1"/>
    <w:basedOn w:val="Normal"/>
    <w:uiPriority w:val="99"/>
    <w:semiHidden/>
    <w:rsid w:val="00FF04A3"/>
    <w:pPr>
      <w:suppressAutoHyphens w:val="0"/>
      <w:spacing w:before="139"/>
      <w:ind w:left="540" w:hanging="540"/>
    </w:pPr>
    <w:rPr>
      <w:rFonts w:ascii="Lucida Sans Unicode" w:eastAsia="Calibri" w:hAnsi="Lucida Sans Unicode" w:cs="Lucida Sans Unicode"/>
      <w:b/>
      <w:bCs/>
      <w:color w:val="7C4D36"/>
      <w:sz w:val="56"/>
      <w:szCs w:val="56"/>
      <w:lang w:val="es-CR" w:eastAsia="zh-CN"/>
    </w:rPr>
  </w:style>
  <w:style w:type="paragraph" w:customStyle="1" w:styleId="PredeterminadoLTGliederung2">
    <w:name w:val="Predeterminado~LT~Gliederung 2"/>
    <w:basedOn w:val="Normal"/>
    <w:uiPriority w:val="99"/>
    <w:semiHidden/>
    <w:rsid w:val="00FF04A3"/>
    <w:pPr>
      <w:suppressAutoHyphens w:val="0"/>
      <w:spacing w:before="139"/>
      <w:ind w:left="1170" w:hanging="31648"/>
    </w:pPr>
    <w:rPr>
      <w:rFonts w:ascii="Lucida Sans Unicode" w:eastAsia="Calibri" w:hAnsi="Lucida Sans Unicode" w:cs="Lucida Sans Unicode"/>
      <w:b/>
      <w:bCs/>
      <w:color w:val="000000"/>
      <w:sz w:val="56"/>
      <w:szCs w:val="56"/>
      <w:lang w:val="es-CR" w:eastAsia="zh-CN"/>
    </w:rPr>
  </w:style>
  <w:style w:type="paragraph" w:customStyle="1" w:styleId="PredeterminadoLTGliederung3">
    <w:name w:val="Predeterminado~LT~Gliederung 3"/>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8"/>
      <w:szCs w:val="48"/>
      <w:lang w:val="es-CR" w:eastAsia="zh-CN"/>
    </w:rPr>
  </w:style>
  <w:style w:type="paragraph" w:customStyle="1" w:styleId="PredeterminadoLTGliederung4">
    <w:name w:val="Predeterminado~LT~Gliederung 4"/>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Gliederung5">
    <w:name w:val="Predeterminado~LT~Gliederung 5"/>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Gliederung6">
    <w:name w:val="Predeterminado~LT~Gliederung 6"/>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Gliederung7">
    <w:name w:val="Predeterminado~LT~Gliederung 7"/>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Gliederung8">
    <w:name w:val="Predeterminado~LT~Gliederung 8"/>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Gliederung9">
    <w:name w:val="Predeterminado~LT~Gliederung 9"/>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PredeterminadoLTTitel">
    <w:name w:val="Predeterminado~LT~Titel"/>
    <w:basedOn w:val="Normal"/>
    <w:uiPriority w:val="99"/>
    <w:semiHidden/>
    <w:rsid w:val="00FF04A3"/>
    <w:pPr>
      <w:suppressAutoHyphens w:val="0"/>
      <w:jc w:val="center"/>
    </w:pPr>
    <w:rPr>
      <w:rFonts w:ascii="Lucida Sans Unicode" w:eastAsia="Calibri" w:hAnsi="Lucida Sans Unicode" w:cs="Lucida Sans Unicode"/>
      <w:b/>
      <w:bCs/>
      <w:color w:val="DDC981"/>
      <w:sz w:val="64"/>
      <w:szCs w:val="64"/>
      <w:lang w:val="es-CR" w:eastAsia="zh-CN"/>
    </w:rPr>
  </w:style>
  <w:style w:type="paragraph" w:customStyle="1" w:styleId="PredeterminadoLTUntertitel">
    <w:name w:val="Predeterminado~LT~Untertitel"/>
    <w:basedOn w:val="Normal"/>
    <w:uiPriority w:val="99"/>
    <w:semiHidden/>
    <w:rsid w:val="00FF04A3"/>
    <w:pPr>
      <w:suppressAutoHyphens w:val="0"/>
      <w:spacing w:before="139"/>
      <w:ind w:left="540" w:hanging="540"/>
      <w:jc w:val="center"/>
    </w:pPr>
    <w:rPr>
      <w:rFonts w:ascii="Lucida Sans Unicode" w:eastAsia="Calibri" w:hAnsi="Lucida Sans Unicode" w:cs="Lucida Sans Unicode"/>
      <w:b/>
      <w:bCs/>
      <w:color w:val="7C4D36"/>
      <w:sz w:val="56"/>
      <w:szCs w:val="56"/>
      <w:lang w:val="es-CR" w:eastAsia="zh-CN"/>
    </w:rPr>
  </w:style>
  <w:style w:type="paragraph" w:customStyle="1" w:styleId="PredeterminadoLTNotizen">
    <w:name w:val="Predeterminado~LT~Notizen"/>
    <w:basedOn w:val="Normal"/>
    <w:uiPriority w:val="99"/>
    <w:semiHidden/>
    <w:rsid w:val="00FF04A3"/>
    <w:pPr>
      <w:suppressAutoHyphens w:val="0"/>
      <w:spacing w:before="90"/>
    </w:pPr>
    <w:rPr>
      <w:rFonts w:ascii="Tahoma" w:eastAsia="Calibri" w:hAnsi="Tahoma" w:cs="Tahoma"/>
      <w:color w:val="000000"/>
      <w:lang w:val="es-CR" w:eastAsia="zh-CN"/>
    </w:rPr>
  </w:style>
  <w:style w:type="paragraph" w:customStyle="1" w:styleId="PredeterminadoLTHintergrundobjekte">
    <w:name w:val="Predeterminado~LT~Hintergrundobjekte"/>
    <w:basedOn w:val="Normal"/>
    <w:uiPriority w:val="99"/>
    <w:semiHidden/>
    <w:rsid w:val="00FF04A3"/>
    <w:pPr>
      <w:suppressAutoHyphens w:val="0"/>
    </w:pPr>
    <w:rPr>
      <w:rFonts w:ascii="Lucida Sans Unicode" w:eastAsia="Calibri" w:hAnsi="Lucida Sans Unicode" w:cs="Lucida Sans Unicode"/>
      <w:color w:val="000000"/>
      <w:sz w:val="36"/>
      <w:szCs w:val="36"/>
      <w:lang w:val="es-CR" w:eastAsia="zh-CN"/>
    </w:rPr>
  </w:style>
  <w:style w:type="paragraph" w:customStyle="1" w:styleId="PredeterminadoLTHintergrund">
    <w:name w:val="Predeterminado~LT~Hintergrund"/>
    <w:basedOn w:val="Normal"/>
    <w:uiPriority w:val="99"/>
    <w:semiHidden/>
    <w:rsid w:val="00FF04A3"/>
    <w:pPr>
      <w:suppressAutoHyphens w:val="0"/>
      <w:jc w:val="center"/>
    </w:pPr>
    <w:rPr>
      <w:rFonts w:eastAsia="Calibri"/>
      <w:lang w:val="es-CR" w:eastAsia="zh-CN"/>
    </w:rPr>
  </w:style>
  <w:style w:type="paragraph" w:customStyle="1" w:styleId="blue1">
    <w:name w:val="blue1"/>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blue2">
    <w:name w:val="blue2"/>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blue3">
    <w:name w:val="blue3"/>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bw1">
    <w:name w:val="bw1"/>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bw2">
    <w:name w:val="bw2"/>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bw3">
    <w:name w:val="bw3"/>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orange1">
    <w:name w:val="orange1"/>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orange2">
    <w:name w:val="orange2"/>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orange3">
    <w:name w:val="orange3"/>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turquise1">
    <w:name w:val="turquise1"/>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turquise2">
    <w:name w:val="turquise2"/>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turquise3">
    <w:name w:val="turquise3"/>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gray1">
    <w:name w:val="gray1"/>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gray2">
    <w:name w:val="gray2"/>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gray3">
    <w:name w:val="gray3"/>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sun1">
    <w:name w:val="sun1"/>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sun2">
    <w:name w:val="sun2"/>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sun3">
    <w:name w:val="sun3"/>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earth1">
    <w:name w:val="earth1"/>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earth2">
    <w:name w:val="earth2"/>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earth3">
    <w:name w:val="earth3"/>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green1">
    <w:name w:val="green1"/>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green2">
    <w:name w:val="green2"/>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green3">
    <w:name w:val="green3"/>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seetang1">
    <w:name w:val="seetang1"/>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seetang2">
    <w:name w:val="seetang2"/>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seetang3">
    <w:name w:val="seetang3"/>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lightblue1">
    <w:name w:val="lightblue1"/>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lightblue2">
    <w:name w:val="lightblue2"/>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lightblue3">
    <w:name w:val="lightblue3"/>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yellow1">
    <w:name w:val="yellow1"/>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yellow2">
    <w:name w:val="yellow2"/>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yellow3">
    <w:name w:val="yellow3"/>
    <w:basedOn w:val="Normal"/>
    <w:uiPriority w:val="99"/>
    <w:semiHidden/>
    <w:rsid w:val="00FF04A3"/>
    <w:pPr>
      <w:suppressAutoHyphens w:val="0"/>
      <w:spacing w:line="200" w:lineRule="atLeast"/>
    </w:pPr>
    <w:rPr>
      <w:rFonts w:ascii="Tahoma" w:eastAsia="Calibri" w:hAnsi="Tahoma" w:cs="Tahoma"/>
      <w:sz w:val="36"/>
      <w:szCs w:val="36"/>
      <w:lang w:val="es-CR" w:eastAsia="zh-CN"/>
    </w:rPr>
  </w:style>
  <w:style w:type="paragraph" w:customStyle="1" w:styleId="WW-Ttulo">
    <w:name w:val="WW-Título"/>
    <w:basedOn w:val="Normal"/>
    <w:uiPriority w:val="99"/>
    <w:semiHidden/>
    <w:rsid w:val="00FF04A3"/>
    <w:pPr>
      <w:suppressAutoHyphens w:val="0"/>
      <w:jc w:val="center"/>
    </w:pPr>
    <w:rPr>
      <w:rFonts w:ascii="Lucida Sans Unicode" w:eastAsia="Calibri" w:hAnsi="Lucida Sans Unicode" w:cs="Lucida Sans Unicode"/>
      <w:b/>
      <w:bCs/>
      <w:color w:val="DDC981"/>
      <w:sz w:val="64"/>
      <w:szCs w:val="64"/>
      <w:lang w:val="es-CR" w:eastAsia="zh-CN"/>
    </w:rPr>
  </w:style>
  <w:style w:type="paragraph" w:customStyle="1" w:styleId="Objetosdefondo">
    <w:name w:val="Objetos de fondo"/>
    <w:basedOn w:val="Normal"/>
    <w:uiPriority w:val="99"/>
    <w:semiHidden/>
    <w:rsid w:val="00FF04A3"/>
    <w:pPr>
      <w:suppressAutoHyphens w:val="0"/>
    </w:pPr>
    <w:rPr>
      <w:rFonts w:ascii="Lucida Sans Unicode" w:eastAsia="Calibri" w:hAnsi="Lucida Sans Unicode" w:cs="Lucida Sans Unicode"/>
      <w:color w:val="000000"/>
      <w:sz w:val="36"/>
      <w:szCs w:val="36"/>
      <w:lang w:val="es-CR" w:eastAsia="zh-CN"/>
    </w:rPr>
  </w:style>
  <w:style w:type="paragraph" w:customStyle="1" w:styleId="Fondo">
    <w:name w:val="Fondo"/>
    <w:basedOn w:val="Normal"/>
    <w:uiPriority w:val="99"/>
    <w:semiHidden/>
    <w:rsid w:val="00FF04A3"/>
    <w:pPr>
      <w:suppressAutoHyphens w:val="0"/>
      <w:jc w:val="center"/>
    </w:pPr>
    <w:rPr>
      <w:rFonts w:eastAsia="Calibri"/>
      <w:lang w:val="es-CR" w:eastAsia="zh-CN"/>
    </w:rPr>
  </w:style>
  <w:style w:type="paragraph" w:customStyle="1" w:styleId="Notas">
    <w:name w:val="Notas"/>
    <w:basedOn w:val="Normal"/>
    <w:uiPriority w:val="99"/>
    <w:semiHidden/>
    <w:rsid w:val="00FF04A3"/>
    <w:pPr>
      <w:suppressAutoHyphens w:val="0"/>
      <w:spacing w:before="90"/>
    </w:pPr>
    <w:rPr>
      <w:rFonts w:ascii="Tahoma" w:eastAsia="Calibri" w:hAnsi="Tahoma" w:cs="Tahoma"/>
      <w:color w:val="000000"/>
      <w:lang w:val="es-CR" w:eastAsia="zh-CN"/>
    </w:rPr>
  </w:style>
  <w:style w:type="paragraph" w:customStyle="1" w:styleId="Esquema1">
    <w:name w:val="Esquema 1"/>
    <w:basedOn w:val="Normal"/>
    <w:uiPriority w:val="99"/>
    <w:semiHidden/>
    <w:rsid w:val="00FF04A3"/>
    <w:pPr>
      <w:suppressAutoHyphens w:val="0"/>
      <w:spacing w:before="139"/>
      <w:ind w:left="540" w:hanging="540"/>
    </w:pPr>
    <w:rPr>
      <w:rFonts w:ascii="Lucida Sans Unicode" w:eastAsia="Calibri" w:hAnsi="Lucida Sans Unicode" w:cs="Lucida Sans Unicode"/>
      <w:b/>
      <w:bCs/>
      <w:color w:val="7C4D36"/>
      <w:sz w:val="56"/>
      <w:szCs w:val="56"/>
      <w:lang w:val="es-CR" w:eastAsia="zh-CN"/>
    </w:rPr>
  </w:style>
  <w:style w:type="paragraph" w:customStyle="1" w:styleId="Esquema2">
    <w:name w:val="Esquema 2"/>
    <w:basedOn w:val="Normal"/>
    <w:uiPriority w:val="99"/>
    <w:semiHidden/>
    <w:rsid w:val="00FF04A3"/>
    <w:pPr>
      <w:suppressAutoHyphens w:val="0"/>
      <w:spacing w:before="139"/>
      <w:ind w:left="1170" w:hanging="31648"/>
    </w:pPr>
    <w:rPr>
      <w:rFonts w:ascii="Lucida Sans Unicode" w:eastAsia="Calibri" w:hAnsi="Lucida Sans Unicode" w:cs="Lucida Sans Unicode"/>
      <w:b/>
      <w:bCs/>
      <w:color w:val="000000"/>
      <w:sz w:val="56"/>
      <w:szCs w:val="56"/>
      <w:lang w:val="es-CR" w:eastAsia="zh-CN"/>
    </w:rPr>
  </w:style>
  <w:style w:type="paragraph" w:customStyle="1" w:styleId="Esquema3">
    <w:name w:val="Esquema 3"/>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8"/>
      <w:szCs w:val="48"/>
      <w:lang w:val="es-CR" w:eastAsia="zh-CN"/>
    </w:rPr>
  </w:style>
  <w:style w:type="paragraph" w:customStyle="1" w:styleId="Esquema4">
    <w:name w:val="Esquema 4"/>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Esquema5">
    <w:name w:val="Esquema 5"/>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Esquema6">
    <w:name w:val="Esquema 6"/>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Esquema7">
    <w:name w:val="Esquema 7"/>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Esquema8">
    <w:name w:val="Esquema 8"/>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Esquema9">
    <w:name w:val="Esquema 9"/>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1">
    <w:name w:val="Título1~LT~Gliederung 1"/>
    <w:basedOn w:val="Normal"/>
    <w:uiPriority w:val="99"/>
    <w:semiHidden/>
    <w:rsid w:val="00FF04A3"/>
    <w:pPr>
      <w:suppressAutoHyphens w:val="0"/>
      <w:spacing w:before="139"/>
      <w:ind w:left="540" w:hanging="540"/>
    </w:pPr>
    <w:rPr>
      <w:rFonts w:ascii="Lucida Sans Unicode" w:eastAsia="Calibri" w:hAnsi="Lucida Sans Unicode" w:cs="Lucida Sans Unicode"/>
      <w:b/>
      <w:bCs/>
      <w:color w:val="7C4D36"/>
      <w:sz w:val="56"/>
      <w:szCs w:val="56"/>
      <w:lang w:val="es-CR" w:eastAsia="zh-CN"/>
    </w:rPr>
  </w:style>
  <w:style w:type="paragraph" w:customStyle="1" w:styleId="Ttulo1LTGliederung2">
    <w:name w:val="Título1~LT~Gliederung 2"/>
    <w:basedOn w:val="Normal"/>
    <w:uiPriority w:val="99"/>
    <w:semiHidden/>
    <w:rsid w:val="00FF04A3"/>
    <w:pPr>
      <w:suppressAutoHyphens w:val="0"/>
      <w:spacing w:before="139"/>
      <w:ind w:left="1170" w:hanging="31648"/>
    </w:pPr>
    <w:rPr>
      <w:rFonts w:ascii="Lucida Sans Unicode" w:eastAsia="Calibri" w:hAnsi="Lucida Sans Unicode" w:cs="Lucida Sans Unicode"/>
      <w:b/>
      <w:bCs/>
      <w:color w:val="000000"/>
      <w:sz w:val="56"/>
      <w:szCs w:val="56"/>
      <w:lang w:val="es-CR" w:eastAsia="zh-CN"/>
    </w:rPr>
  </w:style>
  <w:style w:type="paragraph" w:customStyle="1" w:styleId="Ttulo1LTGliederung3">
    <w:name w:val="Título1~LT~Gliederung 3"/>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8"/>
      <w:szCs w:val="48"/>
      <w:lang w:val="es-CR" w:eastAsia="zh-CN"/>
    </w:rPr>
  </w:style>
  <w:style w:type="paragraph" w:customStyle="1" w:styleId="Ttulo1LTGliederung4">
    <w:name w:val="Título1~LT~Gliederung 4"/>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5">
    <w:name w:val="Título1~LT~Gliederung 5"/>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6">
    <w:name w:val="Título1~LT~Gliederung 6"/>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7">
    <w:name w:val="Título1~LT~Gliederung 7"/>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8">
    <w:name w:val="Título1~LT~Gliederung 8"/>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Gliederung9">
    <w:name w:val="Título1~LT~Gliederung 9"/>
    <w:basedOn w:val="Normal"/>
    <w:uiPriority w:val="99"/>
    <w:semiHidden/>
    <w:rsid w:val="00FF04A3"/>
    <w:pPr>
      <w:suppressAutoHyphens w:val="0"/>
      <w:spacing w:before="120"/>
      <w:ind w:left="1170" w:hanging="360"/>
    </w:pPr>
    <w:rPr>
      <w:rFonts w:ascii="Lucida Sans Unicode" w:eastAsia="Calibri" w:hAnsi="Lucida Sans Unicode" w:cs="Lucida Sans Unicode"/>
      <w:b/>
      <w:bCs/>
      <w:color w:val="000000"/>
      <w:sz w:val="40"/>
      <w:szCs w:val="40"/>
      <w:lang w:val="es-CR" w:eastAsia="zh-CN"/>
    </w:rPr>
  </w:style>
  <w:style w:type="paragraph" w:customStyle="1" w:styleId="Ttulo1LTTitel">
    <w:name w:val="Título1~LT~Titel"/>
    <w:basedOn w:val="Normal"/>
    <w:uiPriority w:val="99"/>
    <w:semiHidden/>
    <w:rsid w:val="00FF04A3"/>
    <w:pPr>
      <w:suppressAutoHyphens w:val="0"/>
      <w:jc w:val="center"/>
    </w:pPr>
    <w:rPr>
      <w:rFonts w:ascii="Lucida Sans Unicode" w:eastAsia="Calibri" w:hAnsi="Lucida Sans Unicode" w:cs="Lucida Sans Unicode"/>
      <w:b/>
      <w:bCs/>
      <w:color w:val="DDC981"/>
      <w:sz w:val="64"/>
      <w:szCs w:val="64"/>
      <w:lang w:val="es-CR" w:eastAsia="zh-CN"/>
    </w:rPr>
  </w:style>
  <w:style w:type="paragraph" w:customStyle="1" w:styleId="Ttulo1LTUntertitel">
    <w:name w:val="Título1~LT~Untertitel"/>
    <w:basedOn w:val="Normal"/>
    <w:uiPriority w:val="99"/>
    <w:semiHidden/>
    <w:rsid w:val="00FF04A3"/>
    <w:pPr>
      <w:suppressAutoHyphens w:val="0"/>
      <w:spacing w:before="139"/>
      <w:ind w:left="540" w:hanging="540"/>
      <w:jc w:val="center"/>
    </w:pPr>
    <w:rPr>
      <w:rFonts w:ascii="Lucida Sans Unicode" w:eastAsia="Calibri" w:hAnsi="Lucida Sans Unicode" w:cs="Lucida Sans Unicode"/>
      <w:b/>
      <w:bCs/>
      <w:color w:val="7C4D36"/>
      <w:sz w:val="56"/>
      <w:szCs w:val="56"/>
      <w:lang w:val="es-CR" w:eastAsia="zh-CN"/>
    </w:rPr>
  </w:style>
  <w:style w:type="paragraph" w:customStyle="1" w:styleId="Ttulo1LTNotizen">
    <w:name w:val="Título1~LT~Notizen"/>
    <w:basedOn w:val="Normal"/>
    <w:uiPriority w:val="99"/>
    <w:semiHidden/>
    <w:rsid w:val="00FF04A3"/>
    <w:pPr>
      <w:suppressAutoHyphens w:val="0"/>
      <w:spacing w:before="90"/>
    </w:pPr>
    <w:rPr>
      <w:rFonts w:ascii="Tahoma" w:eastAsia="Calibri" w:hAnsi="Tahoma" w:cs="Tahoma"/>
      <w:color w:val="000000"/>
      <w:lang w:val="es-CR" w:eastAsia="zh-CN"/>
    </w:rPr>
  </w:style>
  <w:style w:type="paragraph" w:customStyle="1" w:styleId="Ttulo1LTHintergrundobjekte">
    <w:name w:val="Título1~LT~Hintergrundobjekte"/>
    <w:basedOn w:val="Normal"/>
    <w:uiPriority w:val="99"/>
    <w:semiHidden/>
    <w:rsid w:val="00FF04A3"/>
    <w:pPr>
      <w:suppressAutoHyphens w:val="0"/>
    </w:pPr>
    <w:rPr>
      <w:rFonts w:eastAsia="Calibri"/>
      <w:lang w:val="es-CR" w:eastAsia="zh-CN"/>
    </w:rPr>
  </w:style>
  <w:style w:type="paragraph" w:customStyle="1" w:styleId="Ttulo1LTHintergrund">
    <w:name w:val="Título1~LT~Hintergrund"/>
    <w:basedOn w:val="Normal"/>
    <w:uiPriority w:val="99"/>
    <w:semiHidden/>
    <w:rsid w:val="00FF04A3"/>
    <w:pPr>
      <w:suppressAutoHyphens w:val="0"/>
      <w:jc w:val="center"/>
    </w:pPr>
    <w:rPr>
      <w:rFonts w:eastAsia="Calibri"/>
      <w:lang w:val="es-CR" w:eastAsia="zh-CN"/>
    </w:rPr>
  </w:style>
  <w:style w:type="paragraph" w:customStyle="1" w:styleId="WW-Ttulo1">
    <w:name w:val="WW-Título1"/>
    <w:basedOn w:val="Normal"/>
    <w:uiPriority w:val="99"/>
    <w:semiHidden/>
    <w:rsid w:val="00FF04A3"/>
    <w:pPr>
      <w:suppressAutoHyphens w:val="0"/>
      <w:jc w:val="center"/>
    </w:pPr>
    <w:rPr>
      <w:rFonts w:ascii="Lucida Sans Unicode" w:eastAsia="Calibri" w:hAnsi="Lucida Sans Unicode" w:cs="Lucida Sans Unicode"/>
      <w:b/>
      <w:bCs/>
      <w:color w:val="DDC981"/>
      <w:sz w:val="64"/>
      <w:szCs w:val="64"/>
      <w:lang w:val="es-CR" w:eastAsia="zh-CN"/>
    </w:rPr>
  </w:style>
  <w:style w:type="paragraph" w:customStyle="1" w:styleId="cjk">
    <w:name w:val="cjk"/>
    <w:basedOn w:val="Normal"/>
    <w:uiPriority w:val="99"/>
    <w:semiHidden/>
    <w:rsid w:val="00FF04A3"/>
    <w:pPr>
      <w:suppressAutoHyphens w:val="0"/>
      <w:spacing w:before="100" w:beforeAutospacing="1" w:after="100" w:afterAutospacing="1" w:line="276" w:lineRule="auto"/>
    </w:pPr>
    <w:rPr>
      <w:rFonts w:ascii="Calibri" w:eastAsia="Calibri" w:hAnsi="Calibri" w:cs="Calibri"/>
      <w:color w:val="000000"/>
      <w:sz w:val="20"/>
      <w:szCs w:val="20"/>
      <w:lang w:val="es-CR" w:eastAsia="es-ES"/>
    </w:rPr>
  </w:style>
  <w:style w:type="paragraph" w:customStyle="1" w:styleId="ctl">
    <w:name w:val="ctl"/>
    <w:basedOn w:val="Normal"/>
    <w:uiPriority w:val="99"/>
    <w:semiHidden/>
    <w:rsid w:val="00FF04A3"/>
    <w:pPr>
      <w:suppressAutoHyphens w:val="0"/>
      <w:spacing w:before="100" w:beforeAutospacing="1" w:after="100" w:afterAutospacing="1" w:line="276" w:lineRule="auto"/>
    </w:pPr>
    <w:rPr>
      <w:rFonts w:ascii="Calibri" w:eastAsia="Calibri" w:hAnsi="Calibri" w:cs="Calibri"/>
      <w:color w:val="000000"/>
      <w:sz w:val="20"/>
      <w:szCs w:val="20"/>
      <w:lang w:val="es-CR" w:eastAsia="es-ES"/>
    </w:rPr>
  </w:style>
  <w:style w:type="paragraph" w:customStyle="1" w:styleId="sdfootnote-western">
    <w:name w:val="sdfootnote-western"/>
    <w:basedOn w:val="Normal"/>
    <w:uiPriority w:val="99"/>
    <w:semiHidden/>
    <w:rsid w:val="00FF04A3"/>
    <w:pPr>
      <w:suppressAutoHyphens w:val="0"/>
      <w:spacing w:before="100" w:beforeAutospacing="1" w:after="100" w:afterAutospacing="1" w:line="276" w:lineRule="auto"/>
      <w:ind w:firstLine="709"/>
      <w:jc w:val="both"/>
    </w:pPr>
    <w:rPr>
      <w:rFonts w:ascii="Calibri" w:eastAsia="Calibri" w:hAnsi="Calibri" w:cs="Calibri"/>
      <w:color w:val="000000"/>
      <w:sz w:val="20"/>
      <w:szCs w:val="20"/>
      <w:lang w:val="es-CR" w:eastAsia="es-ES"/>
    </w:rPr>
  </w:style>
  <w:style w:type="paragraph" w:customStyle="1" w:styleId="xxxxxxxmsonormal">
    <w:name w:val="x_x_xxxxxmsonormal"/>
    <w:basedOn w:val="Normal"/>
    <w:uiPriority w:val="99"/>
    <w:semiHidden/>
    <w:rsid w:val="00FF04A3"/>
    <w:pPr>
      <w:suppressAutoHyphens w:val="0"/>
      <w:spacing w:before="100" w:beforeAutospacing="1" w:after="100" w:afterAutospacing="1"/>
    </w:pPr>
    <w:rPr>
      <w:rFonts w:eastAsia="Calibri"/>
      <w:lang w:val="es-CR" w:eastAsia="es-CR"/>
    </w:rPr>
  </w:style>
  <w:style w:type="paragraph" w:customStyle="1" w:styleId="WW-Heading111111111111111111">
    <w:name w:val="WW-Heading1111111111111111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Heading">
    <w:name w:val="WW-Heading"/>
    <w:basedOn w:val="Normal"/>
    <w:uiPriority w:val="99"/>
    <w:qFormat/>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
    <w:name w:val="WW-caption"/>
    <w:basedOn w:val="Normal"/>
    <w:uiPriority w:val="99"/>
    <w:qFormat/>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
    <w:name w:val="WW-Index"/>
    <w:basedOn w:val="Normal"/>
    <w:uiPriority w:val="99"/>
    <w:qFormat/>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
    <w:name w:val="WW-Heading1"/>
    <w:basedOn w:val="Normal"/>
    <w:uiPriority w:val="99"/>
    <w:qFormat/>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
    <w:name w:val="WW-caption1"/>
    <w:basedOn w:val="Normal"/>
    <w:uiPriority w:val="99"/>
    <w:qFormat/>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
    <w:name w:val="WW-Index1"/>
    <w:basedOn w:val="Normal"/>
    <w:uiPriority w:val="99"/>
    <w:qFormat/>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1">
    <w:name w:val="WW-Heading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
    <w:name w:val="WW-caption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
    <w:name w:val="WW-Index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11">
    <w:name w:val="WW-Heading1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
    <w:name w:val="WW-caption1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
    <w:name w:val="WW-Index1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111">
    <w:name w:val="WW-Heading11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
    <w:name w:val="WW-caption11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
    <w:name w:val="WW-Index11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1111">
    <w:name w:val="WW-Heading111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
    <w:name w:val="WW-caption111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
    <w:name w:val="WW-Index111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11111">
    <w:name w:val="WW-Heading1111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
    <w:name w:val="WW-caption1111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
    <w:name w:val="WW-Index1111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111111">
    <w:name w:val="WW-Heading11111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
    <w:name w:val="WW-caption11111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
    <w:name w:val="WW-Index11111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1111111">
    <w:name w:val="WW-Heading111111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
    <w:name w:val="WW-caption111111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
    <w:name w:val="WW-Index111111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11111111">
    <w:name w:val="WW-Heading1111111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
    <w:name w:val="WW-caption1111111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
    <w:name w:val="WW-Index1111111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111111111">
    <w:name w:val="WW-Heading11111111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
    <w:name w:val="WW-caption11111111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
    <w:name w:val="WW-Index11111111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1111111111">
    <w:name w:val="WW-Heading111111111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
    <w:name w:val="WW-caption111111111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
    <w:name w:val="WW-Index111111111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11111111111">
    <w:name w:val="WW-Heading1111111111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
    <w:name w:val="WW-caption1111111111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
    <w:name w:val="WW-Index1111111111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111111111111">
    <w:name w:val="WW-Heading11111111111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1">
    <w:name w:val="WW-caption11111111111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
    <w:name w:val="WW-Index11111111111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1111111111111">
    <w:name w:val="WW-Heading111111111111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11">
    <w:name w:val="WW-caption111111111111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1">
    <w:name w:val="WW-Index111111111111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11111111111111">
    <w:name w:val="WW-Heading1111111111111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111">
    <w:name w:val="WW-caption1111111111111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11">
    <w:name w:val="WW-Index1111111111111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111111111111111">
    <w:name w:val="WW-Heading11111111111111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1111">
    <w:name w:val="WW-caption11111111111111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111">
    <w:name w:val="WW-Index11111111111111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ing11111111111111111">
    <w:name w:val="WW-Heading11111111111111111"/>
    <w:basedOn w:val="Normal"/>
    <w:uiPriority w:val="99"/>
    <w:semiHidden/>
    <w:rsid w:val="00FF04A3"/>
    <w:pPr>
      <w:keepNext/>
      <w:shd w:val="clear" w:color="auto" w:fill="FFFFFF"/>
      <w:suppressAutoHyphens w:val="0"/>
      <w:autoSpaceDE w:val="0"/>
      <w:spacing w:before="240" w:after="120"/>
    </w:pPr>
    <w:rPr>
      <w:rFonts w:ascii="Arial" w:eastAsia="Calibri" w:hAnsi="Arial" w:cs="Arial"/>
      <w:sz w:val="28"/>
      <w:szCs w:val="28"/>
      <w:u w:val="single"/>
      <w:lang w:val="es-CR" w:eastAsia="zh-CN"/>
    </w:rPr>
  </w:style>
  <w:style w:type="paragraph" w:customStyle="1" w:styleId="WW-caption11111111111111111">
    <w:name w:val="WW-caption111111111111111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1111">
    <w:name w:val="WW-Index111111111111111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caption111111111111111111">
    <w:name w:val="WW-caption111111111111111111"/>
    <w:basedOn w:val="Normal"/>
    <w:uiPriority w:val="99"/>
    <w:semiHidden/>
    <w:rsid w:val="00FF04A3"/>
    <w:pPr>
      <w:shd w:val="clear" w:color="auto" w:fill="FFFFFF"/>
      <w:suppressAutoHyphens w:val="0"/>
      <w:autoSpaceDE w:val="0"/>
      <w:spacing w:before="120" w:after="120"/>
    </w:pPr>
    <w:rPr>
      <w:rFonts w:ascii="Arial" w:eastAsia="Calibri" w:hAnsi="Arial" w:cs="Arial"/>
      <w:i/>
      <w:iCs/>
      <w:u w:val="single"/>
      <w:lang w:val="es-CR" w:eastAsia="zh-CN"/>
    </w:rPr>
  </w:style>
  <w:style w:type="paragraph" w:customStyle="1" w:styleId="WW-Index111111111111111111">
    <w:name w:val="WW-Index1111111111111111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
    <w:name w:val="WW-header"/>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
    <w:name w:val="WW-footer"/>
    <w:basedOn w:val="Normal"/>
    <w:uiPriority w:val="99"/>
    <w:qFormat/>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
    <w:name w:val="WW-header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
    <w:name w:val="WW-footer1"/>
    <w:basedOn w:val="Normal"/>
    <w:uiPriority w:val="99"/>
    <w:qFormat/>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
    <w:name w:val="WW-header12"/>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
    <w:name w:val="WW-footer12"/>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
    <w:name w:val="WW-header123"/>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
    <w:name w:val="WW-footer123"/>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4">
    <w:name w:val="WW-header1234"/>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4">
    <w:name w:val="WW-footer1234"/>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45">
    <w:name w:val="WW-header12345"/>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45">
    <w:name w:val="WW-footer12345"/>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456">
    <w:name w:val="WW-header123456"/>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456">
    <w:name w:val="WW-footer123456"/>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4567">
    <w:name w:val="WW-header1234567"/>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4567">
    <w:name w:val="WW-footer1234567"/>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45678">
    <w:name w:val="WW-header12345678"/>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45678">
    <w:name w:val="WW-footer12345678"/>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456789">
    <w:name w:val="WW-header123456789"/>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456789">
    <w:name w:val="WW-footer123456789"/>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45678910">
    <w:name w:val="WW-header12345678910"/>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45678910">
    <w:name w:val="WW-footer12345678910"/>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4567891011">
    <w:name w:val="WW-header12345678910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4567891011">
    <w:name w:val="WW-footer1234567891011"/>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
    <w:name w:val="WW-header123456789101112"/>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
    <w:name w:val="WW-footer123456789101112"/>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
    <w:name w:val="WW-header12345678910111213"/>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
    <w:name w:val="WW-footer12345678910111213"/>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
    <w:name w:val="WW-header1234567891011121314"/>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
    <w:name w:val="WW-footer1234567891011121314"/>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15">
    <w:name w:val="WW-header123456789101112131415"/>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15">
    <w:name w:val="WW-footer123456789101112131415"/>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1516">
    <w:name w:val="WW-header12345678910111213141516"/>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1516">
    <w:name w:val="WW-footer12345678910111213141516"/>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151617">
    <w:name w:val="WW-header1234567891011121314151617"/>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151617">
    <w:name w:val="WW-footer1234567891011121314151617"/>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15161718">
    <w:name w:val="WW-header123456789101112131415161718"/>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15161718">
    <w:name w:val="WW-footer123456789101112131415161718"/>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header12345678910111213141516171819">
    <w:name w:val="WW-header12345678910111213141516171819"/>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paragraph" w:customStyle="1" w:styleId="WW-footer12345678910111213141516171819">
    <w:name w:val="WW-footer12345678910111213141516171819"/>
    <w:basedOn w:val="Normal"/>
    <w:uiPriority w:val="99"/>
    <w:semiHidden/>
    <w:rsid w:val="00FF04A3"/>
    <w:pPr>
      <w:shd w:val="clear" w:color="auto" w:fill="FFFFFF"/>
      <w:suppressAutoHyphens w:val="0"/>
      <w:autoSpaceDE w:val="0"/>
    </w:pPr>
    <w:rPr>
      <w:rFonts w:ascii="Arial" w:eastAsia="Calibri" w:hAnsi="Arial" w:cs="Arial"/>
      <w:u w:val="single"/>
      <w:lang w:val="es-CR" w:eastAsia="zh-CN"/>
    </w:rPr>
  </w:style>
  <w:style w:type="character" w:styleId="nfasissutil">
    <w:name w:val="Subtle Emphasis"/>
    <w:uiPriority w:val="19"/>
    <w:qFormat/>
    <w:rsid w:val="00FF04A3"/>
    <w:rPr>
      <w:i/>
      <w:iCs/>
      <w:color w:val="1F4D78"/>
    </w:rPr>
  </w:style>
  <w:style w:type="character" w:styleId="Referenciasutil">
    <w:name w:val="Subtle Reference"/>
    <w:uiPriority w:val="31"/>
    <w:qFormat/>
    <w:rsid w:val="00FF04A3"/>
    <w:rPr>
      <w:b/>
      <w:bCs/>
      <w:color w:val="5B9BD5"/>
    </w:rPr>
  </w:style>
  <w:style w:type="character" w:customStyle="1" w:styleId="estilocorreo574">
    <w:name w:val="estilocorreo574"/>
    <w:semiHidden/>
    <w:rsid w:val="00FF04A3"/>
    <w:rPr>
      <w:rFonts w:ascii="Calibri" w:hAnsi="Calibri" w:hint="default"/>
      <w:color w:val="auto"/>
    </w:rPr>
  </w:style>
  <w:style w:type="character" w:customStyle="1" w:styleId="EstiloCorreo35">
    <w:name w:val="EstiloCorreo35"/>
    <w:rsid w:val="00FF04A3"/>
    <w:rPr>
      <w:rFonts w:ascii="Arial" w:hAnsi="Arial" w:cs="Arial" w:hint="default"/>
      <w:color w:val="000080"/>
    </w:rPr>
  </w:style>
  <w:style w:type="character" w:customStyle="1" w:styleId="s1">
    <w:name w:val="s1"/>
    <w:rsid w:val="00FF04A3"/>
  </w:style>
  <w:style w:type="character" w:customStyle="1" w:styleId="WW8Num12z4">
    <w:name w:val="WW8Num12z4"/>
    <w:rsid w:val="00FF04A3"/>
    <w:rPr>
      <w:rFonts w:ascii="Courier New" w:hAnsi="Courier New" w:cs="Courier New" w:hint="default"/>
    </w:rPr>
  </w:style>
  <w:style w:type="character" w:customStyle="1" w:styleId="WW8Num14z4">
    <w:name w:val="WW8Num14z4"/>
    <w:rsid w:val="00FF04A3"/>
  </w:style>
  <w:style w:type="character" w:customStyle="1" w:styleId="WW8Num14z5">
    <w:name w:val="WW8Num14z5"/>
    <w:rsid w:val="00FF04A3"/>
  </w:style>
  <w:style w:type="character" w:customStyle="1" w:styleId="WW8Num14z6">
    <w:name w:val="WW8Num14z6"/>
    <w:rsid w:val="00FF04A3"/>
  </w:style>
  <w:style w:type="character" w:customStyle="1" w:styleId="WW8Num14z7">
    <w:name w:val="WW8Num14z7"/>
    <w:rsid w:val="00FF04A3"/>
  </w:style>
  <w:style w:type="character" w:customStyle="1" w:styleId="WW8Num14z8">
    <w:name w:val="WW8Num14z8"/>
    <w:rsid w:val="00FF04A3"/>
  </w:style>
  <w:style w:type="character" w:customStyle="1" w:styleId="asinclair">
    <w:name w:val="asinclair"/>
    <w:rsid w:val="00FF04A3"/>
    <w:rPr>
      <w:rFonts w:ascii="Arial" w:hAnsi="Arial" w:cs="Arial" w:hint="default"/>
      <w:color w:val="000080"/>
    </w:rPr>
  </w:style>
  <w:style w:type="character" w:customStyle="1" w:styleId="ListLabel50">
    <w:name w:val="ListLabel 50"/>
    <w:rsid w:val="00FF04A3"/>
    <w:rPr>
      <w:rFonts w:ascii="Times New Roman" w:hAnsi="Times New Roman" w:cs="Times New Roman" w:hint="default"/>
    </w:rPr>
  </w:style>
  <w:style w:type="character" w:customStyle="1" w:styleId="ListLabel51">
    <w:name w:val="ListLabel 51"/>
    <w:rsid w:val="00FF04A3"/>
    <w:rPr>
      <w:rFonts w:ascii="Times New Roman" w:hAnsi="Times New Roman" w:cs="Times New Roman" w:hint="default"/>
    </w:rPr>
  </w:style>
  <w:style w:type="character" w:customStyle="1" w:styleId="ListLabel52">
    <w:name w:val="ListLabel 52"/>
    <w:rsid w:val="00FF04A3"/>
    <w:rPr>
      <w:rFonts w:ascii="Times New Roman" w:hAnsi="Times New Roman" w:cs="Times New Roman" w:hint="default"/>
    </w:rPr>
  </w:style>
  <w:style w:type="character" w:customStyle="1" w:styleId="ListLabel53">
    <w:name w:val="ListLabel 53"/>
    <w:rsid w:val="00FF04A3"/>
    <w:rPr>
      <w:rFonts w:ascii="Times New Roman" w:hAnsi="Times New Roman" w:cs="Times New Roman" w:hint="default"/>
    </w:rPr>
  </w:style>
  <w:style w:type="character" w:customStyle="1" w:styleId="ListLabel54">
    <w:name w:val="ListLabel 54"/>
    <w:rsid w:val="00FF04A3"/>
    <w:rPr>
      <w:rFonts w:ascii="Times New Roman" w:hAnsi="Times New Roman" w:cs="Times New Roman" w:hint="default"/>
    </w:rPr>
  </w:style>
  <w:style w:type="character" w:customStyle="1" w:styleId="ListLabel55">
    <w:name w:val="ListLabel 55"/>
    <w:rsid w:val="00FF04A3"/>
    <w:rPr>
      <w:rFonts w:ascii="Times New Roman" w:hAnsi="Times New Roman" w:cs="Times New Roman" w:hint="default"/>
    </w:rPr>
  </w:style>
  <w:style w:type="character" w:customStyle="1" w:styleId="ListLabel56">
    <w:name w:val="ListLabel 56"/>
    <w:rsid w:val="00FF04A3"/>
    <w:rPr>
      <w:rFonts w:ascii="Times New Roman" w:hAnsi="Times New Roman" w:cs="Times New Roman" w:hint="default"/>
    </w:rPr>
  </w:style>
  <w:style w:type="character" w:customStyle="1" w:styleId="ListLabel57">
    <w:name w:val="ListLabel 57"/>
    <w:rsid w:val="00FF04A3"/>
    <w:rPr>
      <w:rFonts w:ascii="Times New Roman" w:hAnsi="Times New Roman" w:cs="Times New Roman" w:hint="default"/>
    </w:rPr>
  </w:style>
  <w:style w:type="character" w:customStyle="1" w:styleId="WW-Internetlink">
    <w:name w:val="WW-Internet link"/>
    <w:rsid w:val="00FF04A3"/>
    <w:rPr>
      <w:rFonts w:ascii="Arial" w:hAnsi="Arial" w:cs="Arial" w:hint="default"/>
      <w:color w:val="000080"/>
      <w:u w:val="single"/>
    </w:rPr>
  </w:style>
  <w:style w:type="character" w:customStyle="1" w:styleId="WW-Internetlink1">
    <w:name w:val="WW-Internet link1"/>
    <w:rsid w:val="00FF04A3"/>
    <w:rPr>
      <w:color w:val="000080"/>
      <w:u w:val="single"/>
    </w:rPr>
  </w:style>
  <w:style w:type="character" w:customStyle="1" w:styleId="VisitedInternetLink">
    <w:name w:val="Visited Internet Link"/>
    <w:rsid w:val="00FF04A3"/>
    <w:rPr>
      <w:color w:val="800000"/>
      <w:u w:val="single"/>
    </w:rPr>
  </w:style>
  <w:style w:type="character" w:customStyle="1" w:styleId="WW-Internetlink12">
    <w:name w:val="WW-Internet link12"/>
    <w:rsid w:val="00FF04A3"/>
    <w:rPr>
      <w:rFonts w:ascii="Arial" w:hAnsi="Arial" w:cs="Arial" w:hint="default"/>
      <w:color w:val="000080"/>
      <w:u w:val="single"/>
    </w:rPr>
  </w:style>
  <w:style w:type="character" w:customStyle="1" w:styleId="WW-Internetlink123">
    <w:name w:val="WW-Internet link123"/>
    <w:rsid w:val="00FF04A3"/>
    <w:rPr>
      <w:color w:val="000080"/>
      <w:u w:val="single"/>
    </w:rPr>
  </w:style>
  <w:style w:type="character" w:customStyle="1" w:styleId="WW-Internetlink1234">
    <w:name w:val="WW-Internet link1234"/>
    <w:rsid w:val="00FF04A3"/>
    <w:rPr>
      <w:rFonts w:ascii="Arial" w:hAnsi="Arial" w:cs="Arial" w:hint="default"/>
      <w:color w:val="000080"/>
      <w:u w:val="single"/>
    </w:rPr>
  </w:style>
  <w:style w:type="character" w:customStyle="1" w:styleId="WW-Internetlink12345">
    <w:name w:val="WW-Internet link12345"/>
    <w:rsid w:val="00FF04A3"/>
    <w:rPr>
      <w:color w:val="000080"/>
      <w:u w:val="single"/>
    </w:rPr>
  </w:style>
  <w:style w:type="character" w:customStyle="1" w:styleId="WW-Internetlink123456">
    <w:name w:val="WW-Internet link123456"/>
    <w:rsid w:val="00FF04A3"/>
    <w:rPr>
      <w:rFonts w:ascii="Arial" w:hAnsi="Arial" w:cs="Arial" w:hint="default"/>
      <w:color w:val="000080"/>
      <w:u w:val="single"/>
    </w:rPr>
  </w:style>
  <w:style w:type="character" w:customStyle="1" w:styleId="WW-Internetlink1234567">
    <w:name w:val="WW-Internet link1234567"/>
    <w:rsid w:val="00FF04A3"/>
    <w:rPr>
      <w:color w:val="000080"/>
      <w:u w:val="single"/>
    </w:rPr>
  </w:style>
  <w:style w:type="character" w:customStyle="1" w:styleId="WW-Internetlink12345678">
    <w:name w:val="WW-Internet link12345678"/>
    <w:rsid w:val="00FF04A3"/>
    <w:rPr>
      <w:rFonts w:ascii="Arial" w:hAnsi="Arial" w:cs="Arial" w:hint="default"/>
      <w:color w:val="000080"/>
      <w:u w:val="single"/>
    </w:rPr>
  </w:style>
  <w:style w:type="character" w:customStyle="1" w:styleId="WW-Internetlink123456789">
    <w:name w:val="WW-Internet link123456789"/>
    <w:rsid w:val="00FF04A3"/>
    <w:rPr>
      <w:color w:val="000080"/>
      <w:u w:val="single"/>
    </w:rPr>
  </w:style>
  <w:style w:type="character" w:customStyle="1" w:styleId="WW-Internetlink12345678910">
    <w:name w:val="WW-Internet link12345678910"/>
    <w:rsid w:val="00FF04A3"/>
    <w:rPr>
      <w:rFonts w:ascii="Arial" w:hAnsi="Arial" w:cs="Arial" w:hint="default"/>
      <w:color w:val="000080"/>
      <w:u w:val="single"/>
    </w:rPr>
  </w:style>
  <w:style w:type="character" w:customStyle="1" w:styleId="WW-Internetlink1234567891011">
    <w:name w:val="WW-Internet link1234567891011"/>
    <w:rsid w:val="00FF04A3"/>
    <w:rPr>
      <w:color w:val="000080"/>
      <w:u w:val="single"/>
    </w:rPr>
  </w:style>
  <w:style w:type="character" w:customStyle="1" w:styleId="WW-Internetlink123456789101112">
    <w:name w:val="WW-Internet link123456789101112"/>
    <w:rsid w:val="00FF04A3"/>
    <w:rPr>
      <w:rFonts w:ascii="Arial" w:hAnsi="Arial" w:cs="Arial" w:hint="default"/>
      <w:color w:val="000080"/>
      <w:u w:val="single"/>
    </w:rPr>
  </w:style>
  <w:style w:type="character" w:customStyle="1" w:styleId="WW-Internetlink12345678910111213">
    <w:name w:val="WW-Internet link12345678910111213"/>
    <w:rsid w:val="00FF04A3"/>
    <w:rPr>
      <w:color w:val="000080"/>
      <w:u w:val="single"/>
    </w:rPr>
  </w:style>
  <w:style w:type="character" w:customStyle="1" w:styleId="WW-Internetlink1234567891011121314">
    <w:name w:val="WW-Internet link1234567891011121314"/>
    <w:rsid w:val="00FF04A3"/>
    <w:rPr>
      <w:rFonts w:ascii="Arial" w:hAnsi="Arial" w:cs="Arial" w:hint="default"/>
      <w:color w:val="000080"/>
      <w:u w:val="single"/>
    </w:rPr>
  </w:style>
  <w:style w:type="character" w:customStyle="1" w:styleId="WW-Internetlink123456789101112131415">
    <w:name w:val="WW-Internet link123456789101112131415"/>
    <w:rsid w:val="00FF04A3"/>
    <w:rPr>
      <w:color w:val="000080"/>
      <w:u w:val="single"/>
    </w:rPr>
  </w:style>
  <w:style w:type="character" w:customStyle="1" w:styleId="WW-Internetlink12345678910111213141516">
    <w:name w:val="WW-Internet link12345678910111213141516"/>
    <w:rsid w:val="00FF04A3"/>
    <w:rPr>
      <w:rFonts w:ascii="Arial" w:hAnsi="Arial" w:cs="Arial" w:hint="default"/>
      <w:color w:val="000080"/>
      <w:u w:val="single"/>
    </w:rPr>
  </w:style>
  <w:style w:type="character" w:customStyle="1" w:styleId="WW-Internetlink1234567891011121314151617">
    <w:name w:val="WW-Internet link1234567891011121314151617"/>
    <w:rsid w:val="00FF04A3"/>
    <w:rPr>
      <w:color w:val="000080"/>
      <w:u w:val="single"/>
    </w:rPr>
  </w:style>
  <w:style w:type="character" w:customStyle="1" w:styleId="WW-Internetlink123456789101112131415161718">
    <w:name w:val="WW-Internet link123456789101112131415161718"/>
    <w:rsid w:val="00FF04A3"/>
    <w:rPr>
      <w:rFonts w:ascii="Arial" w:hAnsi="Arial" w:cs="Arial" w:hint="default"/>
      <w:color w:val="000080"/>
      <w:u w:val="single"/>
    </w:rPr>
  </w:style>
  <w:style w:type="character" w:customStyle="1" w:styleId="WW-Caracteresdenotafinal">
    <w:name w:val="WW-Caracteres de nota final"/>
    <w:rsid w:val="00FF04A3"/>
  </w:style>
  <w:style w:type="character" w:customStyle="1" w:styleId="Refdenotaalfinal1">
    <w:name w:val="Ref. de nota al final1"/>
    <w:rsid w:val="00FF04A3"/>
    <w:rPr>
      <w:vertAlign w:val="superscript"/>
    </w:rPr>
  </w:style>
  <w:style w:type="character" w:customStyle="1" w:styleId="Refdenotaalpie2">
    <w:name w:val="Ref. de nota al pie2"/>
    <w:rsid w:val="00FF04A3"/>
    <w:rPr>
      <w:vertAlign w:val="superscript"/>
    </w:rPr>
  </w:style>
  <w:style w:type="character" w:customStyle="1" w:styleId="Refdenotaalfinal2">
    <w:name w:val="Ref. de nota al final2"/>
    <w:rsid w:val="00FF04A3"/>
    <w:rPr>
      <w:vertAlign w:val="superscript"/>
    </w:rPr>
  </w:style>
  <w:style w:type="paragraph" w:customStyle="1" w:styleId="Ttulo540">
    <w:name w:val="Título 54"/>
    <w:basedOn w:val="Normal"/>
    <w:rsid w:val="00FF04A3"/>
    <w:pPr>
      <w:keepNext/>
      <w:shd w:val="clear" w:color="auto" w:fill="FFFFFF"/>
      <w:suppressAutoHyphens w:val="0"/>
      <w:jc w:val="center"/>
    </w:pPr>
    <w:rPr>
      <w:rFonts w:eastAsia="Calibri"/>
      <w:b/>
      <w:bCs/>
      <w:i/>
      <w:iCs/>
      <w:sz w:val="26"/>
      <w:szCs w:val="26"/>
      <w:u w:val="single"/>
      <w:lang w:val="es-CR" w:eastAsia="es-CR"/>
    </w:rPr>
  </w:style>
  <w:style w:type="character" w:customStyle="1" w:styleId="estilocorreo18">
    <w:name w:val="estilocorreo18"/>
    <w:semiHidden/>
    <w:rsid w:val="00FF04A3"/>
    <w:rPr>
      <w:rFonts w:ascii="Calibri" w:hAnsi="Calibri" w:hint="default"/>
      <w:color w:val="auto"/>
    </w:rPr>
  </w:style>
  <w:style w:type="character" w:customStyle="1" w:styleId="PiedepginaCar1">
    <w:name w:val="Pie de página Car1"/>
    <w:uiPriority w:val="99"/>
    <w:qFormat/>
    <w:rsid w:val="00FF04A3"/>
    <w:rPr>
      <w:rFonts w:ascii="Times New Roman" w:eastAsia="Times New Roman" w:hAnsi="Times New Roman" w:cs="Times New Roman"/>
      <w:sz w:val="24"/>
      <w:szCs w:val="24"/>
      <w:lang w:val="es-ES" w:eastAsia="es-ES"/>
    </w:rPr>
  </w:style>
  <w:style w:type="paragraph" w:customStyle="1" w:styleId="pa61">
    <w:name w:val="pa61"/>
    <w:basedOn w:val="Normal"/>
    <w:rsid w:val="00FF04A3"/>
    <w:pPr>
      <w:suppressAutoHyphens w:val="0"/>
      <w:spacing w:before="100" w:beforeAutospacing="1" w:after="100" w:afterAutospacing="1"/>
    </w:pPr>
    <w:rPr>
      <w:lang w:val="es-CR" w:eastAsia="es-CR"/>
    </w:rPr>
  </w:style>
  <w:style w:type="paragraph" w:customStyle="1" w:styleId="pa71">
    <w:name w:val="pa71"/>
    <w:basedOn w:val="Normal"/>
    <w:rsid w:val="00FF04A3"/>
    <w:pPr>
      <w:suppressAutoHyphens w:val="0"/>
      <w:spacing w:before="100" w:beforeAutospacing="1" w:after="100" w:afterAutospacing="1"/>
    </w:pPr>
    <w:rPr>
      <w:lang w:val="es-CR" w:eastAsia="es-CR"/>
    </w:rPr>
  </w:style>
  <w:style w:type="character" w:customStyle="1" w:styleId="a41">
    <w:name w:val="a41"/>
    <w:rsid w:val="00FF04A3"/>
  </w:style>
  <w:style w:type="paragraph" w:customStyle="1" w:styleId="pa111">
    <w:name w:val="pa111"/>
    <w:basedOn w:val="Normal"/>
    <w:rsid w:val="00FF04A3"/>
    <w:pPr>
      <w:suppressAutoHyphens w:val="0"/>
      <w:spacing w:before="100" w:beforeAutospacing="1" w:after="100" w:afterAutospacing="1"/>
    </w:pPr>
    <w:rPr>
      <w:lang w:val="es-CR" w:eastAsia="es-CR"/>
    </w:rPr>
  </w:style>
  <w:style w:type="table" w:styleId="Sombreadomedio2-nfasis3">
    <w:name w:val="Medium Shading 2 Accent 3"/>
    <w:basedOn w:val="Tablanormal"/>
    <w:uiPriority w:val="64"/>
    <w:rsid w:val="00FF04A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domedio1-nfasis6">
    <w:name w:val="Medium Shading 1 Accent 6"/>
    <w:basedOn w:val="Tablanormal"/>
    <w:uiPriority w:val="63"/>
    <w:rsid w:val="00FF04A3"/>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Sombreadoclaro-nfasis2">
    <w:name w:val="Light Shading Accent 2"/>
    <w:basedOn w:val="Tablanormal"/>
    <w:uiPriority w:val="60"/>
    <w:rsid w:val="00FF04A3"/>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Sombreadomedio2-nfasis2">
    <w:name w:val="Medium Shading 2 Accent 2"/>
    <w:basedOn w:val="Tablanormal"/>
    <w:uiPriority w:val="64"/>
    <w:rsid w:val="00FF04A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Mencinsinresolver4">
    <w:name w:val="Mención sin resolver4"/>
    <w:uiPriority w:val="99"/>
    <w:semiHidden/>
    <w:unhideWhenUsed/>
    <w:rsid w:val="00FF04A3"/>
    <w:rPr>
      <w:color w:val="808080"/>
      <w:shd w:val="clear" w:color="auto" w:fill="E6E6E6"/>
    </w:rPr>
  </w:style>
  <w:style w:type="character" w:customStyle="1" w:styleId="mark3rfm4pbvl">
    <w:name w:val="mark3rfm4pbvl"/>
    <w:basedOn w:val="Fuentedeprrafopredeter"/>
    <w:rsid w:val="00FF04A3"/>
  </w:style>
  <w:style w:type="character" w:customStyle="1" w:styleId="markrd3hfmvg8">
    <w:name w:val="markrd3hfmvg8"/>
    <w:basedOn w:val="Fuentedeprrafopredeter"/>
    <w:rsid w:val="00FF04A3"/>
  </w:style>
  <w:style w:type="character" w:customStyle="1" w:styleId="Mencinsinresolver5">
    <w:name w:val="Mención sin resolver5"/>
    <w:basedOn w:val="Fuentedeprrafopredeter"/>
    <w:uiPriority w:val="99"/>
    <w:semiHidden/>
    <w:unhideWhenUsed/>
    <w:rsid w:val="00FF04A3"/>
    <w:rPr>
      <w:color w:val="605E5C"/>
      <w:shd w:val="clear" w:color="auto" w:fill="E1DFDD"/>
    </w:rPr>
  </w:style>
  <w:style w:type="paragraph" w:customStyle="1" w:styleId="FIGURA1">
    <w:name w:val="FIGURA"/>
    <w:basedOn w:val="Normal"/>
    <w:link w:val="FIGURACar"/>
    <w:autoRedefine/>
    <w:qFormat/>
    <w:rsid w:val="00FF04A3"/>
    <w:pPr>
      <w:suppressAutoHyphens w:val="0"/>
      <w:spacing w:line="276" w:lineRule="auto"/>
    </w:pPr>
    <w:rPr>
      <w:rFonts w:ascii="Arial Narrow" w:hAnsi="Arial Narrow" w:cs="Calibri,Bold"/>
      <w:b/>
      <w:bCs/>
      <w:lang w:val="es-CR" w:eastAsia="es-CR"/>
    </w:rPr>
  </w:style>
  <w:style w:type="paragraph" w:customStyle="1" w:styleId="FuenteoNotas">
    <w:name w:val="Fuente o Notas"/>
    <w:basedOn w:val="Normal"/>
    <w:link w:val="FuenteoNotasCar"/>
    <w:qFormat/>
    <w:rsid w:val="00FF04A3"/>
    <w:pPr>
      <w:suppressAutoHyphens w:val="0"/>
      <w:spacing w:line="360" w:lineRule="auto"/>
      <w:jc w:val="both"/>
    </w:pPr>
    <w:rPr>
      <w:rFonts w:ascii="Arial Narrow" w:hAnsi="Arial Narrow" w:cs="Calibri,Bold"/>
      <w:b/>
      <w:bCs/>
      <w:sz w:val="18"/>
      <w:szCs w:val="20"/>
      <w:lang w:val="es-CR" w:eastAsia="es-CR"/>
    </w:rPr>
  </w:style>
  <w:style w:type="character" w:customStyle="1" w:styleId="FIGURACar">
    <w:name w:val="FIGURA Car"/>
    <w:basedOn w:val="Fuentedeprrafopredeter"/>
    <w:link w:val="FIGURA1"/>
    <w:rsid w:val="00FF04A3"/>
    <w:rPr>
      <w:rFonts w:ascii="Arial Narrow" w:hAnsi="Arial Narrow" w:cs="Calibri,Bold"/>
      <w:b/>
      <w:bCs/>
      <w:sz w:val="24"/>
      <w:szCs w:val="24"/>
      <w:lang w:val="es-CR" w:eastAsia="es-CR"/>
    </w:rPr>
  </w:style>
  <w:style w:type="character" w:customStyle="1" w:styleId="FuenteoNotasCar">
    <w:name w:val="Fuente o Notas Car"/>
    <w:basedOn w:val="Fuentedeprrafopredeter"/>
    <w:link w:val="FuenteoNotas"/>
    <w:rsid w:val="00FF04A3"/>
    <w:rPr>
      <w:rFonts w:ascii="Arial Narrow" w:hAnsi="Arial Narrow" w:cs="Calibri,Bold"/>
      <w:b/>
      <w:bCs/>
      <w:sz w:val="18"/>
      <w:lang w:val="es-CR" w:eastAsia="es-CR"/>
    </w:rPr>
  </w:style>
  <w:style w:type="paragraph" w:customStyle="1" w:styleId="Tabla1">
    <w:name w:val="Tabla 1"/>
    <w:basedOn w:val="NormalWeb"/>
    <w:link w:val="Tabla1Car"/>
    <w:autoRedefine/>
    <w:qFormat/>
    <w:rsid w:val="00FF04A3"/>
    <w:pPr>
      <w:suppressAutoHyphens w:val="0"/>
      <w:spacing w:before="0" w:after="0"/>
    </w:pPr>
    <w:rPr>
      <w:rFonts w:ascii="Calibri" w:eastAsiaTheme="minorEastAsia" w:hAnsi="Calibri" w:cs="Calibri"/>
    </w:rPr>
  </w:style>
  <w:style w:type="character" w:customStyle="1" w:styleId="Tabla1Car">
    <w:name w:val="Tabla 1 Car"/>
    <w:basedOn w:val="NormalWebCar"/>
    <w:link w:val="Tabla1"/>
    <w:rsid w:val="00FF04A3"/>
    <w:rPr>
      <w:rFonts w:ascii="Calibri" w:eastAsiaTheme="minorEastAsia" w:hAnsi="Calibri" w:cs="Calibri"/>
      <w:sz w:val="24"/>
      <w:szCs w:val="24"/>
      <w:lang w:val="es-ES" w:eastAsia="ar-SA"/>
    </w:rPr>
  </w:style>
  <w:style w:type="character" w:customStyle="1" w:styleId="Textoindependiente3Car1">
    <w:name w:val="Texto independiente 3 Car1"/>
    <w:basedOn w:val="Fuentedeprrafopredeter"/>
    <w:uiPriority w:val="99"/>
    <w:semiHidden/>
    <w:rsid w:val="00FF04A3"/>
    <w:rPr>
      <w:sz w:val="16"/>
      <w:szCs w:val="16"/>
      <w:lang w:val="es-CR"/>
    </w:rPr>
  </w:style>
  <w:style w:type="paragraph" w:customStyle="1" w:styleId="xxxxmsonormal">
    <w:name w:val="x_xxxmsonormal"/>
    <w:basedOn w:val="Normal"/>
    <w:uiPriority w:val="99"/>
    <w:rsid w:val="00FF04A3"/>
    <w:pPr>
      <w:suppressAutoHyphens w:val="0"/>
    </w:pPr>
    <w:rPr>
      <w:rFonts w:ascii="Calibri" w:eastAsiaTheme="minorHAnsi" w:hAnsi="Calibri" w:cs="Calibri"/>
      <w:sz w:val="22"/>
      <w:szCs w:val="22"/>
      <w:lang w:val="es-CR" w:eastAsia="es-CR"/>
    </w:rPr>
  </w:style>
  <w:style w:type="paragraph" w:customStyle="1" w:styleId="xxxmsonormal0">
    <w:name w:val="x_xxmsonormal"/>
    <w:basedOn w:val="Normal"/>
    <w:uiPriority w:val="99"/>
    <w:rsid w:val="00FF04A3"/>
    <w:pPr>
      <w:suppressAutoHyphens w:val="0"/>
    </w:pPr>
    <w:rPr>
      <w:rFonts w:ascii="Calibri" w:eastAsiaTheme="minorHAnsi" w:hAnsi="Calibri" w:cs="Calibri"/>
      <w:sz w:val="22"/>
      <w:szCs w:val="22"/>
      <w:lang w:val="es-CR" w:eastAsia="es-CR"/>
    </w:rPr>
  </w:style>
  <w:style w:type="character" w:customStyle="1" w:styleId="ui-provider">
    <w:name w:val="ui-provider"/>
    <w:basedOn w:val="Fuentedeprrafopredeter"/>
    <w:rsid w:val="00FF04A3"/>
  </w:style>
  <w:style w:type="character" w:customStyle="1" w:styleId="tabchar">
    <w:name w:val="tabchar"/>
    <w:basedOn w:val="Fuentedeprrafopredeter"/>
    <w:rsid w:val="00FF04A3"/>
  </w:style>
  <w:style w:type="character" w:customStyle="1" w:styleId="Refdecomentario2">
    <w:name w:val="Ref. de comentario2"/>
    <w:rsid w:val="00FF04A3"/>
    <w:rPr>
      <w:sz w:val="16"/>
      <w:szCs w:val="16"/>
    </w:rPr>
  </w:style>
  <w:style w:type="paragraph" w:customStyle="1" w:styleId="xmsobodytext2">
    <w:name w:val="x_msobodytext2"/>
    <w:basedOn w:val="Normal"/>
    <w:rsid w:val="00FF04A3"/>
    <w:pPr>
      <w:suppressAutoHyphens w:val="0"/>
      <w:jc w:val="both"/>
    </w:pPr>
    <w:rPr>
      <w:rFonts w:ascii="Comic Sans MS" w:eastAsia="Calibri" w:hAnsi="Comic Sans MS" w:cs="Calibri"/>
      <w:color w:val="000000"/>
      <w:sz w:val="22"/>
      <w:szCs w:val="22"/>
      <w:lang w:val="es-CR" w:eastAsia="es-CR"/>
    </w:rPr>
  </w:style>
  <w:style w:type="paragraph" w:customStyle="1" w:styleId="pf0">
    <w:name w:val="pf0"/>
    <w:basedOn w:val="Normal"/>
    <w:rsid w:val="00FF04A3"/>
    <w:pPr>
      <w:suppressAutoHyphens w:val="0"/>
      <w:spacing w:before="100" w:beforeAutospacing="1" w:after="100" w:afterAutospacing="1"/>
    </w:pPr>
    <w:rPr>
      <w:rFonts w:ascii="Calibri" w:eastAsia="Calibri" w:hAnsi="Calibri"/>
      <w:lang w:val="es-CR" w:eastAsia="es-CR"/>
    </w:rPr>
  </w:style>
  <w:style w:type="character" w:customStyle="1" w:styleId="cf01">
    <w:name w:val="cf01"/>
    <w:rsid w:val="00FF04A3"/>
    <w:rPr>
      <w:rFonts w:ascii="Segoe UI" w:hAnsi="Segoe UI" w:cs="Segoe UI" w:hint="default"/>
      <w:sz w:val="18"/>
      <w:szCs w:val="18"/>
    </w:rPr>
  </w:style>
  <w:style w:type="character" w:customStyle="1" w:styleId="cf11">
    <w:name w:val="cf11"/>
    <w:rsid w:val="00FF04A3"/>
    <w:rPr>
      <w:rFonts w:ascii="Segoe UI" w:hAnsi="Segoe UI" w:cs="Segoe UI" w:hint="default"/>
      <w:sz w:val="18"/>
      <w:szCs w:val="18"/>
    </w:rPr>
  </w:style>
  <w:style w:type="character" w:customStyle="1" w:styleId="cf21">
    <w:name w:val="cf21"/>
    <w:rsid w:val="00FF04A3"/>
    <w:rPr>
      <w:rFonts w:ascii="Segoe UI" w:hAnsi="Segoe UI" w:cs="Segoe UI" w:hint="default"/>
      <w:i/>
      <w:iCs/>
      <w:sz w:val="18"/>
      <w:szCs w:val="18"/>
    </w:rPr>
  </w:style>
  <w:style w:type="character" w:customStyle="1" w:styleId="Heading3Char">
    <w:name w:val="Heading 3 Char"/>
    <w:basedOn w:val="Fuentedeprrafopredeter"/>
    <w:link w:val="Encabezado31"/>
    <w:uiPriority w:val="99"/>
    <w:qFormat/>
    <w:locked/>
    <w:rsid w:val="00FF04A3"/>
    <w:rPr>
      <w:b/>
      <w:bCs/>
      <w:sz w:val="18"/>
      <w:szCs w:val="18"/>
    </w:rPr>
  </w:style>
  <w:style w:type="character" w:customStyle="1" w:styleId="nfasis2">
    <w:name w:val="Énfasis2"/>
    <w:rsid w:val="00FF04A3"/>
    <w:rPr>
      <w:i/>
    </w:rPr>
  </w:style>
  <w:style w:type="paragraph" w:customStyle="1" w:styleId="Encabezado41">
    <w:name w:val="Encabezado 4"/>
    <w:basedOn w:val="Predeterminado0"/>
    <w:next w:val="Cuerpodetexto"/>
    <w:uiPriority w:val="99"/>
    <w:qFormat/>
    <w:rsid w:val="00FF04A3"/>
    <w:pPr>
      <w:keepNext/>
      <w:tabs>
        <w:tab w:val="num" w:pos="864"/>
      </w:tabs>
      <w:suppressAutoHyphens/>
      <w:autoSpaceDE/>
      <w:autoSpaceDN/>
      <w:adjustRightInd/>
      <w:spacing w:line="100" w:lineRule="atLeast"/>
      <w:ind w:left="864" w:hanging="864"/>
      <w:jc w:val="center"/>
      <w:outlineLvl w:val="3"/>
    </w:pPr>
    <w:rPr>
      <w:rFonts w:ascii="Times New Roman" w:eastAsia="SimSun" w:hAnsi="Times New Roman" w:cs="Times New Roman"/>
      <w:b/>
      <w:bCs/>
      <w:color w:val="auto"/>
      <w:sz w:val="32"/>
      <w:szCs w:val="32"/>
      <w:lang w:val="es-CR" w:eastAsia="es-CR"/>
    </w:rPr>
  </w:style>
  <w:style w:type="paragraph" w:customStyle="1" w:styleId="Encabezado70">
    <w:name w:val="Encabezado 7"/>
    <w:basedOn w:val="Predeterminado0"/>
    <w:next w:val="Cuerpodetexto"/>
    <w:uiPriority w:val="99"/>
    <w:qFormat/>
    <w:rsid w:val="00FF04A3"/>
    <w:pPr>
      <w:keepNext/>
      <w:tabs>
        <w:tab w:val="num" w:pos="1296"/>
      </w:tabs>
      <w:suppressAutoHyphens/>
      <w:autoSpaceDE/>
      <w:autoSpaceDN/>
      <w:adjustRightInd/>
      <w:spacing w:line="100" w:lineRule="atLeast"/>
      <w:ind w:left="1296" w:hanging="1296"/>
      <w:jc w:val="center"/>
      <w:outlineLvl w:val="6"/>
    </w:pPr>
    <w:rPr>
      <w:rFonts w:ascii="Times New Roman" w:eastAsia="SimSun" w:hAnsi="Times New Roman" w:cs="Times New Roman"/>
      <w:b/>
      <w:bCs/>
      <w:color w:val="auto"/>
      <w:sz w:val="24"/>
      <w:szCs w:val="24"/>
      <w:lang w:val="es-CR" w:eastAsia="es-CR"/>
    </w:rPr>
  </w:style>
  <w:style w:type="paragraph" w:customStyle="1" w:styleId="Encabezado8">
    <w:name w:val="Encabezado 8"/>
    <w:basedOn w:val="Predeterminado0"/>
    <w:next w:val="Cuerpodetexto"/>
    <w:uiPriority w:val="99"/>
    <w:qFormat/>
    <w:rsid w:val="00FF04A3"/>
    <w:pPr>
      <w:keepNext/>
      <w:tabs>
        <w:tab w:val="num" w:pos="1440"/>
      </w:tabs>
      <w:suppressAutoHyphens/>
      <w:autoSpaceDE/>
      <w:autoSpaceDN/>
      <w:adjustRightInd/>
      <w:spacing w:line="100" w:lineRule="atLeast"/>
      <w:ind w:left="1440" w:hanging="1440"/>
      <w:outlineLvl w:val="7"/>
    </w:pPr>
    <w:rPr>
      <w:rFonts w:ascii="Times New Roman" w:eastAsia="SimSun" w:hAnsi="Times New Roman" w:cs="Times New Roman"/>
      <w:b/>
      <w:bCs/>
      <w:color w:val="auto"/>
      <w:sz w:val="20"/>
      <w:szCs w:val="20"/>
      <w:lang w:val="es-CR" w:eastAsia="es-CR"/>
    </w:rPr>
  </w:style>
  <w:style w:type="paragraph" w:customStyle="1" w:styleId="Encabezado9">
    <w:name w:val="Encabezado 9"/>
    <w:basedOn w:val="Predeterminado0"/>
    <w:next w:val="Cuerpodetexto"/>
    <w:uiPriority w:val="99"/>
    <w:qFormat/>
    <w:rsid w:val="00FF04A3"/>
    <w:pPr>
      <w:keepNext/>
      <w:tabs>
        <w:tab w:val="num" w:pos="1584"/>
      </w:tabs>
      <w:suppressAutoHyphens/>
      <w:autoSpaceDE/>
      <w:autoSpaceDN/>
      <w:adjustRightInd/>
      <w:spacing w:line="100" w:lineRule="atLeast"/>
      <w:ind w:left="360"/>
      <w:jc w:val="center"/>
      <w:outlineLvl w:val="8"/>
    </w:pPr>
    <w:rPr>
      <w:rFonts w:ascii="Book Antiqua" w:eastAsia="SimSun" w:hAnsi="Book Antiqua" w:cs="Times New Roman"/>
      <w:b/>
      <w:bCs/>
      <w:color w:val="auto"/>
      <w:sz w:val="24"/>
      <w:szCs w:val="24"/>
      <w:u w:val="double"/>
      <w:lang w:val="es-CR" w:eastAsia="es-CR"/>
    </w:rPr>
  </w:style>
  <w:style w:type="paragraph" w:customStyle="1" w:styleId="Ttulo23">
    <w:name w:val="Título 23"/>
    <w:basedOn w:val="Encabezado1"/>
    <w:next w:val="Normal"/>
    <w:rsid w:val="00FF04A3"/>
    <w:pPr>
      <w:widowControl w:val="0"/>
      <w:tabs>
        <w:tab w:val="num" w:pos="0"/>
      </w:tabs>
      <w:spacing w:after="60"/>
      <w:ind w:left="432" w:hanging="432"/>
      <w:jc w:val="center"/>
    </w:pPr>
    <w:rPr>
      <w:rFonts w:ascii="Book Antiqua" w:hAnsi="Book Antiqua" w:cs="Book Antiqua"/>
      <w:b/>
      <w:bCs/>
      <w:i/>
      <w:iCs/>
      <w:kern w:val="1"/>
      <w:u w:val="double"/>
      <w:lang w:eastAsia="zh-CN"/>
    </w:rPr>
  </w:style>
  <w:style w:type="paragraph" w:customStyle="1" w:styleId="Ttulo12">
    <w:name w:val="Título 12"/>
    <w:basedOn w:val="Normal"/>
    <w:next w:val="Normal"/>
    <w:rsid w:val="00FF04A3"/>
    <w:pPr>
      <w:keepNext/>
      <w:widowControl w:val="0"/>
      <w:tabs>
        <w:tab w:val="num" w:pos="0"/>
      </w:tabs>
      <w:ind w:left="432" w:hanging="432"/>
      <w:jc w:val="center"/>
    </w:pPr>
    <w:rPr>
      <w:rFonts w:eastAsia="Arial Unicode MS"/>
      <w:b/>
      <w:bCs/>
      <w:lang w:eastAsia="zh-CN"/>
    </w:rPr>
  </w:style>
  <w:style w:type="character" w:customStyle="1" w:styleId="Fuentedeprrafopredeter7">
    <w:name w:val="Fuente de párrafo predeter.7"/>
    <w:rsid w:val="00FF04A3"/>
  </w:style>
  <w:style w:type="character" w:customStyle="1" w:styleId="Fuentedeprrafopredeter6">
    <w:name w:val="Fuente de párrafo predeter.6"/>
    <w:qFormat/>
    <w:rsid w:val="00FF04A3"/>
  </w:style>
  <w:style w:type="character" w:customStyle="1" w:styleId="WW8Num11z5">
    <w:name w:val="WW8Num11z5"/>
    <w:uiPriority w:val="99"/>
    <w:qFormat/>
    <w:rsid w:val="00FF04A3"/>
  </w:style>
  <w:style w:type="character" w:customStyle="1" w:styleId="WW8Num11z6">
    <w:name w:val="WW8Num11z6"/>
    <w:uiPriority w:val="99"/>
    <w:qFormat/>
    <w:rsid w:val="00FF04A3"/>
  </w:style>
  <w:style w:type="character" w:customStyle="1" w:styleId="WW8Num11z7">
    <w:name w:val="WW8Num11z7"/>
    <w:uiPriority w:val="99"/>
    <w:qFormat/>
    <w:rsid w:val="00FF04A3"/>
  </w:style>
  <w:style w:type="character" w:customStyle="1" w:styleId="WW8Num11z8">
    <w:name w:val="WW8Num11z8"/>
    <w:uiPriority w:val="99"/>
    <w:qFormat/>
    <w:rsid w:val="00FF04A3"/>
  </w:style>
  <w:style w:type="character" w:customStyle="1" w:styleId="RTFNum210">
    <w:name w:val="RTF_Num 2 10"/>
    <w:uiPriority w:val="99"/>
    <w:qFormat/>
    <w:rsid w:val="00FF04A3"/>
    <w:rPr>
      <w:rFonts w:ascii="Book Antiqua" w:eastAsia="Book Antiqua" w:hAnsi="Book Antiqua" w:cs="Book Antiqua"/>
      <w:color w:val="auto"/>
      <w:sz w:val="24"/>
      <w:szCs w:val="24"/>
    </w:rPr>
  </w:style>
  <w:style w:type="character" w:styleId="AcrnimoHTML">
    <w:name w:val="HTML Acronym"/>
    <w:basedOn w:val="Fuentedeprrafopredeter3"/>
    <w:uiPriority w:val="99"/>
    <w:rsid w:val="00FF04A3"/>
  </w:style>
  <w:style w:type="paragraph" w:customStyle="1" w:styleId="Epgrafe6">
    <w:name w:val="Epígrafe6"/>
    <w:basedOn w:val="Normal"/>
    <w:rsid w:val="00FF04A3"/>
    <w:pPr>
      <w:widowControl w:val="0"/>
      <w:suppressLineNumbers/>
      <w:spacing w:before="120" w:after="120"/>
      <w:textAlignment w:val="baseline"/>
    </w:pPr>
    <w:rPr>
      <w:rFonts w:eastAsia="SimSun" w:cs="Mangal"/>
      <w:i/>
      <w:iCs/>
      <w:kern w:val="1"/>
      <w:lang w:val="es-CR" w:eastAsia="zh-CN" w:bidi="hi-IN"/>
    </w:rPr>
  </w:style>
  <w:style w:type="paragraph" w:customStyle="1" w:styleId="Epgrafe5">
    <w:name w:val="Epígrafe5"/>
    <w:basedOn w:val="Normal"/>
    <w:rsid w:val="00FF04A3"/>
    <w:pPr>
      <w:widowControl w:val="0"/>
      <w:suppressLineNumbers/>
      <w:spacing w:before="120" w:after="120"/>
      <w:textAlignment w:val="baseline"/>
    </w:pPr>
    <w:rPr>
      <w:rFonts w:eastAsia="SimSun" w:cs="Mangal"/>
      <w:i/>
      <w:iCs/>
      <w:kern w:val="1"/>
      <w:lang w:val="es-CR" w:eastAsia="zh-CN" w:bidi="hi-IN"/>
    </w:rPr>
  </w:style>
  <w:style w:type="paragraph" w:customStyle="1" w:styleId="Epgrafe4">
    <w:name w:val="Epígrafe4"/>
    <w:basedOn w:val="Normal"/>
    <w:qFormat/>
    <w:rsid w:val="00FF04A3"/>
    <w:pPr>
      <w:widowControl w:val="0"/>
      <w:suppressLineNumbers/>
      <w:spacing w:before="120" w:after="120"/>
      <w:textAlignment w:val="baseline"/>
    </w:pPr>
    <w:rPr>
      <w:rFonts w:eastAsia="SimSun" w:cs="Mangal"/>
      <w:i/>
      <w:iCs/>
      <w:kern w:val="1"/>
      <w:lang w:val="es-CR" w:eastAsia="zh-CN" w:bidi="hi-IN"/>
    </w:rPr>
  </w:style>
  <w:style w:type="paragraph" w:customStyle="1" w:styleId="Headinguser">
    <w:name w:val="Heading (user)"/>
    <w:next w:val="Textbody"/>
    <w:rsid w:val="00FF04A3"/>
    <w:pPr>
      <w:keepNext/>
      <w:widowControl w:val="0"/>
      <w:suppressAutoHyphens/>
      <w:autoSpaceDE w:val="0"/>
      <w:spacing w:before="240" w:after="120" w:line="0" w:lineRule="atLeast"/>
      <w:textAlignment w:val="baseline"/>
    </w:pPr>
    <w:rPr>
      <w:rFonts w:ascii="Arial" w:eastAsia="Arial" w:hAnsi="Arial" w:cs="Arial"/>
      <w:kern w:val="1"/>
      <w:sz w:val="28"/>
      <w:szCs w:val="28"/>
      <w:lang w:val="es-CR" w:eastAsia="zh-CN" w:bidi="es-CR"/>
    </w:rPr>
  </w:style>
  <w:style w:type="paragraph" w:customStyle="1" w:styleId="Indexuser">
    <w:name w:val="Index (user)"/>
    <w:rsid w:val="00FF04A3"/>
    <w:pPr>
      <w:widowControl w:val="0"/>
      <w:suppressAutoHyphens/>
      <w:autoSpaceDE w:val="0"/>
      <w:textAlignment w:val="baseline"/>
    </w:pPr>
    <w:rPr>
      <w:rFonts w:ascii="Book Antiqua" w:eastAsia="Book Antiqua" w:hAnsi="Book Antiqua" w:cs="Book Antiqua"/>
      <w:kern w:val="1"/>
      <w:sz w:val="22"/>
      <w:szCs w:val="22"/>
      <w:lang w:val="es-CR" w:eastAsia="zh-CN" w:bidi="es-CR"/>
    </w:rPr>
  </w:style>
  <w:style w:type="paragraph" w:customStyle="1" w:styleId="Textbodyindent">
    <w:name w:val="Text body indent"/>
    <w:basedOn w:val="Textbody"/>
    <w:uiPriority w:val="99"/>
    <w:qFormat/>
    <w:rsid w:val="00FF04A3"/>
    <w:pPr>
      <w:widowControl w:val="0"/>
      <w:autoSpaceDE w:val="0"/>
      <w:autoSpaceDN/>
      <w:spacing w:after="0" w:line="240" w:lineRule="auto"/>
      <w:jc w:val="both"/>
    </w:pPr>
    <w:rPr>
      <w:rFonts w:ascii="Arial" w:eastAsia="Arial" w:hAnsi="Arial" w:cs="Arial"/>
      <w:kern w:val="1"/>
      <w:sz w:val="19"/>
      <w:szCs w:val="19"/>
      <w:lang w:bidi="es-CR"/>
    </w:rPr>
  </w:style>
  <w:style w:type="paragraph" w:customStyle="1" w:styleId="TableHeadinguser">
    <w:name w:val="Table Heading (user)"/>
    <w:rsid w:val="00FF04A3"/>
    <w:pPr>
      <w:widowControl w:val="0"/>
      <w:suppressAutoHyphens/>
      <w:autoSpaceDE w:val="0"/>
      <w:jc w:val="center"/>
      <w:textAlignment w:val="baseline"/>
    </w:pPr>
    <w:rPr>
      <w:rFonts w:ascii="Book Antiqua" w:eastAsia="Book Antiqua" w:hAnsi="Book Antiqua" w:cs="Book Antiqua"/>
      <w:b/>
      <w:bCs/>
      <w:kern w:val="1"/>
      <w:sz w:val="22"/>
      <w:szCs w:val="22"/>
      <w:lang w:val="es-CR" w:eastAsia="zh-CN" w:bidi="es-CR"/>
    </w:rPr>
  </w:style>
  <w:style w:type="paragraph" w:customStyle="1" w:styleId="Framecontentsuser">
    <w:name w:val="Frame contents (user)"/>
    <w:rsid w:val="00FF04A3"/>
    <w:pPr>
      <w:widowControl w:val="0"/>
      <w:suppressAutoHyphens/>
      <w:autoSpaceDE w:val="0"/>
      <w:jc w:val="both"/>
      <w:textAlignment w:val="baseline"/>
    </w:pPr>
    <w:rPr>
      <w:color w:val="993300"/>
      <w:kern w:val="1"/>
      <w:sz w:val="22"/>
      <w:szCs w:val="22"/>
      <w:lang w:val="es-CR" w:eastAsia="zh-CN" w:bidi="es-CR"/>
    </w:rPr>
  </w:style>
  <w:style w:type="paragraph" w:customStyle="1" w:styleId="WW-TableContents">
    <w:name w:val="WW-Table Contents"/>
    <w:uiPriority w:val="99"/>
    <w:qFormat/>
    <w:rsid w:val="00FF04A3"/>
    <w:pPr>
      <w:widowControl w:val="0"/>
      <w:suppressAutoHyphens/>
      <w:autoSpaceDE w:val="0"/>
      <w:textAlignment w:val="baseline"/>
    </w:pPr>
    <w:rPr>
      <w:rFonts w:ascii="Book Antiqua" w:eastAsia="Book Antiqua" w:hAnsi="Book Antiqua" w:cs="Book Antiqua"/>
      <w:kern w:val="1"/>
      <w:sz w:val="22"/>
      <w:szCs w:val="22"/>
      <w:lang w:val="es-CR" w:eastAsia="zh-CN" w:bidi="es-CR"/>
    </w:rPr>
  </w:style>
  <w:style w:type="paragraph" w:customStyle="1" w:styleId="WW-TableHeading">
    <w:name w:val="WW-Table Heading"/>
    <w:uiPriority w:val="99"/>
    <w:qFormat/>
    <w:rsid w:val="00FF04A3"/>
    <w:pPr>
      <w:widowControl w:val="0"/>
      <w:suppressAutoHyphens/>
      <w:autoSpaceDE w:val="0"/>
      <w:jc w:val="center"/>
      <w:textAlignment w:val="baseline"/>
    </w:pPr>
    <w:rPr>
      <w:rFonts w:ascii="Book Antiqua" w:eastAsia="Book Antiqua" w:hAnsi="Book Antiqua" w:cs="Book Antiqua"/>
      <w:b/>
      <w:bCs/>
      <w:kern w:val="1"/>
      <w:sz w:val="22"/>
      <w:szCs w:val="22"/>
      <w:lang w:val="es-CR" w:eastAsia="zh-CN" w:bidi="es-CR"/>
    </w:rPr>
  </w:style>
  <w:style w:type="paragraph" w:customStyle="1" w:styleId="WW-TableContents10">
    <w:name w:val="WW-Table Contents1"/>
    <w:uiPriority w:val="99"/>
    <w:qFormat/>
    <w:rsid w:val="00FF04A3"/>
    <w:pPr>
      <w:widowControl w:val="0"/>
      <w:suppressAutoHyphens/>
      <w:autoSpaceDE w:val="0"/>
      <w:textAlignment w:val="baseline"/>
    </w:pPr>
    <w:rPr>
      <w:rFonts w:ascii="Book Antiqua" w:eastAsia="Book Antiqua" w:hAnsi="Book Antiqua" w:cs="Book Antiqua"/>
      <w:kern w:val="1"/>
      <w:sz w:val="22"/>
      <w:szCs w:val="22"/>
      <w:lang w:val="es-CR" w:eastAsia="zh-CN" w:bidi="es-CR"/>
    </w:rPr>
  </w:style>
  <w:style w:type="paragraph" w:customStyle="1" w:styleId="WW-TableHeading1">
    <w:name w:val="WW-Table Heading1"/>
    <w:uiPriority w:val="99"/>
    <w:qFormat/>
    <w:rsid w:val="00FF04A3"/>
    <w:pPr>
      <w:widowControl w:val="0"/>
      <w:suppressAutoHyphens/>
      <w:autoSpaceDE w:val="0"/>
      <w:jc w:val="center"/>
      <w:textAlignment w:val="baseline"/>
    </w:pPr>
    <w:rPr>
      <w:rFonts w:ascii="Book Antiqua" w:eastAsia="Book Antiqua" w:hAnsi="Book Antiqua" w:cs="Book Antiqua"/>
      <w:b/>
      <w:bCs/>
      <w:kern w:val="1"/>
      <w:sz w:val="22"/>
      <w:szCs w:val="22"/>
      <w:lang w:val="es-CR" w:eastAsia="zh-CN" w:bidi="es-CR"/>
    </w:rPr>
  </w:style>
  <w:style w:type="paragraph" w:customStyle="1" w:styleId="Ttulo24">
    <w:name w:val="Título 24"/>
    <w:basedOn w:val="Encabezado1"/>
    <w:next w:val="Normal"/>
    <w:rsid w:val="00FF04A3"/>
    <w:pPr>
      <w:widowControl w:val="0"/>
      <w:tabs>
        <w:tab w:val="num" w:pos="0"/>
      </w:tabs>
      <w:spacing w:after="60"/>
      <w:ind w:left="432" w:hanging="432"/>
      <w:jc w:val="center"/>
    </w:pPr>
    <w:rPr>
      <w:rFonts w:ascii="Book Antiqua" w:hAnsi="Book Antiqua" w:cs="Book Antiqua"/>
      <w:b/>
      <w:bCs/>
      <w:i/>
      <w:iCs/>
      <w:kern w:val="1"/>
      <w:u w:val="double"/>
      <w:lang w:eastAsia="zh-CN"/>
    </w:rPr>
  </w:style>
  <w:style w:type="paragraph" w:customStyle="1" w:styleId="Ttulo13">
    <w:name w:val="Título 13"/>
    <w:basedOn w:val="Normal"/>
    <w:next w:val="Normal"/>
    <w:rsid w:val="00FF04A3"/>
    <w:pPr>
      <w:keepNext/>
      <w:widowControl w:val="0"/>
      <w:tabs>
        <w:tab w:val="num" w:pos="0"/>
      </w:tabs>
      <w:ind w:left="432" w:hanging="432"/>
      <w:jc w:val="center"/>
    </w:pPr>
    <w:rPr>
      <w:rFonts w:eastAsia="Arial Unicode MS"/>
      <w:b/>
      <w:bCs/>
      <w:lang w:eastAsia="zh-CN"/>
    </w:rPr>
  </w:style>
  <w:style w:type="paragraph" w:customStyle="1" w:styleId="Sinespaciado6">
    <w:name w:val="Sin espaciado6"/>
    <w:rsid w:val="00FF04A3"/>
    <w:pPr>
      <w:suppressAutoHyphens/>
    </w:pPr>
    <w:rPr>
      <w:rFonts w:ascii="Calibri" w:hAnsi="Calibri" w:cs="Calibri"/>
      <w:color w:val="00000A"/>
      <w:sz w:val="22"/>
      <w:szCs w:val="22"/>
      <w:lang w:val="es-MX" w:eastAsia="zh-CN"/>
    </w:rPr>
  </w:style>
  <w:style w:type="paragraph" w:customStyle="1" w:styleId="Sinespaciado7">
    <w:name w:val="Sin espaciado7"/>
    <w:rsid w:val="00FF04A3"/>
    <w:pPr>
      <w:suppressAutoHyphens/>
      <w:spacing w:line="100" w:lineRule="atLeast"/>
    </w:pPr>
    <w:rPr>
      <w:rFonts w:ascii="Calibri" w:eastAsia="Calibri" w:hAnsi="Calibri" w:cs="Arial"/>
      <w:color w:val="00000A"/>
      <w:kern w:val="1"/>
      <w:sz w:val="22"/>
      <w:szCs w:val="22"/>
      <w:lang w:val="es-MX" w:eastAsia="zh-CN"/>
    </w:rPr>
  </w:style>
  <w:style w:type="paragraph" w:customStyle="1" w:styleId="Cuerpodetextoconsangra">
    <w:name w:val="Cuerpo de texto con sangría"/>
    <w:uiPriority w:val="99"/>
    <w:rsid w:val="00FF04A3"/>
    <w:pPr>
      <w:autoSpaceDE w:val="0"/>
      <w:autoSpaceDN w:val="0"/>
      <w:adjustRightInd w:val="0"/>
      <w:jc w:val="both"/>
    </w:pPr>
    <w:rPr>
      <w:rFonts w:ascii="Arial" w:eastAsia="Calibri" w:hAnsi="Arial" w:cs="Arial"/>
      <w:sz w:val="19"/>
      <w:szCs w:val="19"/>
      <w:lang w:eastAsia="es-CR"/>
    </w:rPr>
  </w:style>
  <w:style w:type="character" w:customStyle="1" w:styleId="Fuentedeprrafopredeter8">
    <w:name w:val="Fuente de párrafo predeter.8"/>
    <w:rsid w:val="00FF04A3"/>
  </w:style>
  <w:style w:type="character" w:customStyle="1" w:styleId="Textoennegrita1">
    <w:name w:val="Texto en negrita1"/>
    <w:rsid w:val="00FF04A3"/>
    <w:rPr>
      <w:b/>
    </w:rPr>
  </w:style>
  <w:style w:type="paragraph" w:customStyle="1" w:styleId="Sinespaciado8">
    <w:name w:val="Sin espaciado8"/>
    <w:rsid w:val="00FF04A3"/>
    <w:pPr>
      <w:suppressAutoHyphens/>
    </w:pPr>
    <w:rPr>
      <w:rFonts w:ascii="Calibri" w:hAnsi="Calibri" w:cs="Calibri"/>
      <w:color w:val="00000A"/>
      <w:sz w:val="22"/>
      <w:szCs w:val="22"/>
      <w:lang w:val="es-MX" w:eastAsia="ar-SA"/>
    </w:rPr>
  </w:style>
  <w:style w:type="paragraph" w:customStyle="1" w:styleId="Sinespaciado9">
    <w:name w:val="Sin espaciado9"/>
    <w:rsid w:val="00FF04A3"/>
    <w:pPr>
      <w:suppressAutoHyphens/>
    </w:pPr>
    <w:rPr>
      <w:rFonts w:ascii="Calibri" w:hAnsi="Calibri" w:cs="Calibri"/>
      <w:color w:val="00000A"/>
      <w:sz w:val="22"/>
      <w:szCs w:val="22"/>
      <w:lang w:val="es-MX" w:eastAsia="zh-CN"/>
    </w:rPr>
  </w:style>
  <w:style w:type="paragraph" w:customStyle="1" w:styleId="Textoindependiente1">
    <w:name w:val="Texto independiente1"/>
    <w:rsid w:val="00FF04A3"/>
    <w:pPr>
      <w:widowControl w:val="0"/>
      <w:spacing w:after="120"/>
    </w:pPr>
    <w:rPr>
      <w:rFonts w:asciiTheme="minorHAnsi" w:eastAsiaTheme="minorEastAsia" w:hAnsiTheme="minorHAnsi" w:cstheme="minorBidi"/>
      <w:sz w:val="22"/>
      <w:szCs w:val="22"/>
      <w:lang w:val="es-CR" w:eastAsia="es-CR"/>
    </w:rPr>
  </w:style>
  <w:style w:type="character" w:customStyle="1" w:styleId="Fuentedeprrafopredeter9">
    <w:name w:val="Fuente de párrafo predeter.9"/>
    <w:rsid w:val="00FF04A3"/>
  </w:style>
  <w:style w:type="paragraph" w:customStyle="1" w:styleId="Encabezado80">
    <w:name w:val="Encabezado8"/>
    <w:basedOn w:val="Predeterminado0"/>
    <w:rsid w:val="00FF04A3"/>
    <w:pPr>
      <w:keepNext/>
      <w:widowControl/>
      <w:suppressAutoHyphens/>
      <w:autoSpaceDE/>
      <w:adjustRightInd/>
      <w:spacing w:before="240" w:after="120" w:line="251" w:lineRule="auto"/>
      <w:textAlignment w:val="baseline"/>
    </w:pPr>
    <w:rPr>
      <w:rFonts w:ascii="Arial" w:eastAsia="Microsoft YaHei" w:hAnsi="Arial" w:cs="Mangal"/>
      <w:color w:val="00000A"/>
      <w:sz w:val="28"/>
      <w:szCs w:val="28"/>
      <w:lang w:val="es-CR" w:eastAsia="en-US"/>
    </w:rPr>
  </w:style>
  <w:style w:type="paragraph" w:customStyle="1" w:styleId="Ttulo320">
    <w:name w:val="Título 32"/>
    <w:next w:val="Standarduser"/>
    <w:rsid w:val="00FF04A3"/>
    <w:pPr>
      <w:keepNext/>
      <w:widowControl w:val="0"/>
      <w:suppressAutoHyphens/>
      <w:autoSpaceDE w:val="0"/>
      <w:autoSpaceDN w:val="0"/>
      <w:spacing w:before="240" w:after="60" w:line="0" w:lineRule="atLeast"/>
      <w:jc w:val="center"/>
      <w:textAlignment w:val="baseline"/>
      <w:outlineLvl w:val="2"/>
    </w:pPr>
    <w:rPr>
      <w:rFonts w:ascii="Book Antiqua" w:eastAsia="Book Antiqua" w:hAnsi="Book Antiqua" w:cs="Book Antiqua"/>
      <w:b/>
      <w:bCs/>
      <w:i/>
      <w:iCs/>
      <w:kern w:val="3"/>
      <w:sz w:val="24"/>
      <w:szCs w:val="24"/>
      <w:u w:val="double"/>
      <w:lang w:val="es-CR" w:eastAsia="zh-CN" w:bidi="es-CR"/>
    </w:rPr>
  </w:style>
  <w:style w:type="paragraph" w:customStyle="1" w:styleId="Ttulo25">
    <w:name w:val="Título 25"/>
    <w:next w:val="Standarduser"/>
    <w:rsid w:val="00FF04A3"/>
    <w:pPr>
      <w:keepNext/>
      <w:widowControl w:val="0"/>
      <w:suppressAutoHyphens/>
      <w:autoSpaceDE w:val="0"/>
      <w:autoSpaceDN w:val="0"/>
      <w:spacing w:before="240" w:after="60" w:line="0" w:lineRule="atLeast"/>
      <w:jc w:val="center"/>
      <w:textAlignment w:val="baseline"/>
      <w:outlineLvl w:val="1"/>
    </w:pPr>
    <w:rPr>
      <w:rFonts w:ascii="Book Antiqua" w:eastAsia="Book Antiqua" w:hAnsi="Book Antiqua" w:cs="Book Antiqua"/>
      <w:b/>
      <w:bCs/>
      <w:i/>
      <w:iCs/>
      <w:kern w:val="3"/>
      <w:sz w:val="28"/>
      <w:szCs w:val="28"/>
      <w:u w:val="double"/>
      <w:lang w:val="es-CR" w:eastAsia="zh-CN" w:bidi="es-CR"/>
    </w:rPr>
  </w:style>
  <w:style w:type="paragraph" w:customStyle="1" w:styleId="Ttulo14">
    <w:name w:val="Título 14"/>
    <w:next w:val="Standarduser"/>
    <w:rsid w:val="00FF04A3"/>
    <w:pPr>
      <w:keepNext/>
      <w:widowControl w:val="0"/>
      <w:suppressAutoHyphens/>
      <w:autoSpaceDE w:val="0"/>
      <w:autoSpaceDN w:val="0"/>
      <w:jc w:val="center"/>
      <w:textAlignment w:val="baseline"/>
      <w:outlineLvl w:val="0"/>
    </w:pPr>
    <w:rPr>
      <w:b/>
      <w:bCs/>
      <w:kern w:val="3"/>
      <w:sz w:val="22"/>
      <w:szCs w:val="22"/>
      <w:lang w:val="es-CR" w:eastAsia="zh-CN" w:bidi="es-CR"/>
    </w:rPr>
  </w:style>
  <w:style w:type="paragraph" w:customStyle="1" w:styleId="Sinespaciado10">
    <w:name w:val="Sin espaciado10"/>
    <w:rsid w:val="00FF04A3"/>
    <w:pPr>
      <w:suppressAutoHyphens/>
    </w:pPr>
    <w:rPr>
      <w:rFonts w:ascii="Calibri" w:hAnsi="Calibri" w:cs="Calibri"/>
      <w:color w:val="00000A"/>
      <w:sz w:val="22"/>
      <w:szCs w:val="22"/>
      <w:lang w:val="es-MX" w:eastAsia="zh-CN"/>
    </w:rPr>
  </w:style>
  <w:style w:type="character" w:customStyle="1" w:styleId="Acrf3nimoHTML">
    <w:name w:val="Acróf3nimo HTML"/>
    <w:uiPriority w:val="99"/>
    <w:rsid w:val="00FF04A3"/>
  </w:style>
  <w:style w:type="character" w:customStyle="1" w:styleId="TedtuloCar">
    <w:name w:val="Tíedtulo Car"/>
    <w:uiPriority w:val="99"/>
    <w:rsid w:val="00FF04A3"/>
    <w:rPr>
      <w:rFonts w:ascii="Cambria" w:hAnsi="Cambria" w:cs="Cambria"/>
      <w:b/>
      <w:bCs/>
    </w:rPr>
  </w:style>
  <w:style w:type="character" w:customStyle="1" w:styleId="Nfamerodepe1gina">
    <w:name w:val="Núfamero de páe1gina"/>
    <w:uiPriority w:val="99"/>
    <w:rsid w:val="00FF04A3"/>
  </w:style>
  <w:style w:type="character" w:customStyle="1" w:styleId="Fuentedepe1rrafopredeter1">
    <w:name w:val="Fuente de páe1rrafo predeter.1"/>
    <w:uiPriority w:val="99"/>
    <w:rsid w:val="00FF04A3"/>
  </w:style>
  <w:style w:type="character" w:customStyle="1" w:styleId="Fuentedepe1rrafopredeter2">
    <w:name w:val="Fuente de páe1rrafo predeter.2"/>
    <w:uiPriority w:val="99"/>
    <w:rsid w:val="00FF04A3"/>
  </w:style>
  <w:style w:type="character" w:customStyle="1" w:styleId="Fuentedepe1rrafopredeter3">
    <w:name w:val="Fuente de páe1rrafo predeter.3"/>
    <w:uiPriority w:val="99"/>
    <w:rsid w:val="00FF04A3"/>
  </w:style>
  <w:style w:type="character" w:customStyle="1" w:styleId="Fuentedepe1rrafopredeter4">
    <w:name w:val="Fuente de páe1rrafo predeter.4"/>
    <w:uiPriority w:val="99"/>
    <w:rsid w:val="00FF04A3"/>
  </w:style>
  <w:style w:type="character" w:customStyle="1" w:styleId="Fuentedepe1rrafopredeter5">
    <w:name w:val="Fuente de páe1rrafo predeter.5"/>
    <w:uiPriority w:val="99"/>
    <w:rsid w:val="00FF04A3"/>
  </w:style>
  <w:style w:type="character" w:customStyle="1" w:styleId="Fuentedepe1rrafopredeter">
    <w:name w:val="Fuente de páe1rrafo predeter."/>
    <w:rsid w:val="00FF04A3"/>
  </w:style>
  <w:style w:type="character" w:customStyle="1" w:styleId="Vif1etas">
    <w:name w:val="Viñf1etas"/>
    <w:uiPriority w:val="99"/>
    <w:rsid w:val="00FF04A3"/>
    <w:rPr>
      <w:rFonts w:ascii="Arial Unicode MS" w:eastAsia="Arial Unicode MS" w:cs="Arial Unicode MS"/>
    </w:rPr>
  </w:style>
  <w:style w:type="paragraph" w:customStyle="1" w:styleId="Revisif3n">
    <w:name w:val="Revisióf3n"/>
    <w:uiPriority w:val="99"/>
    <w:rsid w:val="00FF04A3"/>
    <w:pPr>
      <w:autoSpaceDE w:val="0"/>
      <w:autoSpaceDN w:val="0"/>
      <w:adjustRightInd w:val="0"/>
    </w:pPr>
    <w:rPr>
      <w:rFonts w:ascii="Arial" w:eastAsia="Calibri" w:hAnsi="Arial" w:cs="Arial"/>
      <w:color w:val="000000"/>
      <w:sz w:val="24"/>
      <w:szCs w:val="24"/>
      <w:lang w:val="es-CR" w:eastAsia="es-CR"/>
    </w:rPr>
  </w:style>
  <w:style w:type="paragraph" w:customStyle="1" w:styleId="Tedtulo31">
    <w:name w:val="Tíedtulo 31"/>
    <w:uiPriority w:val="99"/>
    <w:rsid w:val="00FF04A3"/>
    <w:pPr>
      <w:keepNext/>
      <w:autoSpaceDE w:val="0"/>
      <w:autoSpaceDN w:val="0"/>
      <w:adjustRightInd w:val="0"/>
      <w:spacing w:before="240" w:after="60"/>
      <w:jc w:val="center"/>
    </w:pPr>
    <w:rPr>
      <w:rFonts w:ascii="Arial" w:eastAsia="Calibri" w:hAnsi="Arial" w:cs="Arial"/>
      <w:b/>
      <w:bCs/>
      <w:i/>
      <w:iCs/>
      <w:color w:val="000000"/>
      <w:sz w:val="24"/>
      <w:szCs w:val="24"/>
      <w:u w:val="double"/>
      <w:lang w:val="es-CR" w:eastAsia="es-CR"/>
    </w:rPr>
  </w:style>
  <w:style w:type="paragraph" w:customStyle="1" w:styleId="Tedtulo21">
    <w:name w:val="Tíedtulo 21"/>
    <w:uiPriority w:val="99"/>
    <w:rsid w:val="00FF04A3"/>
    <w:pPr>
      <w:keepNext/>
      <w:autoSpaceDE w:val="0"/>
      <w:autoSpaceDN w:val="0"/>
      <w:adjustRightInd w:val="0"/>
      <w:spacing w:before="240" w:after="60"/>
      <w:jc w:val="center"/>
    </w:pPr>
    <w:rPr>
      <w:rFonts w:ascii="Arial" w:eastAsia="Calibri" w:hAnsi="Arial" w:cs="Arial"/>
      <w:b/>
      <w:bCs/>
      <w:i/>
      <w:iCs/>
      <w:color w:val="000000"/>
      <w:sz w:val="28"/>
      <w:szCs w:val="28"/>
      <w:u w:val="double"/>
      <w:lang w:val="es-CR" w:eastAsia="es-CR"/>
    </w:rPr>
  </w:style>
  <w:style w:type="paragraph" w:customStyle="1" w:styleId="Cuerpodetextoconsangreda">
    <w:name w:val="Cuerpo de texto con sangríeda"/>
    <w:uiPriority w:val="99"/>
    <w:rsid w:val="00FF04A3"/>
    <w:pPr>
      <w:autoSpaceDE w:val="0"/>
      <w:autoSpaceDN w:val="0"/>
      <w:adjustRightInd w:val="0"/>
      <w:spacing w:after="120" w:line="288" w:lineRule="auto"/>
      <w:jc w:val="both"/>
    </w:pPr>
    <w:rPr>
      <w:rFonts w:ascii="Arial" w:eastAsia="Calibri" w:hAnsi="Arial" w:cs="Arial"/>
      <w:color w:val="000000"/>
      <w:sz w:val="19"/>
      <w:szCs w:val="19"/>
      <w:lang w:val="es-CR" w:eastAsia="es-CR"/>
    </w:rPr>
  </w:style>
  <w:style w:type="paragraph" w:customStyle="1" w:styleId="Sangreda2detindependiente1">
    <w:name w:val="Sangríeda 2 de t. independiente1"/>
    <w:uiPriority w:val="99"/>
    <w:rsid w:val="00FF04A3"/>
    <w:pPr>
      <w:autoSpaceDE w:val="0"/>
      <w:autoSpaceDN w:val="0"/>
      <w:adjustRightInd w:val="0"/>
      <w:ind w:firstLine="708"/>
    </w:pPr>
    <w:rPr>
      <w:rFonts w:ascii="Arial" w:eastAsia="Calibri" w:hAnsi="Arial" w:cs="Arial"/>
      <w:i/>
      <w:iCs/>
      <w:color w:val="000000"/>
      <w:sz w:val="22"/>
      <w:szCs w:val="22"/>
      <w:lang w:val="es-CR" w:eastAsia="es-CR"/>
    </w:rPr>
  </w:style>
  <w:style w:type="paragraph" w:customStyle="1" w:styleId="Epedgrafe1">
    <w:name w:val="Epíedgrafe1"/>
    <w:uiPriority w:val="99"/>
    <w:rsid w:val="00FF04A3"/>
    <w:pPr>
      <w:autoSpaceDE w:val="0"/>
      <w:autoSpaceDN w:val="0"/>
      <w:adjustRightInd w:val="0"/>
      <w:jc w:val="center"/>
    </w:pPr>
    <w:rPr>
      <w:rFonts w:ascii="Arial" w:eastAsia="Calibri" w:hAnsi="Arial" w:cs="Arial"/>
      <w:b/>
      <w:bCs/>
      <w:color w:val="000000"/>
      <w:sz w:val="22"/>
      <w:szCs w:val="22"/>
      <w:lang w:val="es-CR" w:eastAsia="es-CR"/>
    </w:rPr>
  </w:style>
  <w:style w:type="paragraph" w:customStyle="1" w:styleId="Subtedtulo">
    <w:name w:val="Subtíedtulo"/>
    <w:uiPriority w:val="99"/>
    <w:rsid w:val="00FF04A3"/>
    <w:pPr>
      <w:keepNext/>
      <w:autoSpaceDE w:val="0"/>
      <w:autoSpaceDN w:val="0"/>
      <w:adjustRightInd w:val="0"/>
      <w:spacing w:before="240" w:after="120"/>
      <w:jc w:val="center"/>
    </w:pPr>
    <w:rPr>
      <w:rFonts w:ascii="Arial" w:eastAsia="Calibri" w:hAnsi="Arial" w:cs="Arial"/>
      <w:b/>
      <w:bCs/>
      <w:i/>
      <w:iCs/>
      <w:color w:val="000000"/>
      <w:sz w:val="28"/>
      <w:szCs w:val="28"/>
      <w:lang w:val="es-CR" w:eastAsia="es-CR"/>
    </w:rPr>
  </w:style>
  <w:style w:type="paragraph" w:customStyle="1" w:styleId="Epedgrafe2">
    <w:name w:val="Epíedgrafe2"/>
    <w:uiPriority w:val="99"/>
    <w:rsid w:val="00FF04A3"/>
    <w:pPr>
      <w:autoSpaceDE w:val="0"/>
      <w:autoSpaceDN w:val="0"/>
      <w:adjustRightInd w:val="0"/>
      <w:spacing w:before="120" w:after="120"/>
    </w:pPr>
    <w:rPr>
      <w:rFonts w:ascii="Arial" w:eastAsia="Calibri" w:hAnsi="Arial" w:cs="Arial"/>
      <w:i/>
      <w:iCs/>
      <w:color w:val="000000"/>
      <w:sz w:val="24"/>
      <w:szCs w:val="24"/>
      <w:lang w:val="es-CR" w:eastAsia="es-CR"/>
    </w:rPr>
  </w:style>
  <w:style w:type="paragraph" w:customStyle="1" w:styleId="Epedgrafe3">
    <w:name w:val="Epíedgrafe3"/>
    <w:uiPriority w:val="99"/>
    <w:rsid w:val="00FF04A3"/>
    <w:pPr>
      <w:autoSpaceDE w:val="0"/>
      <w:autoSpaceDN w:val="0"/>
      <w:adjustRightInd w:val="0"/>
      <w:spacing w:before="120" w:after="120"/>
    </w:pPr>
    <w:rPr>
      <w:rFonts w:ascii="Arial" w:eastAsia="Calibri" w:hAnsi="Arial" w:cs="Arial"/>
      <w:i/>
      <w:iCs/>
      <w:color w:val="000000"/>
      <w:sz w:val="24"/>
      <w:szCs w:val="24"/>
      <w:lang w:val="es-CR" w:eastAsia="es-CR"/>
    </w:rPr>
  </w:style>
  <w:style w:type="paragraph" w:customStyle="1" w:styleId="Epedgrafe4">
    <w:name w:val="Epíedgrafe4"/>
    <w:uiPriority w:val="99"/>
    <w:rsid w:val="00FF04A3"/>
    <w:pPr>
      <w:autoSpaceDE w:val="0"/>
      <w:autoSpaceDN w:val="0"/>
      <w:adjustRightInd w:val="0"/>
      <w:spacing w:before="120" w:after="120"/>
    </w:pPr>
    <w:rPr>
      <w:rFonts w:ascii="Arial" w:eastAsia="Calibri" w:hAnsi="Arial" w:cs="Arial"/>
      <w:i/>
      <w:iCs/>
      <w:color w:val="000000"/>
      <w:sz w:val="24"/>
      <w:szCs w:val="24"/>
      <w:lang w:val="es-CR" w:eastAsia="es-CR"/>
    </w:rPr>
  </w:style>
  <w:style w:type="paragraph" w:customStyle="1" w:styleId="Epedgrafe">
    <w:name w:val="Epíedgrafe"/>
    <w:uiPriority w:val="99"/>
    <w:rsid w:val="00FF04A3"/>
    <w:pPr>
      <w:autoSpaceDE w:val="0"/>
      <w:autoSpaceDN w:val="0"/>
      <w:adjustRightInd w:val="0"/>
      <w:spacing w:before="120" w:after="120"/>
    </w:pPr>
    <w:rPr>
      <w:rFonts w:ascii="Arial" w:eastAsia="Calibri" w:hAnsi="Arial" w:cs="Arial"/>
      <w:i/>
      <w:iCs/>
      <w:color w:val="000000"/>
      <w:sz w:val="24"/>
      <w:szCs w:val="24"/>
      <w:lang w:val="es-CR" w:eastAsia="es-CR"/>
    </w:rPr>
  </w:style>
  <w:style w:type="paragraph" w:customStyle="1" w:styleId="Sinespaciado11">
    <w:name w:val="Sin espaciado11"/>
    <w:rsid w:val="00FF04A3"/>
    <w:pPr>
      <w:suppressAutoHyphens/>
    </w:pPr>
    <w:rPr>
      <w:rFonts w:ascii="Calibri" w:hAnsi="Calibri" w:cs="Calibri"/>
      <w:color w:val="00000A"/>
      <w:sz w:val="22"/>
      <w:szCs w:val="22"/>
      <w:lang w:val="es-MX" w:eastAsia="zh-CN"/>
    </w:rPr>
  </w:style>
  <w:style w:type="character" w:customStyle="1" w:styleId="Fuentedeprrafopredeter10">
    <w:name w:val="Fuente de párrafo predeter.10"/>
    <w:rsid w:val="00FF04A3"/>
  </w:style>
  <w:style w:type="paragraph" w:customStyle="1" w:styleId="Prrafodelista7">
    <w:name w:val="Párrafo de lista7"/>
    <w:rsid w:val="00FF04A3"/>
    <w:pPr>
      <w:suppressAutoHyphens/>
      <w:spacing w:after="160"/>
      <w:ind w:left="720"/>
    </w:pPr>
    <w:rPr>
      <w:rFonts w:cs="Arial"/>
      <w:color w:val="00000A"/>
      <w:kern w:val="2"/>
      <w:sz w:val="24"/>
      <w:szCs w:val="24"/>
      <w:lang w:val="es-CR" w:eastAsia="zh-CN" w:bidi="hi-IN"/>
    </w:rPr>
  </w:style>
  <w:style w:type="character" w:customStyle="1" w:styleId="AcrnimoHTML1">
    <w:name w:val="Acrónimo HTML1"/>
    <w:qFormat/>
    <w:rsid w:val="00FF04A3"/>
  </w:style>
  <w:style w:type="paragraph" w:customStyle="1" w:styleId="Ttulo610">
    <w:name w:val="Título 61"/>
    <w:qFormat/>
    <w:rsid w:val="00FF04A3"/>
    <w:pPr>
      <w:keepNext/>
      <w:spacing w:line="100" w:lineRule="atLeast"/>
      <w:jc w:val="center"/>
    </w:pPr>
    <w:rPr>
      <w:rFonts w:eastAsia="Calibri"/>
      <w:b/>
      <w:i/>
      <w:color w:val="00000A"/>
      <w:sz w:val="24"/>
      <w:szCs w:val="24"/>
      <w:u w:val="single"/>
      <w:lang w:val="es-CR" w:eastAsia="en-US"/>
    </w:rPr>
  </w:style>
  <w:style w:type="paragraph" w:customStyle="1" w:styleId="Ttulo710">
    <w:name w:val="Título 71"/>
    <w:qFormat/>
    <w:rsid w:val="00FF04A3"/>
    <w:pPr>
      <w:keepNext/>
      <w:spacing w:line="100" w:lineRule="atLeast"/>
      <w:jc w:val="center"/>
    </w:pPr>
    <w:rPr>
      <w:rFonts w:eastAsia="Calibri"/>
      <w:b/>
      <w:color w:val="00000A"/>
      <w:sz w:val="24"/>
      <w:szCs w:val="24"/>
      <w:lang w:val="es-CR" w:eastAsia="en-US"/>
    </w:rPr>
  </w:style>
  <w:style w:type="paragraph" w:customStyle="1" w:styleId="Ttulo91">
    <w:name w:val="Título 91"/>
    <w:qFormat/>
    <w:rsid w:val="00FF04A3"/>
    <w:pPr>
      <w:keepNext/>
      <w:spacing w:line="100" w:lineRule="atLeast"/>
      <w:ind w:left="360"/>
      <w:jc w:val="center"/>
    </w:pPr>
    <w:rPr>
      <w:rFonts w:eastAsia="Calibri"/>
      <w:b/>
      <w:color w:val="00000A"/>
      <w:sz w:val="24"/>
      <w:szCs w:val="24"/>
      <w:u w:val="double"/>
      <w:lang w:val="es-CR" w:eastAsia="en-US"/>
    </w:rPr>
  </w:style>
  <w:style w:type="paragraph" w:customStyle="1" w:styleId="NoSpacing1">
    <w:name w:val="No Spacing1"/>
    <w:qFormat/>
    <w:rsid w:val="00FF04A3"/>
    <w:pPr>
      <w:spacing w:line="100" w:lineRule="atLeast"/>
    </w:pPr>
    <w:rPr>
      <w:rFonts w:ascii="Calibri" w:eastAsia="Calibri" w:hAnsi="Calibri"/>
      <w:color w:val="00000A"/>
      <w:sz w:val="24"/>
      <w:szCs w:val="24"/>
      <w:lang w:val="es-CR" w:eastAsia="en-US"/>
    </w:rPr>
  </w:style>
  <w:style w:type="paragraph" w:customStyle="1" w:styleId="Enumeracin2">
    <w:name w:val="Enumeración 2"/>
    <w:qFormat/>
    <w:rsid w:val="00FF04A3"/>
    <w:pPr>
      <w:spacing w:after="120" w:line="100" w:lineRule="atLeast"/>
      <w:ind w:left="566" w:hanging="283"/>
    </w:pPr>
    <w:rPr>
      <w:rFonts w:eastAsia="Calibri"/>
      <w:color w:val="00000A"/>
      <w:sz w:val="24"/>
      <w:szCs w:val="24"/>
      <w:lang w:val="es-CR" w:eastAsia="en-US"/>
    </w:rPr>
  </w:style>
  <w:style w:type="paragraph" w:customStyle="1" w:styleId="Revisin1">
    <w:name w:val="Revisión1"/>
    <w:qFormat/>
    <w:rsid w:val="00FF04A3"/>
    <w:rPr>
      <w:rFonts w:eastAsia="Calibri"/>
      <w:color w:val="000000"/>
      <w:sz w:val="24"/>
      <w:szCs w:val="24"/>
      <w:lang w:val="es-CR" w:eastAsia="en-US"/>
    </w:rPr>
  </w:style>
  <w:style w:type="paragraph" w:customStyle="1" w:styleId="Textodeglobo1">
    <w:name w:val="Texto de globo1"/>
    <w:qFormat/>
    <w:rsid w:val="00FF04A3"/>
    <w:rPr>
      <w:rFonts w:ascii="Segoe UI" w:eastAsia="Calibri" w:hAnsi="Segoe UI"/>
      <w:color w:val="000000"/>
      <w:sz w:val="18"/>
      <w:szCs w:val="24"/>
      <w:lang w:val="es-CR" w:eastAsia="en-US"/>
    </w:rPr>
  </w:style>
  <w:style w:type="paragraph" w:customStyle="1" w:styleId="Tedtulo5">
    <w:name w:val="Tíedtulo 5"/>
    <w:basedOn w:val="Tedtulo"/>
    <w:uiPriority w:val="99"/>
    <w:rsid w:val="00FF04A3"/>
    <w:pPr>
      <w:suppressAutoHyphens/>
      <w:spacing w:before="120" w:after="60" w:line="240" w:lineRule="atLeast"/>
    </w:pPr>
    <w:rPr>
      <w:rFonts w:ascii="Arial" w:eastAsia="Times New Roman" w:hAnsi="Liberation Serif" w:cs="Arial"/>
      <w:b/>
      <w:bCs/>
      <w:color w:val="000000"/>
      <w:kern w:val="1"/>
      <w:sz w:val="23"/>
      <w:szCs w:val="23"/>
      <w:lang w:bidi="hi-IN"/>
    </w:rPr>
  </w:style>
  <w:style w:type="paragraph" w:customStyle="1" w:styleId="Tedtulodelatabla">
    <w:name w:val="Tíedtulo de la tabla"/>
    <w:basedOn w:val="Contenidodelatabla"/>
    <w:uiPriority w:val="99"/>
    <w:rsid w:val="00FF04A3"/>
    <w:pPr>
      <w:suppressLineNumbers w:val="0"/>
      <w:autoSpaceDE w:val="0"/>
      <w:autoSpaceDN w:val="0"/>
      <w:adjustRightInd w:val="0"/>
      <w:jc w:val="center"/>
    </w:pPr>
    <w:rPr>
      <w:rFonts w:hAnsi="Liberation Serif"/>
      <w:b/>
      <w:bCs/>
      <w:color w:val="000000"/>
      <w:kern w:val="1"/>
      <w:sz w:val="22"/>
      <w:szCs w:val="22"/>
      <w:lang w:val="es-CR" w:eastAsia="es-CR" w:bidi="hi-IN"/>
    </w:rPr>
  </w:style>
  <w:style w:type="character" w:customStyle="1" w:styleId="Fuentedeprrafopredeter11">
    <w:name w:val="Fuente de párrafo predeter.11"/>
    <w:rsid w:val="00FF04A3"/>
  </w:style>
  <w:style w:type="paragraph" w:customStyle="1" w:styleId="Prrafodelista8">
    <w:name w:val="Párrafo de lista8"/>
    <w:rsid w:val="00FF04A3"/>
    <w:pPr>
      <w:suppressAutoHyphens/>
      <w:spacing w:after="160"/>
      <w:ind w:left="720"/>
    </w:pPr>
    <w:rPr>
      <w:rFonts w:cs="Arial"/>
      <w:color w:val="00000A"/>
      <w:kern w:val="2"/>
      <w:sz w:val="24"/>
      <w:szCs w:val="24"/>
      <w:lang w:val="es-CR" w:eastAsia="zh-CN" w:bidi="hi-IN"/>
    </w:rPr>
  </w:style>
  <w:style w:type="character" w:customStyle="1" w:styleId="Fuentedeprrafopredeter12">
    <w:name w:val="Fuente de párrafo predeter.12"/>
    <w:rsid w:val="00FF04A3"/>
  </w:style>
  <w:style w:type="paragraph" w:customStyle="1" w:styleId="Prrafodelista9">
    <w:name w:val="Párrafo de lista9"/>
    <w:basedOn w:val="Predeterminado0"/>
    <w:rsid w:val="00FF04A3"/>
    <w:pPr>
      <w:widowControl/>
      <w:suppressAutoHyphens/>
      <w:autoSpaceDE/>
      <w:autoSpaceDN/>
      <w:adjustRightInd/>
      <w:spacing w:line="252" w:lineRule="auto"/>
      <w:ind w:left="720"/>
      <w:contextualSpacing/>
    </w:pPr>
    <w:rPr>
      <w:rFonts w:ascii="Calibri" w:eastAsia="SimSun" w:hAnsi="Calibri" w:cs="Calibri"/>
      <w:color w:val="00000A"/>
      <w:sz w:val="22"/>
      <w:szCs w:val="22"/>
      <w:lang w:val="es-CR" w:eastAsia="en-US"/>
    </w:rPr>
  </w:style>
  <w:style w:type="paragraph" w:customStyle="1" w:styleId="Sinespaciado12">
    <w:name w:val="Sin espaciado12"/>
    <w:rsid w:val="00FF04A3"/>
    <w:pPr>
      <w:suppressAutoHyphens/>
    </w:pPr>
    <w:rPr>
      <w:rFonts w:ascii="Calibri" w:hAnsi="Calibri" w:cs="Calibri"/>
      <w:color w:val="00000A"/>
      <w:sz w:val="22"/>
      <w:szCs w:val="22"/>
      <w:lang w:val="es-MX" w:eastAsia="zh-CN"/>
    </w:rPr>
  </w:style>
  <w:style w:type="character" w:customStyle="1" w:styleId="Fuentedeprrafopredeter13">
    <w:name w:val="Fuente de párrafo predeter.13"/>
    <w:rsid w:val="00FF04A3"/>
  </w:style>
  <w:style w:type="paragraph" w:customStyle="1" w:styleId="Sinespaciado13">
    <w:name w:val="Sin espaciado13"/>
    <w:rsid w:val="00FF04A3"/>
    <w:pPr>
      <w:widowControl w:val="0"/>
      <w:suppressAutoHyphens/>
      <w:spacing w:line="100" w:lineRule="atLeast"/>
    </w:pPr>
    <w:rPr>
      <w:rFonts w:ascii="Calibri" w:eastAsia="SimSun" w:hAnsi="Calibri" w:cs="Calibri"/>
      <w:kern w:val="1"/>
      <w:sz w:val="22"/>
      <w:szCs w:val="22"/>
      <w:lang w:eastAsia="zh-CN"/>
    </w:rPr>
  </w:style>
  <w:style w:type="paragraph" w:customStyle="1" w:styleId="Ttulo330">
    <w:name w:val="Título 33"/>
    <w:next w:val="Normal"/>
    <w:rsid w:val="00FF04A3"/>
    <w:pPr>
      <w:keepNext/>
      <w:widowControl w:val="0"/>
      <w:suppressAutoHyphens/>
      <w:autoSpaceDE w:val="0"/>
      <w:spacing w:before="240" w:after="60" w:line="0" w:lineRule="atLeast"/>
      <w:jc w:val="center"/>
    </w:pPr>
    <w:rPr>
      <w:rFonts w:ascii="Book Antiqua" w:eastAsia="Book Antiqua" w:hAnsi="Book Antiqua" w:cs="Book Antiqua"/>
      <w:b/>
      <w:bCs/>
      <w:i/>
      <w:iCs/>
      <w:sz w:val="24"/>
      <w:szCs w:val="24"/>
      <w:u w:val="double"/>
      <w:lang w:val="es-CR" w:eastAsia="zh-CN" w:bidi="es-CR"/>
    </w:rPr>
  </w:style>
  <w:style w:type="paragraph" w:customStyle="1" w:styleId="Sinespaciado14">
    <w:name w:val="Sin espaciado14"/>
    <w:rsid w:val="00FF04A3"/>
    <w:pPr>
      <w:widowControl w:val="0"/>
      <w:suppressAutoHyphens/>
      <w:spacing w:line="100" w:lineRule="atLeast"/>
    </w:pPr>
    <w:rPr>
      <w:rFonts w:ascii="Calibri" w:eastAsia="SimSun" w:hAnsi="Calibri" w:cs="Calibri"/>
      <w:kern w:val="2"/>
      <w:sz w:val="22"/>
      <w:szCs w:val="22"/>
      <w:lang w:eastAsia="zh-CN"/>
    </w:rPr>
  </w:style>
  <w:style w:type="paragraph" w:customStyle="1" w:styleId="Sinespaciado15">
    <w:name w:val="Sin espaciado15"/>
    <w:rsid w:val="00FF04A3"/>
    <w:pPr>
      <w:suppressAutoHyphens/>
    </w:pPr>
    <w:rPr>
      <w:rFonts w:ascii="Calibri" w:hAnsi="Calibri" w:cs="Calibri"/>
      <w:color w:val="00000A"/>
      <w:sz w:val="22"/>
      <w:szCs w:val="22"/>
      <w:lang w:val="es-MX" w:eastAsia="zh-CN"/>
    </w:rPr>
  </w:style>
  <w:style w:type="character" w:customStyle="1" w:styleId="Fuentedeprrafopredeter14">
    <w:name w:val="Fuente de párrafo predeter.14"/>
    <w:rsid w:val="00FF04A3"/>
  </w:style>
  <w:style w:type="character" w:customStyle="1" w:styleId="Fuentedeprrafopredeter15">
    <w:name w:val="Fuente de párrafo predeter.15"/>
    <w:rsid w:val="00FF04A3"/>
  </w:style>
  <w:style w:type="paragraph" w:customStyle="1" w:styleId="Sinespaciado16">
    <w:name w:val="Sin espaciado16"/>
    <w:rsid w:val="00FF04A3"/>
    <w:pPr>
      <w:widowControl w:val="0"/>
      <w:suppressAutoHyphens/>
      <w:spacing w:line="100" w:lineRule="atLeast"/>
    </w:pPr>
    <w:rPr>
      <w:rFonts w:ascii="Calibri" w:eastAsia="SimSun" w:hAnsi="Calibri" w:cs="Calibri"/>
      <w:kern w:val="1"/>
      <w:sz w:val="22"/>
      <w:szCs w:val="22"/>
      <w:lang w:eastAsia="zh-CN"/>
    </w:rPr>
  </w:style>
  <w:style w:type="paragraph" w:customStyle="1" w:styleId="Sinespaciado17">
    <w:name w:val="Sin espaciado17"/>
    <w:rsid w:val="00FF04A3"/>
    <w:pPr>
      <w:widowControl w:val="0"/>
      <w:suppressAutoHyphens/>
      <w:spacing w:line="100" w:lineRule="atLeast"/>
    </w:pPr>
    <w:rPr>
      <w:rFonts w:ascii="Calibri" w:eastAsia="SimSun" w:hAnsi="Calibri" w:cs="Calibri"/>
      <w:kern w:val="2"/>
      <w:sz w:val="22"/>
      <w:szCs w:val="22"/>
      <w:lang w:eastAsia="zh-CN"/>
    </w:rPr>
  </w:style>
  <w:style w:type="character" w:customStyle="1" w:styleId="Fuentedeprrafopredeter16">
    <w:name w:val="Fuente de párrafo predeter.16"/>
    <w:rsid w:val="00FF04A3"/>
  </w:style>
  <w:style w:type="paragraph" w:customStyle="1" w:styleId="Prrafodelista120">
    <w:name w:val="Párrafo de lista12"/>
    <w:rsid w:val="00FF04A3"/>
    <w:pPr>
      <w:suppressAutoHyphens/>
      <w:spacing w:after="160"/>
      <w:ind w:left="720"/>
    </w:pPr>
    <w:rPr>
      <w:rFonts w:cs="Arial"/>
      <w:color w:val="00000A"/>
      <w:kern w:val="2"/>
      <w:sz w:val="24"/>
      <w:szCs w:val="24"/>
      <w:lang w:val="es-CR" w:eastAsia="zh-CN" w:bidi="hi-IN"/>
    </w:rPr>
  </w:style>
  <w:style w:type="character" w:customStyle="1" w:styleId="Sedmbolosdenumeracif3n">
    <w:name w:val="Síedmbolos de numeracióf3n"/>
    <w:uiPriority w:val="99"/>
    <w:rsid w:val="00FF04A3"/>
  </w:style>
  <w:style w:type="character" w:customStyle="1" w:styleId="c9nfasis1">
    <w:name w:val="Éc9nfasis1"/>
    <w:uiPriority w:val="99"/>
    <w:rsid w:val="00FF04A3"/>
    <w:rPr>
      <w:rFonts w:eastAsia="Times New Roman"/>
      <w:i/>
      <w:iCs/>
    </w:rPr>
  </w:style>
  <w:style w:type="paragraph" w:customStyle="1" w:styleId="Tedtulo3">
    <w:name w:val="Tíedtulo3"/>
    <w:basedOn w:val="Normal"/>
    <w:uiPriority w:val="99"/>
    <w:rsid w:val="00FF04A3"/>
    <w:pPr>
      <w:keepNext/>
      <w:widowControl w:val="0"/>
      <w:autoSpaceDE w:val="0"/>
      <w:autoSpaceDN w:val="0"/>
      <w:adjustRightInd w:val="0"/>
      <w:spacing w:before="240" w:after="120" w:line="252" w:lineRule="auto"/>
      <w:textAlignment w:val="baseline"/>
    </w:pPr>
    <w:rPr>
      <w:rFonts w:ascii="Liberation Sans" w:hAnsi="Liberation Serif" w:cs="Liberation Sans"/>
      <w:color w:val="00000A"/>
      <w:kern w:val="1"/>
      <w:sz w:val="28"/>
      <w:szCs w:val="28"/>
      <w:lang w:val="es-CR" w:eastAsia="es-CR"/>
    </w:rPr>
  </w:style>
  <w:style w:type="paragraph" w:customStyle="1" w:styleId="Descripcif3n">
    <w:name w:val="Descripcióf3n"/>
    <w:basedOn w:val="Normal"/>
    <w:uiPriority w:val="99"/>
    <w:rsid w:val="00FF04A3"/>
    <w:pPr>
      <w:widowControl w:val="0"/>
      <w:autoSpaceDE w:val="0"/>
      <w:autoSpaceDN w:val="0"/>
      <w:adjustRightInd w:val="0"/>
      <w:spacing w:before="120" w:after="120" w:line="252" w:lineRule="auto"/>
      <w:textAlignment w:val="baseline"/>
    </w:pPr>
    <w:rPr>
      <w:rFonts w:ascii="Book Antiqua" w:hAnsi="Liberation Serif" w:cs="Book Antiqua"/>
      <w:i/>
      <w:iCs/>
      <w:color w:val="00000A"/>
      <w:kern w:val="1"/>
      <w:lang w:val="es-CR" w:eastAsia="es-CR"/>
    </w:rPr>
  </w:style>
  <w:style w:type="paragraph" w:customStyle="1" w:styleId="Tedtulo20">
    <w:name w:val="Tíedtulo2"/>
    <w:basedOn w:val="Normal"/>
    <w:uiPriority w:val="99"/>
    <w:rsid w:val="00FF04A3"/>
    <w:pPr>
      <w:keepNext/>
      <w:widowControl w:val="0"/>
      <w:autoSpaceDE w:val="0"/>
      <w:autoSpaceDN w:val="0"/>
      <w:adjustRightInd w:val="0"/>
      <w:spacing w:before="240" w:after="120" w:line="252" w:lineRule="auto"/>
      <w:textAlignment w:val="baseline"/>
    </w:pPr>
    <w:rPr>
      <w:rFonts w:ascii="Liberation Sans" w:hAnsi="Liberation Serif" w:cs="Liberation Sans"/>
      <w:color w:val="00000A"/>
      <w:kern w:val="1"/>
      <w:sz w:val="28"/>
      <w:szCs w:val="28"/>
      <w:lang w:val="es-CR" w:eastAsia="es-CR"/>
    </w:rPr>
  </w:style>
  <w:style w:type="paragraph" w:customStyle="1" w:styleId="Tedtulo10">
    <w:name w:val="Tíedtulo1"/>
    <w:basedOn w:val="Normal"/>
    <w:uiPriority w:val="99"/>
    <w:rsid w:val="00FF04A3"/>
    <w:pPr>
      <w:keepNext/>
      <w:widowControl w:val="0"/>
      <w:autoSpaceDE w:val="0"/>
      <w:autoSpaceDN w:val="0"/>
      <w:adjustRightInd w:val="0"/>
      <w:spacing w:before="240" w:after="120" w:line="252" w:lineRule="auto"/>
      <w:textAlignment w:val="baseline"/>
    </w:pPr>
    <w:rPr>
      <w:rFonts w:ascii="Liberation Sans" w:hAnsi="Liberation Serif" w:cs="Liberation Sans"/>
      <w:color w:val="00000A"/>
      <w:kern w:val="1"/>
      <w:sz w:val="28"/>
      <w:szCs w:val="28"/>
      <w:lang w:val="es-CR" w:eastAsia="es-CR"/>
    </w:rPr>
  </w:style>
  <w:style w:type="paragraph" w:customStyle="1" w:styleId="Descripcif3n1">
    <w:name w:val="Descripcióf3n1"/>
    <w:basedOn w:val="Normal"/>
    <w:uiPriority w:val="99"/>
    <w:rsid w:val="00FF04A3"/>
    <w:pPr>
      <w:widowControl w:val="0"/>
      <w:autoSpaceDE w:val="0"/>
      <w:autoSpaceDN w:val="0"/>
      <w:adjustRightInd w:val="0"/>
      <w:spacing w:before="120" w:after="120" w:line="252" w:lineRule="auto"/>
      <w:textAlignment w:val="baseline"/>
    </w:pPr>
    <w:rPr>
      <w:rFonts w:ascii="Book Antiqua" w:hAnsi="Liberation Serif" w:cs="Book Antiqua"/>
      <w:i/>
      <w:iCs/>
      <w:color w:val="00000A"/>
      <w:kern w:val="1"/>
      <w:lang w:val="es-CR" w:eastAsia="es-CR"/>
    </w:rPr>
  </w:style>
  <w:style w:type="character" w:customStyle="1" w:styleId="Fuentedeprrafopredeter17">
    <w:name w:val="Fuente de párrafo predeter.17"/>
    <w:rsid w:val="00FF04A3"/>
  </w:style>
  <w:style w:type="character" w:customStyle="1" w:styleId="ListLabel58">
    <w:name w:val="ListLabel 58"/>
    <w:rsid w:val="00FF04A3"/>
    <w:rPr>
      <w:b w:val="0"/>
      <w:sz w:val="22"/>
    </w:rPr>
  </w:style>
  <w:style w:type="character" w:customStyle="1" w:styleId="ListLabel59">
    <w:name w:val="ListLabel 59"/>
    <w:rsid w:val="00FF04A3"/>
    <w:rPr>
      <w:b w:val="0"/>
      <w:sz w:val="22"/>
    </w:rPr>
  </w:style>
  <w:style w:type="character" w:customStyle="1" w:styleId="ListLabel60">
    <w:name w:val="ListLabel 60"/>
    <w:rsid w:val="00FF04A3"/>
    <w:rPr>
      <w:rFonts w:ascii="Calibri" w:eastAsia="Arial Unicode MS" w:hAnsi="Calibri" w:cs="Calibri"/>
      <w:b/>
      <w:iCs/>
      <w:sz w:val="24"/>
      <w:lang w:val="es-ES"/>
    </w:rPr>
  </w:style>
  <w:style w:type="character" w:customStyle="1" w:styleId="ListLabel61">
    <w:name w:val="ListLabel 61"/>
    <w:rsid w:val="00FF04A3"/>
    <w:rPr>
      <w:rFonts w:ascii="Calibri" w:hAnsi="Calibri" w:cs="Calibri"/>
      <w:b w:val="0"/>
      <w:sz w:val="24"/>
    </w:rPr>
  </w:style>
  <w:style w:type="character" w:customStyle="1" w:styleId="ListLabel62">
    <w:name w:val="ListLabel 62"/>
    <w:rsid w:val="00FF04A3"/>
    <w:rPr>
      <w:b w:val="0"/>
      <w:sz w:val="22"/>
    </w:rPr>
  </w:style>
  <w:style w:type="character" w:customStyle="1" w:styleId="ListLabel63">
    <w:name w:val="ListLabel 63"/>
    <w:rsid w:val="00FF04A3"/>
    <w:rPr>
      <w:b w:val="0"/>
      <w:sz w:val="22"/>
    </w:rPr>
  </w:style>
  <w:style w:type="character" w:customStyle="1" w:styleId="ListLabel64">
    <w:name w:val="ListLabel 64"/>
    <w:rsid w:val="00FF04A3"/>
    <w:rPr>
      <w:b w:val="0"/>
      <w:sz w:val="22"/>
    </w:rPr>
  </w:style>
  <w:style w:type="character" w:customStyle="1" w:styleId="ListLabel65">
    <w:name w:val="ListLabel 65"/>
    <w:rsid w:val="00FF04A3"/>
    <w:rPr>
      <w:b w:val="0"/>
      <w:sz w:val="22"/>
    </w:rPr>
  </w:style>
  <w:style w:type="character" w:customStyle="1" w:styleId="ListLabel66">
    <w:name w:val="ListLabel 66"/>
    <w:rsid w:val="00FF04A3"/>
    <w:rPr>
      <w:b w:val="0"/>
      <w:sz w:val="22"/>
    </w:rPr>
  </w:style>
  <w:style w:type="character" w:customStyle="1" w:styleId="ListLabel67">
    <w:name w:val="ListLabel 67"/>
    <w:rsid w:val="00FF04A3"/>
    <w:rPr>
      <w:b w:val="0"/>
      <w:sz w:val="22"/>
    </w:rPr>
  </w:style>
  <w:style w:type="character" w:customStyle="1" w:styleId="ListLabel68">
    <w:name w:val="ListLabel 68"/>
    <w:rsid w:val="00FF04A3"/>
    <w:rPr>
      <w:b w:val="0"/>
      <w:sz w:val="22"/>
    </w:rPr>
  </w:style>
  <w:style w:type="character" w:customStyle="1" w:styleId="ListLabel69">
    <w:name w:val="ListLabel 69"/>
    <w:rsid w:val="00FF04A3"/>
    <w:rPr>
      <w:b w:val="0"/>
      <w:sz w:val="22"/>
    </w:rPr>
  </w:style>
  <w:style w:type="character" w:customStyle="1" w:styleId="ListLabel70">
    <w:name w:val="ListLabel 70"/>
    <w:rsid w:val="00FF04A3"/>
    <w:rPr>
      <w:rFonts w:ascii="Calibri" w:eastAsia="Arial Unicode MS" w:hAnsi="Calibri" w:cs="Calibri"/>
      <w:b/>
      <w:iCs/>
      <w:sz w:val="24"/>
      <w:lang w:val="es-ES"/>
    </w:rPr>
  </w:style>
  <w:style w:type="character" w:customStyle="1" w:styleId="ListLabel71">
    <w:name w:val="ListLabel 71"/>
    <w:rsid w:val="00FF04A3"/>
    <w:rPr>
      <w:rFonts w:ascii="Calibri" w:hAnsi="Calibri" w:cs="Calibri"/>
      <w:b w:val="0"/>
      <w:sz w:val="24"/>
    </w:rPr>
  </w:style>
  <w:style w:type="character" w:customStyle="1" w:styleId="ListLabel72">
    <w:name w:val="ListLabel 72"/>
    <w:rsid w:val="00FF04A3"/>
    <w:rPr>
      <w:b w:val="0"/>
      <w:sz w:val="22"/>
    </w:rPr>
  </w:style>
  <w:style w:type="character" w:customStyle="1" w:styleId="ListLabel73">
    <w:name w:val="ListLabel 73"/>
    <w:rsid w:val="00FF04A3"/>
    <w:rPr>
      <w:b w:val="0"/>
      <w:sz w:val="22"/>
    </w:rPr>
  </w:style>
  <w:style w:type="character" w:customStyle="1" w:styleId="ListLabel74">
    <w:name w:val="ListLabel 74"/>
    <w:rsid w:val="00FF04A3"/>
    <w:rPr>
      <w:b w:val="0"/>
      <w:sz w:val="22"/>
    </w:rPr>
  </w:style>
  <w:style w:type="character" w:customStyle="1" w:styleId="ListLabel75">
    <w:name w:val="ListLabel 75"/>
    <w:rsid w:val="00FF04A3"/>
    <w:rPr>
      <w:b w:val="0"/>
      <w:sz w:val="22"/>
    </w:rPr>
  </w:style>
  <w:style w:type="character" w:customStyle="1" w:styleId="ListLabel76">
    <w:name w:val="ListLabel 76"/>
    <w:rsid w:val="00FF04A3"/>
    <w:rPr>
      <w:b w:val="0"/>
      <w:sz w:val="22"/>
    </w:rPr>
  </w:style>
  <w:style w:type="character" w:customStyle="1" w:styleId="ListLabel77">
    <w:name w:val="ListLabel 77"/>
    <w:rsid w:val="00FF04A3"/>
    <w:rPr>
      <w:b w:val="0"/>
      <w:sz w:val="22"/>
    </w:rPr>
  </w:style>
  <w:style w:type="character" w:customStyle="1" w:styleId="ListLabel78">
    <w:name w:val="ListLabel 78"/>
    <w:rsid w:val="00FF04A3"/>
    <w:rPr>
      <w:b w:val="0"/>
      <w:sz w:val="22"/>
    </w:rPr>
  </w:style>
  <w:style w:type="character" w:customStyle="1" w:styleId="ListLabel79">
    <w:name w:val="ListLabel 79"/>
    <w:rsid w:val="00FF04A3"/>
    <w:rPr>
      <w:b w:val="0"/>
      <w:sz w:val="22"/>
    </w:rPr>
  </w:style>
  <w:style w:type="character" w:customStyle="1" w:styleId="ListLabel80">
    <w:name w:val="ListLabel 80"/>
    <w:rsid w:val="00FF04A3"/>
    <w:rPr>
      <w:rFonts w:ascii="Calibri" w:eastAsia="Arial Unicode MS" w:hAnsi="Calibri" w:cs="Calibri"/>
      <w:b/>
      <w:iCs/>
      <w:sz w:val="24"/>
      <w:lang w:val="es-ES"/>
    </w:rPr>
  </w:style>
  <w:style w:type="character" w:customStyle="1" w:styleId="SubttuloCar1">
    <w:name w:val="Subtítulo Car1"/>
    <w:rsid w:val="00FF04A3"/>
    <w:rPr>
      <w:rFonts w:ascii="Arial" w:eastAsia="SimSun" w:hAnsi="Arial" w:cs="Arial"/>
      <w:i/>
      <w:iCs/>
      <w:color w:val="00000A"/>
      <w:sz w:val="28"/>
      <w:szCs w:val="28"/>
      <w:lang w:eastAsia="zh-CN"/>
    </w:rPr>
  </w:style>
  <w:style w:type="paragraph" w:customStyle="1" w:styleId="Prrafodelista13">
    <w:name w:val="Párrafo de lista13"/>
    <w:rsid w:val="00FF04A3"/>
    <w:pPr>
      <w:suppressAutoHyphens/>
      <w:spacing w:after="160"/>
      <w:ind w:left="720"/>
    </w:pPr>
    <w:rPr>
      <w:rFonts w:cs="Arial"/>
      <w:color w:val="00000A"/>
      <w:kern w:val="2"/>
      <w:sz w:val="24"/>
      <w:szCs w:val="24"/>
      <w:lang w:val="es-CR" w:eastAsia="zh-CN" w:bidi="hi-IN"/>
    </w:rPr>
  </w:style>
  <w:style w:type="paragraph" w:customStyle="1" w:styleId="Sinespaciado18">
    <w:name w:val="Sin espaciado18"/>
    <w:rsid w:val="00FF04A3"/>
    <w:pPr>
      <w:widowControl w:val="0"/>
      <w:suppressAutoHyphens/>
      <w:spacing w:line="100" w:lineRule="atLeast"/>
    </w:pPr>
    <w:rPr>
      <w:rFonts w:ascii="Calibri" w:eastAsia="SimSun" w:hAnsi="Calibri" w:cs="Calibri"/>
      <w:kern w:val="2"/>
      <w:sz w:val="22"/>
      <w:szCs w:val="22"/>
      <w:lang w:eastAsia="zh-CN"/>
    </w:rPr>
  </w:style>
  <w:style w:type="character" w:customStyle="1" w:styleId="Fuentedeprrafopredeter18">
    <w:name w:val="Fuente de párrafo predeter.18"/>
    <w:rsid w:val="00FF04A3"/>
  </w:style>
  <w:style w:type="paragraph" w:customStyle="1" w:styleId="Prrafodelista14">
    <w:name w:val="Párrafo de lista14"/>
    <w:rsid w:val="00FF04A3"/>
    <w:pPr>
      <w:suppressAutoHyphens/>
      <w:spacing w:after="160"/>
      <w:ind w:left="720"/>
    </w:pPr>
    <w:rPr>
      <w:rFonts w:cs="Arial"/>
      <w:color w:val="00000A"/>
      <w:kern w:val="2"/>
      <w:sz w:val="24"/>
      <w:szCs w:val="24"/>
      <w:lang w:val="es-CR" w:eastAsia="zh-CN" w:bidi="hi-IN"/>
    </w:rPr>
  </w:style>
  <w:style w:type="paragraph" w:customStyle="1" w:styleId="Sinespaciado19">
    <w:name w:val="Sin espaciado19"/>
    <w:rsid w:val="00FF04A3"/>
    <w:pPr>
      <w:widowControl w:val="0"/>
      <w:suppressAutoHyphens/>
      <w:spacing w:line="100" w:lineRule="atLeast"/>
    </w:pPr>
    <w:rPr>
      <w:rFonts w:ascii="Calibri" w:eastAsia="SimSun" w:hAnsi="Calibri" w:cs="Calibri"/>
      <w:kern w:val="2"/>
      <w:sz w:val="22"/>
      <w:szCs w:val="22"/>
      <w:lang w:eastAsia="zh-CN"/>
    </w:rPr>
  </w:style>
  <w:style w:type="paragraph" w:customStyle="1" w:styleId="Descripcin4">
    <w:name w:val="Descripción4"/>
    <w:basedOn w:val="Predeterminado0"/>
    <w:rsid w:val="00FF04A3"/>
    <w:pPr>
      <w:suppressAutoHyphens/>
      <w:autoSpaceDE/>
      <w:autoSpaceDN/>
      <w:adjustRightInd/>
      <w:spacing w:before="120" w:after="120" w:line="100" w:lineRule="atLeast"/>
    </w:pPr>
    <w:rPr>
      <w:rFonts w:ascii="Book Antiqua" w:eastAsia="SimSun" w:hAnsi="Book Antiqua" w:cs="font337"/>
      <w:i/>
      <w:iCs/>
      <w:color w:val="00000A"/>
      <w:sz w:val="24"/>
      <w:szCs w:val="24"/>
      <w:lang w:val="es-CR" w:eastAsia="zh-CN"/>
    </w:rPr>
  </w:style>
  <w:style w:type="character" w:customStyle="1" w:styleId="Fuentedeprrafopredeter19">
    <w:name w:val="Fuente de párrafo predeter.19"/>
    <w:rsid w:val="00FF04A3"/>
  </w:style>
  <w:style w:type="paragraph" w:customStyle="1" w:styleId="Prrafodelista15">
    <w:name w:val="Párrafo de lista15"/>
    <w:rsid w:val="00FF04A3"/>
    <w:pPr>
      <w:suppressAutoHyphens/>
      <w:spacing w:after="160"/>
      <w:ind w:left="720"/>
    </w:pPr>
    <w:rPr>
      <w:rFonts w:cs="Arial"/>
      <w:color w:val="00000A"/>
      <w:kern w:val="1"/>
      <w:sz w:val="24"/>
      <w:szCs w:val="24"/>
      <w:lang w:val="es-CR" w:eastAsia="zh-CN" w:bidi="hi-IN"/>
    </w:rPr>
  </w:style>
  <w:style w:type="paragraph" w:customStyle="1" w:styleId="Sinespaciado20">
    <w:name w:val="Sin espaciado20"/>
    <w:rsid w:val="00FF04A3"/>
    <w:pPr>
      <w:widowControl w:val="0"/>
      <w:suppressAutoHyphens/>
      <w:spacing w:line="100" w:lineRule="atLeast"/>
    </w:pPr>
    <w:rPr>
      <w:rFonts w:ascii="Calibri" w:eastAsia="SimSun" w:hAnsi="Calibri" w:cs="Calibri"/>
      <w:kern w:val="1"/>
      <w:sz w:val="22"/>
      <w:szCs w:val="22"/>
      <w:lang w:eastAsia="zh-CN"/>
    </w:rPr>
  </w:style>
  <w:style w:type="paragraph" w:customStyle="1" w:styleId="Descripcin5">
    <w:name w:val="Descripción5"/>
    <w:basedOn w:val="Predeterminado0"/>
    <w:rsid w:val="00FF04A3"/>
    <w:pPr>
      <w:suppressAutoHyphens/>
      <w:autoSpaceDE/>
      <w:autoSpaceDN/>
      <w:adjustRightInd/>
      <w:spacing w:before="120" w:after="120" w:line="100" w:lineRule="atLeast"/>
    </w:pPr>
    <w:rPr>
      <w:rFonts w:ascii="Book Antiqua" w:eastAsia="SimSun" w:hAnsi="Book Antiqua" w:cs="font346"/>
      <w:i/>
      <w:iCs/>
      <w:color w:val="00000A"/>
      <w:sz w:val="24"/>
      <w:szCs w:val="24"/>
      <w:lang w:val="es-CR" w:eastAsia="zh-CN"/>
    </w:rPr>
  </w:style>
  <w:style w:type="character" w:customStyle="1" w:styleId="Fuentedepe1e1rrafopredeter">
    <w:name w:val="Fuente de páe1e1rrafo predeter."/>
    <w:rsid w:val="00FF04A3"/>
  </w:style>
  <w:style w:type="character" w:customStyle="1" w:styleId="Fuentedeprrafopredeter20">
    <w:name w:val="Fuente de párrafo predeter.20"/>
    <w:rsid w:val="00FF04A3"/>
  </w:style>
  <w:style w:type="paragraph" w:customStyle="1" w:styleId="Prrafodelista16">
    <w:name w:val="Párrafo de lista16"/>
    <w:rsid w:val="00FF04A3"/>
    <w:pPr>
      <w:suppressAutoHyphens/>
      <w:spacing w:after="160"/>
      <w:ind w:left="720"/>
    </w:pPr>
    <w:rPr>
      <w:rFonts w:cs="Arial"/>
      <w:color w:val="00000A"/>
      <w:kern w:val="2"/>
      <w:sz w:val="24"/>
      <w:szCs w:val="24"/>
      <w:lang w:val="es-CR" w:eastAsia="zh-CN" w:bidi="hi-IN"/>
    </w:rPr>
  </w:style>
  <w:style w:type="paragraph" w:customStyle="1" w:styleId="Sinespaciado21">
    <w:name w:val="Sin espaciado21"/>
    <w:rsid w:val="00FF04A3"/>
    <w:pPr>
      <w:widowControl w:val="0"/>
      <w:suppressAutoHyphens/>
      <w:spacing w:line="100" w:lineRule="atLeast"/>
    </w:pPr>
    <w:rPr>
      <w:rFonts w:ascii="Calibri" w:eastAsia="SimSun" w:hAnsi="Calibri" w:cs="Calibri"/>
      <w:kern w:val="2"/>
      <w:sz w:val="22"/>
      <w:szCs w:val="22"/>
      <w:lang w:eastAsia="zh-CN"/>
    </w:rPr>
  </w:style>
  <w:style w:type="paragraph" w:customStyle="1" w:styleId="Descripcin6">
    <w:name w:val="Descripción6"/>
    <w:basedOn w:val="Predeterminado0"/>
    <w:rsid w:val="00FF04A3"/>
    <w:pPr>
      <w:suppressAutoHyphens/>
      <w:autoSpaceDE/>
      <w:autoSpaceDN/>
      <w:adjustRightInd/>
      <w:spacing w:before="120" w:after="120" w:line="100" w:lineRule="atLeast"/>
    </w:pPr>
    <w:rPr>
      <w:rFonts w:ascii="Book Antiqua" w:eastAsia="SimSun" w:hAnsi="Book Antiqua" w:cs="font336"/>
      <w:i/>
      <w:iCs/>
      <w:color w:val="00000A"/>
      <w:sz w:val="24"/>
      <w:szCs w:val="24"/>
      <w:lang w:val="es-CR" w:eastAsia="zh-CN"/>
    </w:rPr>
  </w:style>
  <w:style w:type="character" w:customStyle="1" w:styleId="Fuentedeprrafopredeter21">
    <w:name w:val="Fuente de párrafo predeter.21"/>
    <w:rsid w:val="00FF04A3"/>
  </w:style>
  <w:style w:type="paragraph" w:customStyle="1" w:styleId="Prrafodelista17">
    <w:name w:val="Párrafo de lista17"/>
    <w:rsid w:val="00FF04A3"/>
    <w:pPr>
      <w:suppressAutoHyphens/>
      <w:spacing w:after="160"/>
      <w:ind w:left="720"/>
    </w:pPr>
    <w:rPr>
      <w:rFonts w:cs="Arial"/>
      <w:color w:val="00000A"/>
      <w:kern w:val="2"/>
      <w:sz w:val="24"/>
      <w:szCs w:val="24"/>
      <w:lang w:val="es-CR" w:eastAsia="zh-CN" w:bidi="hi-IN"/>
    </w:rPr>
  </w:style>
  <w:style w:type="paragraph" w:customStyle="1" w:styleId="Sinespaciado22">
    <w:name w:val="Sin espaciado22"/>
    <w:rsid w:val="00FF04A3"/>
    <w:pPr>
      <w:widowControl w:val="0"/>
      <w:suppressAutoHyphens/>
      <w:spacing w:line="100" w:lineRule="atLeast"/>
    </w:pPr>
    <w:rPr>
      <w:rFonts w:ascii="Calibri" w:eastAsia="SimSun" w:hAnsi="Calibri" w:cs="Calibri"/>
      <w:kern w:val="2"/>
      <w:sz w:val="22"/>
      <w:szCs w:val="22"/>
      <w:lang w:eastAsia="zh-CN"/>
    </w:rPr>
  </w:style>
  <w:style w:type="character" w:customStyle="1" w:styleId="c9c9nfasis1">
    <w:name w:val="Éc9c9nfasis1"/>
    <w:rsid w:val="00FF04A3"/>
    <w:rPr>
      <w:rFonts w:eastAsia="Times New Roman"/>
      <w:i/>
      <w:iCs/>
    </w:rPr>
  </w:style>
  <w:style w:type="character" w:customStyle="1" w:styleId="Fuentedeprrafopredeter22">
    <w:name w:val="Fuente de párrafo predeter.22"/>
    <w:rsid w:val="00FF04A3"/>
  </w:style>
  <w:style w:type="paragraph" w:customStyle="1" w:styleId="Prrafodelista18">
    <w:name w:val="Párrafo de lista18"/>
    <w:rsid w:val="00FF04A3"/>
    <w:pPr>
      <w:suppressAutoHyphens/>
      <w:spacing w:after="160"/>
      <w:ind w:left="720"/>
    </w:pPr>
    <w:rPr>
      <w:rFonts w:cs="Arial"/>
      <w:color w:val="00000A"/>
      <w:kern w:val="2"/>
      <w:sz w:val="24"/>
      <w:szCs w:val="24"/>
      <w:lang w:val="es-CR" w:eastAsia="zh-CN" w:bidi="hi-IN"/>
    </w:rPr>
  </w:style>
  <w:style w:type="paragraph" w:customStyle="1" w:styleId="Sinespaciado23">
    <w:name w:val="Sin espaciado23"/>
    <w:rsid w:val="00FF04A3"/>
    <w:pPr>
      <w:widowControl w:val="0"/>
      <w:suppressAutoHyphens/>
      <w:spacing w:line="100" w:lineRule="atLeast"/>
    </w:pPr>
    <w:rPr>
      <w:rFonts w:ascii="Calibri" w:eastAsia="SimSun" w:hAnsi="Calibri" w:cs="Calibri"/>
      <w:kern w:val="2"/>
      <w:sz w:val="22"/>
      <w:szCs w:val="22"/>
      <w:lang w:eastAsia="zh-CN"/>
    </w:rPr>
  </w:style>
  <w:style w:type="character" w:customStyle="1" w:styleId="Fuentedeprrafopredeter23">
    <w:name w:val="Fuente de párrafo predeter.23"/>
    <w:rsid w:val="00FF04A3"/>
  </w:style>
  <w:style w:type="paragraph" w:customStyle="1" w:styleId="Prrafodelista19">
    <w:name w:val="Párrafo de lista19"/>
    <w:rsid w:val="00FF04A3"/>
    <w:pPr>
      <w:suppressAutoHyphens/>
      <w:spacing w:after="160"/>
      <w:ind w:left="720"/>
    </w:pPr>
    <w:rPr>
      <w:rFonts w:cs="Arial"/>
      <w:color w:val="00000A"/>
      <w:kern w:val="1"/>
      <w:sz w:val="24"/>
      <w:szCs w:val="24"/>
      <w:lang w:val="es-CR" w:eastAsia="zh-CN" w:bidi="hi-IN"/>
    </w:rPr>
  </w:style>
  <w:style w:type="paragraph" w:customStyle="1" w:styleId="Sinespaciado24">
    <w:name w:val="Sin espaciado24"/>
    <w:rsid w:val="00FF04A3"/>
    <w:pPr>
      <w:widowControl w:val="0"/>
      <w:suppressAutoHyphens/>
      <w:spacing w:line="100" w:lineRule="atLeast"/>
    </w:pPr>
    <w:rPr>
      <w:rFonts w:ascii="Calibri" w:eastAsia="SimSun" w:hAnsi="Calibri" w:cs="Calibri"/>
      <w:kern w:val="1"/>
      <w:sz w:val="22"/>
      <w:szCs w:val="22"/>
      <w:lang w:eastAsia="zh-CN"/>
    </w:rPr>
  </w:style>
  <w:style w:type="paragraph" w:customStyle="1" w:styleId="Textocomentario2">
    <w:name w:val="Texto comentario2"/>
    <w:basedOn w:val="Normal"/>
    <w:rsid w:val="00FF04A3"/>
    <w:pPr>
      <w:widowControl w:val="0"/>
      <w:spacing w:after="160" w:line="252" w:lineRule="auto"/>
      <w:textAlignment w:val="baseline"/>
    </w:pPr>
    <w:rPr>
      <w:rFonts w:ascii="Book Antiqua" w:eastAsia="Book Antiqua" w:hAnsi="Book Antiqua" w:cs="Book Antiqua"/>
      <w:color w:val="00000A"/>
      <w:kern w:val="1"/>
      <w:sz w:val="20"/>
      <w:szCs w:val="20"/>
      <w:lang w:val="es-CR" w:eastAsia="zh-CN" w:bidi="es-CR"/>
    </w:rPr>
  </w:style>
  <w:style w:type="character" w:customStyle="1" w:styleId="TextocomentarioCar2">
    <w:name w:val="Texto comentario Car2"/>
    <w:uiPriority w:val="99"/>
    <w:semiHidden/>
    <w:rsid w:val="00FF04A3"/>
    <w:rPr>
      <w:rFonts w:ascii="Book Antiqua" w:eastAsia="Book Antiqua" w:hAnsi="Book Antiqua" w:cs="Book Antiqua"/>
      <w:color w:val="00000A"/>
      <w:kern w:val="1"/>
      <w:lang w:eastAsia="zh-CN" w:bidi="es-CR"/>
    </w:rPr>
  </w:style>
  <w:style w:type="character" w:customStyle="1" w:styleId="Fuentedeprrafopredeter24">
    <w:name w:val="Fuente de párrafo predeter.24"/>
    <w:rsid w:val="00FF04A3"/>
  </w:style>
  <w:style w:type="paragraph" w:customStyle="1" w:styleId="Prrafodelista200">
    <w:name w:val="Párrafo de lista20"/>
    <w:qFormat/>
    <w:rsid w:val="00FF04A3"/>
    <w:pPr>
      <w:suppressAutoHyphens/>
      <w:spacing w:after="160"/>
      <w:ind w:left="720"/>
    </w:pPr>
    <w:rPr>
      <w:rFonts w:cs="Arial"/>
      <w:color w:val="00000A"/>
      <w:kern w:val="2"/>
      <w:sz w:val="24"/>
      <w:szCs w:val="24"/>
      <w:lang w:val="es-CR" w:eastAsia="zh-CN" w:bidi="hi-IN"/>
    </w:rPr>
  </w:style>
  <w:style w:type="paragraph" w:customStyle="1" w:styleId="Sinespaciado25">
    <w:name w:val="Sin espaciado25"/>
    <w:rsid w:val="00FF04A3"/>
    <w:pPr>
      <w:widowControl w:val="0"/>
      <w:suppressAutoHyphens/>
      <w:spacing w:line="100" w:lineRule="atLeast"/>
    </w:pPr>
    <w:rPr>
      <w:rFonts w:ascii="Calibri" w:eastAsia="SimSun" w:hAnsi="Calibri" w:cs="Calibri"/>
      <w:kern w:val="2"/>
      <w:sz w:val="22"/>
      <w:szCs w:val="22"/>
      <w:lang w:eastAsia="zh-CN"/>
    </w:rPr>
  </w:style>
  <w:style w:type="character" w:customStyle="1" w:styleId="Fuentedeprrafopredeter25">
    <w:name w:val="Fuente de párrafo predeter.25"/>
    <w:rsid w:val="00FF04A3"/>
  </w:style>
  <w:style w:type="paragraph" w:customStyle="1" w:styleId="Prrafodelista21">
    <w:name w:val="Párrafo de lista21"/>
    <w:rsid w:val="00FF04A3"/>
    <w:pPr>
      <w:suppressAutoHyphens/>
      <w:spacing w:after="160"/>
      <w:ind w:left="720"/>
    </w:pPr>
    <w:rPr>
      <w:rFonts w:cs="Arial"/>
      <w:color w:val="00000A"/>
      <w:kern w:val="1"/>
      <w:sz w:val="24"/>
      <w:szCs w:val="24"/>
      <w:lang w:val="es-CR" w:eastAsia="zh-CN" w:bidi="hi-IN"/>
    </w:rPr>
  </w:style>
  <w:style w:type="paragraph" w:customStyle="1" w:styleId="Sinespaciado26">
    <w:name w:val="Sin espaciado26"/>
    <w:rsid w:val="00FF04A3"/>
    <w:pPr>
      <w:widowControl w:val="0"/>
      <w:suppressAutoHyphens/>
      <w:spacing w:line="100" w:lineRule="atLeast"/>
    </w:pPr>
    <w:rPr>
      <w:rFonts w:ascii="Calibri" w:eastAsia="SimSun" w:hAnsi="Calibri" w:cs="Calibri"/>
      <w:kern w:val="1"/>
      <w:sz w:val="22"/>
      <w:szCs w:val="22"/>
      <w:lang w:eastAsia="zh-CN"/>
    </w:rPr>
  </w:style>
  <w:style w:type="character" w:customStyle="1" w:styleId="Fuentedeprrafopredeter26">
    <w:name w:val="Fuente de párrafo predeter.26"/>
    <w:rsid w:val="00FF04A3"/>
  </w:style>
  <w:style w:type="paragraph" w:customStyle="1" w:styleId="Sinespaciado27">
    <w:name w:val="Sin espaciado27"/>
    <w:rsid w:val="00FF04A3"/>
    <w:pPr>
      <w:widowControl w:val="0"/>
      <w:suppressAutoHyphens/>
      <w:spacing w:line="100" w:lineRule="atLeast"/>
    </w:pPr>
    <w:rPr>
      <w:rFonts w:ascii="Calibri" w:eastAsia="SimSun" w:hAnsi="Calibri" w:cs="Calibri"/>
      <w:kern w:val="2"/>
      <w:sz w:val="22"/>
      <w:szCs w:val="22"/>
      <w:lang w:eastAsia="zh-CN"/>
    </w:rPr>
  </w:style>
  <w:style w:type="character" w:customStyle="1" w:styleId="Fuentedeprrafopredeter27">
    <w:name w:val="Fuente de párrafo predeter.27"/>
    <w:rsid w:val="00FF04A3"/>
  </w:style>
  <w:style w:type="paragraph" w:customStyle="1" w:styleId="Prrafodelista22">
    <w:name w:val="Párrafo de lista22"/>
    <w:rsid w:val="00FF04A3"/>
    <w:pPr>
      <w:suppressAutoHyphens/>
      <w:spacing w:after="160"/>
      <w:ind w:left="720"/>
    </w:pPr>
    <w:rPr>
      <w:rFonts w:cs="Arial"/>
      <w:color w:val="00000A"/>
      <w:kern w:val="1"/>
      <w:sz w:val="24"/>
      <w:szCs w:val="24"/>
      <w:lang w:val="es-CR" w:eastAsia="zh-CN" w:bidi="hi-IN"/>
    </w:rPr>
  </w:style>
  <w:style w:type="paragraph" w:customStyle="1" w:styleId="Sinespaciado28">
    <w:name w:val="Sin espaciado28"/>
    <w:rsid w:val="00FF04A3"/>
    <w:pPr>
      <w:widowControl w:val="0"/>
      <w:suppressAutoHyphens/>
      <w:spacing w:line="100" w:lineRule="atLeast"/>
    </w:pPr>
    <w:rPr>
      <w:rFonts w:ascii="Calibri" w:eastAsia="SimSun" w:hAnsi="Calibri" w:cs="Calibri"/>
      <w:kern w:val="1"/>
      <w:sz w:val="22"/>
      <w:szCs w:val="22"/>
      <w:lang w:eastAsia="zh-CN"/>
    </w:rPr>
  </w:style>
  <w:style w:type="character" w:customStyle="1" w:styleId="Fuentedeprrafopredeter28">
    <w:name w:val="Fuente de párrafo predeter.28"/>
    <w:rsid w:val="00FF04A3"/>
  </w:style>
  <w:style w:type="paragraph" w:customStyle="1" w:styleId="Prrafodelista23">
    <w:name w:val="Párrafo de lista23"/>
    <w:rsid w:val="00FF04A3"/>
    <w:pPr>
      <w:suppressAutoHyphens/>
      <w:spacing w:after="160"/>
      <w:ind w:left="720"/>
    </w:pPr>
    <w:rPr>
      <w:rFonts w:cs="Arial"/>
      <w:color w:val="00000A"/>
      <w:kern w:val="1"/>
      <w:sz w:val="24"/>
      <w:szCs w:val="24"/>
      <w:lang w:val="es-CR" w:eastAsia="zh-CN" w:bidi="hi-IN"/>
    </w:rPr>
  </w:style>
  <w:style w:type="paragraph" w:customStyle="1" w:styleId="Sinespaciado29">
    <w:name w:val="Sin espaciado29"/>
    <w:rsid w:val="00FF04A3"/>
    <w:pPr>
      <w:widowControl w:val="0"/>
      <w:suppressAutoHyphens/>
      <w:spacing w:line="100" w:lineRule="atLeast"/>
    </w:pPr>
    <w:rPr>
      <w:rFonts w:ascii="Calibri" w:eastAsia="SimSun" w:hAnsi="Calibri" w:cs="Calibri"/>
      <w:kern w:val="1"/>
      <w:sz w:val="22"/>
      <w:szCs w:val="22"/>
      <w:lang w:eastAsia="zh-CN"/>
    </w:rPr>
  </w:style>
  <w:style w:type="character" w:customStyle="1" w:styleId="gloria">
    <w:name w:val="gloria"/>
    <w:rsid w:val="00FF04A3"/>
    <w:rPr>
      <w:rFonts w:ascii="Arial" w:hAnsi="Arial" w:cs="Arial"/>
      <w:color w:val="000080"/>
      <w:sz w:val="20"/>
      <w:szCs w:val="20"/>
    </w:rPr>
  </w:style>
  <w:style w:type="numbering" w:customStyle="1" w:styleId="11111111134212">
    <w:name w:val="1.1 / 1.1.1 / 1.1.1.134212"/>
    <w:rsid w:val="00FF04A3"/>
    <w:pPr>
      <w:numPr>
        <w:numId w:val="31"/>
      </w:numPr>
    </w:pPr>
  </w:style>
  <w:style w:type="paragraph" w:customStyle="1" w:styleId="ui-chatitem">
    <w:name w:val="ui-chat__item"/>
    <w:basedOn w:val="Normal"/>
    <w:rsid w:val="00FF04A3"/>
    <w:pPr>
      <w:suppressAutoHyphens w:val="0"/>
      <w:autoSpaceDN w:val="0"/>
      <w:spacing w:before="100" w:after="100"/>
    </w:pPr>
    <w:rPr>
      <w:lang w:val="es-CR" w:eastAsia="es-CR"/>
    </w:rPr>
  </w:style>
  <w:style w:type="character" w:customStyle="1" w:styleId="Ancladenotafinal">
    <w:name w:val="Ancla de nota final"/>
    <w:rsid w:val="00FF04A3"/>
    <w:rPr>
      <w:vertAlign w:val="superscript"/>
    </w:rPr>
  </w:style>
  <w:style w:type="paragraph" w:customStyle="1" w:styleId="Autocorrecci3f1">
    <w:name w:val="Autocorrecci?3f"/>
    <w:qFormat/>
    <w:rsid w:val="00FF04A3"/>
    <w:rPr>
      <w:rFonts w:ascii="Arial" w:hAnsi="Arial" w:cs="Arial"/>
      <w:color w:val="000000"/>
      <w:sz w:val="24"/>
      <w:u w:val="single"/>
    </w:rPr>
  </w:style>
  <w:style w:type="paragraph" w:styleId="Bibliografa">
    <w:name w:val="Bibliography"/>
    <w:basedOn w:val="Normal"/>
    <w:next w:val="Normal"/>
    <w:uiPriority w:val="37"/>
    <w:unhideWhenUsed/>
    <w:rsid w:val="00FF04A3"/>
  </w:style>
  <w:style w:type="character" w:customStyle="1" w:styleId="ng-binding">
    <w:name w:val="ng-binding"/>
    <w:basedOn w:val="Fuentedeprrafopredeter"/>
    <w:rsid w:val="00FF04A3"/>
  </w:style>
  <w:style w:type="character" w:customStyle="1" w:styleId="ng-scope">
    <w:name w:val="ng-scope"/>
    <w:basedOn w:val="Fuentedeprrafopredeter"/>
    <w:rsid w:val="00FF04A3"/>
  </w:style>
  <w:style w:type="numbering" w:customStyle="1" w:styleId="WW8Num311">
    <w:name w:val="WW8Num311"/>
    <w:qFormat/>
    <w:rsid w:val="00FF04A3"/>
    <w:pPr>
      <w:numPr>
        <w:numId w:val="34"/>
      </w:numPr>
    </w:pPr>
  </w:style>
  <w:style w:type="character" w:customStyle="1" w:styleId="Ninguno">
    <w:name w:val="Ninguno"/>
    <w:rsid w:val="00FF04A3"/>
    <w:rPr>
      <w:lang w:val="es-ES_tradnl"/>
    </w:rPr>
  </w:style>
  <w:style w:type="character" w:customStyle="1" w:styleId="markedcontent">
    <w:name w:val="markedcontent"/>
    <w:basedOn w:val="Fuentedeprrafopredeter"/>
    <w:rsid w:val="00FF04A3"/>
  </w:style>
  <w:style w:type="numbering" w:customStyle="1" w:styleId="Sinlista16">
    <w:name w:val="Sin lista16"/>
    <w:next w:val="Sinlista"/>
    <w:uiPriority w:val="99"/>
    <w:semiHidden/>
    <w:unhideWhenUsed/>
    <w:rsid w:val="00FF04A3"/>
  </w:style>
  <w:style w:type="numbering" w:customStyle="1" w:styleId="WW8Num110">
    <w:name w:val="WW8Num110"/>
    <w:qFormat/>
    <w:rsid w:val="00FF04A3"/>
    <w:pPr>
      <w:numPr>
        <w:numId w:val="27"/>
      </w:numPr>
    </w:pPr>
  </w:style>
  <w:style w:type="numbering" w:customStyle="1" w:styleId="WW8Num210">
    <w:name w:val="WW8Num210"/>
    <w:qFormat/>
    <w:rsid w:val="00FF04A3"/>
    <w:pPr>
      <w:numPr>
        <w:numId w:val="26"/>
      </w:numPr>
    </w:pPr>
  </w:style>
  <w:style w:type="numbering" w:customStyle="1" w:styleId="WW8Num310">
    <w:name w:val="WW8Num310"/>
    <w:qFormat/>
    <w:rsid w:val="00FF04A3"/>
    <w:pPr>
      <w:numPr>
        <w:numId w:val="25"/>
      </w:numPr>
    </w:pPr>
  </w:style>
  <w:style w:type="numbering" w:customStyle="1" w:styleId="WW8Num410">
    <w:name w:val="WW8Num410"/>
    <w:qFormat/>
    <w:rsid w:val="00FF04A3"/>
  </w:style>
  <w:style w:type="numbering" w:customStyle="1" w:styleId="WW8Num51">
    <w:name w:val="WW8Num51"/>
    <w:qFormat/>
    <w:rsid w:val="00FF04A3"/>
  </w:style>
  <w:style w:type="numbering" w:customStyle="1" w:styleId="WW8Num61">
    <w:name w:val="WW8Num61"/>
    <w:qFormat/>
    <w:rsid w:val="00FF04A3"/>
  </w:style>
  <w:style w:type="numbering" w:customStyle="1" w:styleId="WW8Num71">
    <w:name w:val="WW8Num71"/>
    <w:qFormat/>
    <w:rsid w:val="00FF04A3"/>
  </w:style>
  <w:style w:type="numbering" w:customStyle="1" w:styleId="WW8Num81">
    <w:name w:val="WW8Num81"/>
    <w:qFormat/>
    <w:rsid w:val="00FF04A3"/>
  </w:style>
  <w:style w:type="numbering" w:customStyle="1" w:styleId="WW8Num91">
    <w:name w:val="WW8Num91"/>
    <w:qFormat/>
    <w:rsid w:val="00FF04A3"/>
  </w:style>
  <w:style w:type="numbering" w:customStyle="1" w:styleId="WW8Num101">
    <w:name w:val="WW8Num101"/>
    <w:qFormat/>
    <w:rsid w:val="00FF04A3"/>
  </w:style>
  <w:style w:type="numbering" w:customStyle="1" w:styleId="WW8Num111">
    <w:name w:val="WW8Num111"/>
    <w:qFormat/>
    <w:rsid w:val="00FF04A3"/>
  </w:style>
  <w:style w:type="numbering" w:customStyle="1" w:styleId="WW8Num121">
    <w:name w:val="WW8Num121"/>
    <w:qFormat/>
    <w:rsid w:val="00FF04A3"/>
  </w:style>
  <w:style w:type="numbering" w:customStyle="1" w:styleId="WW8Num131">
    <w:name w:val="WW8Num131"/>
    <w:qFormat/>
    <w:rsid w:val="00FF04A3"/>
  </w:style>
  <w:style w:type="numbering" w:customStyle="1" w:styleId="WW8Num141">
    <w:name w:val="WW8Num141"/>
    <w:qFormat/>
    <w:rsid w:val="00FF04A3"/>
  </w:style>
  <w:style w:type="numbering" w:customStyle="1" w:styleId="WW8Num151">
    <w:name w:val="WW8Num151"/>
    <w:qFormat/>
    <w:rsid w:val="00FF04A3"/>
  </w:style>
  <w:style w:type="numbering" w:customStyle="1" w:styleId="WW8Num161">
    <w:name w:val="WW8Num161"/>
    <w:qFormat/>
    <w:rsid w:val="00FF04A3"/>
  </w:style>
  <w:style w:type="numbering" w:customStyle="1" w:styleId="WW8Num171">
    <w:name w:val="WW8Num171"/>
    <w:qFormat/>
    <w:rsid w:val="00FF04A3"/>
  </w:style>
  <w:style w:type="numbering" w:customStyle="1" w:styleId="WW8Num181">
    <w:name w:val="WW8Num181"/>
    <w:qFormat/>
    <w:rsid w:val="00FF04A3"/>
  </w:style>
  <w:style w:type="numbering" w:customStyle="1" w:styleId="WW8Num191">
    <w:name w:val="WW8Num191"/>
    <w:qFormat/>
    <w:rsid w:val="00FF04A3"/>
  </w:style>
  <w:style w:type="numbering" w:customStyle="1" w:styleId="WW8Num201">
    <w:name w:val="WW8Num201"/>
    <w:qFormat/>
    <w:rsid w:val="00FF04A3"/>
  </w:style>
  <w:style w:type="numbering" w:customStyle="1" w:styleId="WW8Num211">
    <w:name w:val="WW8Num211"/>
    <w:qFormat/>
    <w:rsid w:val="00FF04A3"/>
  </w:style>
  <w:style w:type="numbering" w:customStyle="1" w:styleId="WW8Num221">
    <w:name w:val="WW8Num221"/>
    <w:qFormat/>
    <w:rsid w:val="00FF04A3"/>
  </w:style>
  <w:style w:type="numbering" w:customStyle="1" w:styleId="WW8Num231">
    <w:name w:val="WW8Num231"/>
    <w:qFormat/>
    <w:rsid w:val="00FF04A3"/>
  </w:style>
  <w:style w:type="numbering" w:customStyle="1" w:styleId="WW8Num241">
    <w:name w:val="WW8Num241"/>
    <w:qFormat/>
    <w:rsid w:val="00FF04A3"/>
    <w:pPr>
      <w:numPr>
        <w:numId w:val="29"/>
      </w:numPr>
    </w:pPr>
  </w:style>
  <w:style w:type="numbering" w:customStyle="1" w:styleId="WW8Num251">
    <w:name w:val="WW8Num251"/>
    <w:qFormat/>
    <w:rsid w:val="00FF04A3"/>
  </w:style>
  <w:style w:type="numbering" w:customStyle="1" w:styleId="WW8Num261">
    <w:name w:val="WW8Num261"/>
    <w:qFormat/>
    <w:rsid w:val="00FF04A3"/>
  </w:style>
  <w:style w:type="numbering" w:customStyle="1" w:styleId="WW8Num271">
    <w:name w:val="WW8Num271"/>
    <w:qFormat/>
    <w:rsid w:val="00FF04A3"/>
  </w:style>
  <w:style w:type="numbering" w:customStyle="1" w:styleId="WW8Num281">
    <w:name w:val="WW8Num281"/>
    <w:qFormat/>
    <w:rsid w:val="00FF04A3"/>
  </w:style>
  <w:style w:type="numbering" w:customStyle="1" w:styleId="WW8Num291">
    <w:name w:val="WW8Num291"/>
    <w:qFormat/>
    <w:rsid w:val="00FF04A3"/>
  </w:style>
  <w:style w:type="numbering" w:customStyle="1" w:styleId="WW8Num301">
    <w:name w:val="WW8Num301"/>
    <w:qFormat/>
    <w:rsid w:val="00FF04A3"/>
  </w:style>
  <w:style w:type="numbering" w:customStyle="1" w:styleId="WW8Num312">
    <w:name w:val="WW8Num312"/>
    <w:qFormat/>
    <w:rsid w:val="00FF04A3"/>
  </w:style>
  <w:style w:type="numbering" w:customStyle="1" w:styleId="WW8Num321">
    <w:name w:val="WW8Num321"/>
    <w:qFormat/>
    <w:rsid w:val="00FF04A3"/>
  </w:style>
  <w:style w:type="numbering" w:customStyle="1" w:styleId="WW8Num331">
    <w:name w:val="WW8Num331"/>
    <w:qFormat/>
    <w:rsid w:val="00FF04A3"/>
  </w:style>
  <w:style w:type="numbering" w:customStyle="1" w:styleId="WW8Num341">
    <w:name w:val="WW8Num341"/>
    <w:qFormat/>
    <w:rsid w:val="00FF04A3"/>
  </w:style>
  <w:style w:type="numbering" w:customStyle="1" w:styleId="WW8Num351">
    <w:name w:val="WW8Num351"/>
    <w:qFormat/>
    <w:rsid w:val="00FF04A3"/>
  </w:style>
  <w:style w:type="numbering" w:customStyle="1" w:styleId="WW8Num361">
    <w:name w:val="WW8Num361"/>
    <w:qFormat/>
    <w:rsid w:val="00FF04A3"/>
  </w:style>
  <w:style w:type="numbering" w:customStyle="1" w:styleId="WW8Num371">
    <w:name w:val="WW8Num371"/>
    <w:qFormat/>
    <w:rsid w:val="00FF04A3"/>
  </w:style>
  <w:style w:type="numbering" w:customStyle="1" w:styleId="WW8Num381">
    <w:name w:val="WW8Num381"/>
    <w:qFormat/>
    <w:rsid w:val="00FF04A3"/>
  </w:style>
  <w:style w:type="numbering" w:customStyle="1" w:styleId="WW8Num391">
    <w:name w:val="WW8Num391"/>
    <w:qFormat/>
    <w:rsid w:val="00FF04A3"/>
  </w:style>
  <w:style w:type="numbering" w:customStyle="1" w:styleId="WW8Num401">
    <w:name w:val="WW8Num401"/>
    <w:qFormat/>
    <w:rsid w:val="00FF04A3"/>
  </w:style>
  <w:style w:type="numbering" w:customStyle="1" w:styleId="WW8Num411">
    <w:name w:val="WW8Num411"/>
    <w:qFormat/>
    <w:rsid w:val="00FF04A3"/>
  </w:style>
  <w:style w:type="numbering" w:customStyle="1" w:styleId="WW8Num421">
    <w:name w:val="WW8Num421"/>
    <w:qFormat/>
    <w:rsid w:val="00FF04A3"/>
  </w:style>
  <w:style w:type="numbering" w:customStyle="1" w:styleId="WW8Num431">
    <w:name w:val="WW8Num431"/>
    <w:qFormat/>
    <w:rsid w:val="00FF04A3"/>
  </w:style>
  <w:style w:type="numbering" w:customStyle="1" w:styleId="WW8Num441">
    <w:name w:val="WW8Num441"/>
    <w:qFormat/>
    <w:rsid w:val="00FF04A3"/>
  </w:style>
  <w:style w:type="numbering" w:customStyle="1" w:styleId="WW8Num451">
    <w:name w:val="WW8Num451"/>
    <w:qFormat/>
    <w:rsid w:val="00FF04A3"/>
  </w:style>
  <w:style w:type="numbering" w:customStyle="1" w:styleId="WW8Num461">
    <w:name w:val="WW8Num461"/>
    <w:qFormat/>
    <w:rsid w:val="00FF04A3"/>
  </w:style>
  <w:style w:type="numbering" w:customStyle="1" w:styleId="WW8Num471">
    <w:name w:val="WW8Num471"/>
    <w:qFormat/>
    <w:rsid w:val="00FF04A3"/>
  </w:style>
  <w:style w:type="numbering" w:customStyle="1" w:styleId="WW8Num481">
    <w:name w:val="WW8Num481"/>
    <w:qFormat/>
    <w:rsid w:val="00FF04A3"/>
  </w:style>
  <w:style w:type="numbering" w:customStyle="1" w:styleId="WW8Num491">
    <w:name w:val="WW8Num491"/>
    <w:qFormat/>
    <w:rsid w:val="00FF04A3"/>
  </w:style>
  <w:style w:type="numbering" w:customStyle="1" w:styleId="11111111112">
    <w:name w:val="1.1 / 1.1.1 / 1.1.1.112"/>
    <w:rsid w:val="00FF04A3"/>
    <w:pPr>
      <w:numPr>
        <w:numId w:val="5"/>
      </w:numPr>
    </w:pPr>
  </w:style>
  <w:style w:type="numbering" w:customStyle="1" w:styleId="111111111211">
    <w:name w:val="1.1 / 1.1.1 / 1.1.1.1211"/>
    <w:rsid w:val="00FF04A3"/>
    <w:pPr>
      <w:numPr>
        <w:numId w:val="19"/>
      </w:numPr>
    </w:pPr>
  </w:style>
  <w:style w:type="numbering" w:customStyle="1" w:styleId="11111111132">
    <w:name w:val="1.1 / 1.1.1 / 1.1.1.132"/>
    <w:rsid w:val="00FF04A3"/>
    <w:pPr>
      <w:numPr>
        <w:numId w:val="9"/>
      </w:numPr>
    </w:pPr>
  </w:style>
  <w:style w:type="numbering" w:customStyle="1" w:styleId="111111111311">
    <w:name w:val="1.1 / 1.1.1 / 1.1.1.1311"/>
    <w:rsid w:val="00FF04A3"/>
    <w:pPr>
      <w:numPr>
        <w:numId w:val="71"/>
      </w:numPr>
    </w:pPr>
  </w:style>
  <w:style w:type="numbering" w:customStyle="1" w:styleId="111111111111">
    <w:name w:val="1.1 / 1.1.1 / 1.1.1.1111"/>
    <w:rsid w:val="00FF04A3"/>
    <w:pPr>
      <w:numPr>
        <w:numId w:val="21"/>
      </w:numPr>
    </w:pPr>
  </w:style>
  <w:style w:type="numbering" w:customStyle="1" w:styleId="11111111122">
    <w:name w:val="1.1 / 1.1.1 / 1.1.1.122"/>
    <w:rsid w:val="00FF04A3"/>
    <w:pPr>
      <w:numPr>
        <w:numId w:val="22"/>
      </w:numPr>
    </w:pPr>
  </w:style>
  <w:style w:type="numbering" w:customStyle="1" w:styleId="1111111114">
    <w:name w:val="1.1 / 1.1.1 / 1.1.1.14"/>
    <w:basedOn w:val="Sinlista"/>
    <w:next w:val="111111"/>
    <w:uiPriority w:val="99"/>
    <w:unhideWhenUsed/>
    <w:rsid w:val="00FF04A3"/>
    <w:pPr>
      <w:numPr>
        <w:numId w:val="23"/>
      </w:numPr>
    </w:pPr>
  </w:style>
  <w:style w:type="numbering" w:customStyle="1" w:styleId="Sinlista51">
    <w:name w:val="Sin lista51"/>
    <w:next w:val="Sinlista"/>
    <w:uiPriority w:val="99"/>
    <w:semiHidden/>
    <w:unhideWhenUsed/>
    <w:rsid w:val="00FF04A3"/>
  </w:style>
  <w:style w:type="numbering" w:customStyle="1" w:styleId="Sinlista61">
    <w:name w:val="Sin lista61"/>
    <w:next w:val="Sinlista"/>
    <w:uiPriority w:val="99"/>
    <w:semiHidden/>
    <w:unhideWhenUsed/>
    <w:rsid w:val="00FF04A3"/>
  </w:style>
  <w:style w:type="numbering" w:customStyle="1" w:styleId="Sinlista71">
    <w:name w:val="Sin lista71"/>
    <w:next w:val="Sinlista"/>
    <w:uiPriority w:val="99"/>
    <w:semiHidden/>
    <w:unhideWhenUsed/>
    <w:rsid w:val="00FF04A3"/>
  </w:style>
  <w:style w:type="numbering" w:customStyle="1" w:styleId="Sinlista81">
    <w:name w:val="Sin lista81"/>
    <w:next w:val="Sinlista"/>
    <w:uiPriority w:val="99"/>
    <w:semiHidden/>
    <w:unhideWhenUsed/>
    <w:rsid w:val="00FF04A3"/>
  </w:style>
  <w:style w:type="numbering" w:customStyle="1" w:styleId="Sinlista91">
    <w:name w:val="Sin lista91"/>
    <w:next w:val="Sinlista"/>
    <w:uiPriority w:val="99"/>
    <w:semiHidden/>
    <w:unhideWhenUsed/>
    <w:rsid w:val="00FF04A3"/>
  </w:style>
  <w:style w:type="numbering" w:customStyle="1" w:styleId="Sinlista101">
    <w:name w:val="Sin lista101"/>
    <w:next w:val="Sinlista"/>
    <w:uiPriority w:val="99"/>
    <w:semiHidden/>
    <w:unhideWhenUsed/>
    <w:rsid w:val="00FF04A3"/>
  </w:style>
  <w:style w:type="numbering" w:customStyle="1" w:styleId="111111111342121">
    <w:name w:val="1.1 / 1.1.1 / 1.1.1.1342121"/>
    <w:rsid w:val="00FF04A3"/>
    <w:pPr>
      <w:numPr>
        <w:numId w:val="28"/>
      </w:numPr>
    </w:pPr>
  </w:style>
  <w:style w:type="numbering" w:customStyle="1" w:styleId="WW8Num3111">
    <w:name w:val="WW8Num3111"/>
    <w:qFormat/>
    <w:rsid w:val="00FF04A3"/>
    <w:pPr>
      <w:numPr>
        <w:numId w:val="33"/>
      </w:numPr>
    </w:pPr>
  </w:style>
  <w:style w:type="numbering" w:customStyle="1" w:styleId="Sinlista141">
    <w:name w:val="Sin lista141"/>
    <w:next w:val="Sinlista"/>
    <w:uiPriority w:val="99"/>
    <w:semiHidden/>
    <w:rsid w:val="00FF04A3"/>
  </w:style>
  <w:style w:type="character" w:customStyle="1" w:styleId="Mencinsinresolver6">
    <w:name w:val="Mención sin resolver6"/>
    <w:basedOn w:val="Fuentedeprrafopredeter"/>
    <w:uiPriority w:val="99"/>
    <w:semiHidden/>
    <w:unhideWhenUsed/>
    <w:rsid w:val="00FF04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129414">
      <w:bodyDiv w:val="1"/>
      <w:marLeft w:val="0"/>
      <w:marRight w:val="0"/>
      <w:marTop w:val="0"/>
      <w:marBottom w:val="0"/>
      <w:divBdr>
        <w:top w:val="none" w:sz="0" w:space="0" w:color="auto"/>
        <w:left w:val="none" w:sz="0" w:space="0" w:color="auto"/>
        <w:bottom w:val="none" w:sz="0" w:space="0" w:color="auto"/>
        <w:right w:val="none" w:sz="0" w:space="0" w:color="auto"/>
      </w:divBdr>
    </w:div>
    <w:div w:id="548692764">
      <w:bodyDiv w:val="1"/>
      <w:marLeft w:val="0"/>
      <w:marRight w:val="0"/>
      <w:marTop w:val="0"/>
      <w:marBottom w:val="0"/>
      <w:divBdr>
        <w:top w:val="none" w:sz="0" w:space="0" w:color="auto"/>
        <w:left w:val="none" w:sz="0" w:space="0" w:color="auto"/>
        <w:bottom w:val="none" w:sz="0" w:space="0" w:color="auto"/>
        <w:right w:val="none" w:sz="0" w:space="0" w:color="auto"/>
      </w:divBdr>
    </w:div>
    <w:div w:id="640422473">
      <w:bodyDiv w:val="1"/>
      <w:marLeft w:val="0"/>
      <w:marRight w:val="0"/>
      <w:marTop w:val="0"/>
      <w:marBottom w:val="0"/>
      <w:divBdr>
        <w:top w:val="none" w:sz="0" w:space="0" w:color="auto"/>
        <w:left w:val="none" w:sz="0" w:space="0" w:color="auto"/>
        <w:bottom w:val="none" w:sz="0" w:space="0" w:color="auto"/>
        <w:right w:val="none" w:sz="0" w:space="0" w:color="auto"/>
      </w:divBdr>
    </w:div>
    <w:div w:id="680474024">
      <w:bodyDiv w:val="1"/>
      <w:marLeft w:val="0"/>
      <w:marRight w:val="0"/>
      <w:marTop w:val="0"/>
      <w:marBottom w:val="0"/>
      <w:divBdr>
        <w:top w:val="none" w:sz="0" w:space="0" w:color="auto"/>
        <w:left w:val="none" w:sz="0" w:space="0" w:color="auto"/>
        <w:bottom w:val="none" w:sz="0" w:space="0" w:color="auto"/>
        <w:right w:val="none" w:sz="0" w:space="0" w:color="auto"/>
      </w:divBdr>
    </w:div>
    <w:div w:id="689650996">
      <w:bodyDiv w:val="1"/>
      <w:marLeft w:val="0"/>
      <w:marRight w:val="0"/>
      <w:marTop w:val="0"/>
      <w:marBottom w:val="0"/>
      <w:divBdr>
        <w:top w:val="none" w:sz="0" w:space="0" w:color="auto"/>
        <w:left w:val="none" w:sz="0" w:space="0" w:color="auto"/>
        <w:bottom w:val="none" w:sz="0" w:space="0" w:color="auto"/>
        <w:right w:val="none" w:sz="0" w:space="0" w:color="auto"/>
      </w:divBdr>
    </w:div>
    <w:div w:id="765996846">
      <w:bodyDiv w:val="1"/>
      <w:marLeft w:val="0"/>
      <w:marRight w:val="0"/>
      <w:marTop w:val="0"/>
      <w:marBottom w:val="0"/>
      <w:divBdr>
        <w:top w:val="none" w:sz="0" w:space="0" w:color="auto"/>
        <w:left w:val="none" w:sz="0" w:space="0" w:color="auto"/>
        <w:bottom w:val="none" w:sz="0" w:space="0" w:color="auto"/>
        <w:right w:val="none" w:sz="0" w:space="0" w:color="auto"/>
      </w:divBdr>
    </w:div>
    <w:div w:id="780152315">
      <w:bodyDiv w:val="1"/>
      <w:marLeft w:val="0"/>
      <w:marRight w:val="0"/>
      <w:marTop w:val="0"/>
      <w:marBottom w:val="0"/>
      <w:divBdr>
        <w:top w:val="none" w:sz="0" w:space="0" w:color="auto"/>
        <w:left w:val="none" w:sz="0" w:space="0" w:color="auto"/>
        <w:bottom w:val="none" w:sz="0" w:space="0" w:color="auto"/>
        <w:right w:val="none" w:sz="0" w:space="0" w:color="auto"/>
      </w:divBdr>
    </w:div>
    <w:div w:id="1022711379">
      <w:bodyDiv w:val="1"/>
      <w:marLeft w:val="0"/>
      <w:marRight w:val="0"/>
      <w:marTop w:val="0"/>
      <w:marBottom w:val="0"/>
      <w:divBdr>
        <w:top w:val="none" w:sz="0" w:space="0" w:color="auto"/>
        <w:left w:val="none" w:sz="0" w:space="0" w:color="auto"/>
        <w:bottom w:val="none" w:sz="0" w:space="0" w:color="auto"/>
        <w:right w:val="none" w:sz="0" w:space="0" w:color="auto"/>
      </w:divBdr>
    </w:div>
    <w:div w:id="1049842009">
      <w:bodyDiv w:val="1"/>
      <w:marLeft w:val="0"/>
      <w:marRight w:val="0"/>
      <w:marTop w:val="0"/>
      <w:marBottom w:val="0"/>
      <w:divBdr>
        <w:top w:val="none" w:sz="0" w:space="0" w:color="auto"/>
        <w:left w:val="none" w:sz="0" w:space="0" w:color="auto"/>
        <w:bottom w:val="none" w:sz="0" w:space="0" w:color="auto"/>
        <w:right w:val="none" w:sz="0" w:space="0" w:color="auto"/>
      </w:divBdr>
    </w:div>
    <w:div w:id="1226067580">
      <w:bodyDiv w:val="1"/>
      <w:marLeft w:val="0"/>
      <w:marRight w:val="0"/>
      <w:marTop w:val="0"/>
      <w:marBottom w:val="0"/>
      <w:divBdr>
        <w:top w:val="none" w:sz="0" w:space="0" w:color="auto"/>
        <w:left w:val="none" w:sz="0" w:space="0" w:color="auto"/>
        <w:bottom w:val="none" w:sz="0" w:space="0" w:color="auto"/>
        <w:right w:val="none" w:sz="0" w:space="0" w:color="auto"/>
      </w:divBdr>
    </w:div>
    <w:div w:id="1544707667">
      <w:bodyDiv w:val="1"/>
      <w:marLeft w:val="0"/>
      <w:marRight w:val="0"/>
      <w:marTop w:val="0"/>
      <w:marBottom w:val="0"/>
      <w:divBdr>
        <w:top w:val="none" w:sz="0" w:space="0" w:color="auto"/>
        <w:left w:val="none" w:sz="0" w:space="0" w:color="auto"/>
        <w:bottom w:val="none" w:sz="0" w:space="0" w:color="auto"/>
        <w:right w:val="none" w:sz="0" w:space="0" w:color="auto"/>
      </w:divBdr>
    </w:div>
    <w:div w:id="1766806518">
      <w:bodyDiv w:val="1"/>
      <w:marLeft w:val="0"/>
      <w:marRight w:val="0"/>
      <w:marTop w:val="0"/>
      <w:marBottom w:val="0"/>
      <w:divBdr>
        <w:top w:val="none" w:sz="0" w:space="0" w:color="auto"/>
        <w:left w:val="none" w:sz="0" w:space="0" w:color="auto"/>
        <w:bottom w:val="none" w:sz="0" w:space="0" w:color="auto"/>
        <w:right w:val="none" w:sz="0" w:space="0" w:color="auto"/>
      </w:divBdr>
    </w:div>
    <w:div w:id="1785609465">
      <w:bodyDiv w:val="1"/>
      <w:marLeft w:val="0"/>
      <w:marRight w:val="0"/>
      <w:marTop w:val="0"/>
      <w:marBottom w:val="0"/>
      <w:divBdr>
        <w:top w:val="none" w:sz="0" w:space="0" w:color="auto"/>
        <w:left w:val="none" w:sz="0" w:space="0" w:color="auto"/>
        <w:bottom w:val="none" w:sz="0" w:space="0" w:color="auto"/>
        <w:right w:val="none" w:sz="0" w:space="0" w:color="auto"/>
      </w:divBdr>
    </w:div>
    <w:div w:id="1872843831">
      <w:bodyDiv w:val="1"/>
      <w:marLeft w:val="0"/>
      <w:marRight w:val="0"/>
      <w:marTop w:val="0"/>
      <w:marBottom w:val="0"/>
      <w:divBdr>
        <w:top w:val="none" w:sz="0" w:space="0" w:color="auto"/>
        <w:left w:val="none" w:sz="0" w:space="0" w:color="auto"/>
        <w:bottom w:val="none" w:sz="0" w:space="0" w:color="auto"/>
        <w:right w:val="none" w:sz="0" w:space="0" w:color="auto"/>
      </w:divBdr>
    </w:div>
    <w:div w:id="2128117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erilimev01/EscritorioVirtual/Expediente/frmDetExped.aspx?e=ver&amp;c=20190479000830&amp;d=0479&amp;r=0" TargetMode="External"/><Relationship Id="rId21" Type="http://schemas.openxmlformats.org/officeDocument/2006/relationships/image" Target="media/image11.png"/><Relationship Id="rId42" Type="http://schemas.openxmlformats.org/officeDocument/2006/relationships/hyperlink" Target="https://planificacion.poder-judicial.go.cr/index.php/evaluacion/modelo-de-sostenibilidad" TargetMode="External"/><Relationship Id="rId47" Type="http://schemas.openxmlformats.org/officeDocument/2006/relationships/hyperlink" Target="https://planificacion.poder-judicial.go.cr/index.php/evaluacion/modelo-de-sostenibilidad" TargetMode="External"/><Relationship Id="rId63" Type="http://schemas.openxmlformats.org/officeDocument/2006/relationships/image" Target="media/image22.emf"/><Relationship Id="rId68" Type="http://schemas.openxmlformats.org/officeDocument/2006/relationships/package" Target="embeddings/Microsoft_Word_Document3.docx"/><Relationship Id="rId16" Type="http://schemas.openxmlformats.org/officeDocument/2006/relationships/image" Target="media/image6.png"/><Relationship Id="rId11" Type="http://schemas.openxmlformats.org/officeDocument/2006/relationships/chart" Target="charts/chart1.xml"/><Relationship Id="rId24" Type="http://schemas.openxmlformats.org/officeDocument/2006/relationships/hyperlink" Target="https://planificacion.poder-judicial.go.cr/index.php/evaluacion/modelo-de-sostenibilidad" TargetMode="External"/><Relationship Id="rId32" Type="http://schemas.openxmlformats.org/officeDocument/2006/relationships/hyperlink" Target="http://limapl01/EscritorioVirtual/Expediente/frmDetExped.aspx?e=ver&amp;c=04652011000158&amp;d=0465&amp;r=0" TargetMode="External"/><Relationship Id="rId37" Type="http://schemas.openxmlformats.org/officeDocument/2006/relationships/image" Target="media/image14.png"/><Relationship Id="rId40" Type="http://schemas.openxmlformats.org/officeDocument/2006/relationships/hyperlink" Target="https://planificacion.poder-judicial.go.cr/index.php/evaluacion/modelo-de-sostenibilidad" TargetMode="External"/><Relationship Id="rId45" Type="http://schemas.openxmlformats.org/officeDocument/2006/relationships/hyperlink" Target="https://planificacion.poder-judicial.go.cr/index.php/evaluacion/modelo-de-sostenibilidad" TargetMode="External"/><Relationship Id="rId53" Type="http://schemas.openxmlformats.org/officeDocument/2006/relationships/image" Target="media/image17.emf"/><Relationship Id="rId58" Type="http://schemas.openxmlformats.org/officeDocument/2006/relationships/package" Target="embeddings/Microsoft_Word_Document.docx"/><Relationship Id="rId66" Type="http://schemas.openxmlformats.org/officeDocument/2006/relationships/package" Target="embeddings/Microsoft_Word_Document2.docx"/><Relationship Id="rId74" Type="http://schemas.openxmlformats.org/officeDocument/2006/relationships/package" Target="embeddings/Microsoft_Word_Document6.docx"/><Relationship Id="rId5" Type="http://schemas.openxmlformats.org/officeDocument/2006/relationships/footnotes" Target="footnotes.xml"/><Relationship Id="rId61" Type="http://schemas.openxmlformats.org/officeDocument/2006/relationships/image" Target="media/image21.emf"/><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perilimev01/EscritorioVirtual/Expediente/frmDetExped.aspx?e=ver&amp;c=20200479000697&amp;d=0479&amp;r=1" TargetMode="External"/><Relationship Id="rId30" Type="http://schemas.openxmlformats.org/officeDocument/2006/relationships/hyperlink" Target="http://perilimev01/EscritorioVirtual/Expediente/frmDetExped.aspx?e=ver&amp;c=20201543000559&amp;d=1543&amp;r=1" TargetMode="External"/><Relationship Id="rId35" Type="http://schemas.openxmlformats.org/officeDocument/2006/relationships/hyperlink" Target="http://limapl01/EscritorioVirtual/Expediente/frmDetExped.aspx?e=ver&amp;c=20200465000018&amp;d=0465&amp;r=0" TargetMode="External"/><Relationship Id="rId43" Type="http://schemas.openxmlformats.org/officeDocument/2006/relationships/hyperlink" Target="https://planificacion.poder-judicial.go.cr/index.php/evaluacion/modelo-de-sostenibilidad" TargetMode="External"/><Relationship Id="rId48" Type="http://schemas.openxmlformats.org/officeDocument/2006/relationships/hyperlink" Target="https://planificacion.poder-judicial.go.cr/index.php/evaluacion/modelo-de-sostenibilidad" TargetMode="External"/><Relationship Id="rId56" Type="http://schemas.openxmlformats.org/officeDocument/2006/relationships/oleObject" Target="embeddings/oleObject2.bin"/><Relationship Id="rId64" Type="http://schemas.openxmlformats.org/officeDocument/2006/relationships/oleObject" Target="embeddings/oleObject3.bin"/><Relationship Id="rId69" Type="http://schemas.openxmlformats.org/officeDocument/2006/relationships/image" Target="media/image25.emf"/><Relationship Id="rId77" Type="http://schemas.openxmlformats.org/officeDocument/2006/relationships/fontTable" Target="fontTable.xml"/><Relationship Id="rId8" Type="http://schemas.openxmlformats.org/officeDocument/2006/relationships/hyperlink" Target="https://planificacion.poder-judicial.go.cr/index.php/estadisticas-e-indicadores/indicadores-institucionales" TargetMode="External"/><Relationship Id="rId51" Type="http://schemas.openxmlformats.org/officeDocument/2006/relationships/hyperlink" Target="https://planificacion.poder-judicial.go.cr/index.php/evaluacion/modelo-de-sostenibilidad" TargetMode="External"/><Relationship Id="rId72" Type="http://schemas.openxmlformats.org/officeDocument/2006/relationships/package" Target="embeddings/Microsoft_Word_Document5.docx"/><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perilimev01/EscritorioVirtual/Expediente/frmDetExped.aspx?e=ver&amp;c=20210479000072&amp;d=0479&amp;r=1" TargetMode="External"/><Relationship Id="rId33" Type="http://schemas.openxmlformats.org/officeDocument/2006/relationships/hyperlink" Target="http://limapl01/EscritorioVirtual/Expediente/frmDetExped.aspx?e=ver&amp;c=20160465000251&amp;d=0465&amp;r=1" TargetMode="External"/><Relationship Id="rId38" Type="http://schemas.openxmlformats.org/officeDocument/2006/relationships/hyperlink" Target="http://limapl01/EscritorioVirtual/Expediente/frmDetExped.aspx?e=ver&amp;c=20170930000278&amp;d=1636&amp;r=0" TargetMode="External"/><Relationship Id="rId46" Type="http://schemas.openxmlformats.org/officeDocument/2006/relationships/hyperlink" Target="https://planificacion.poder-judicial.go.cr/index.php/evaluacion/modelo-de-sostenibilidad" TargetMode="External"/><Relationship Id="rId59" Type="http://schemas.openxmlformats.org/officeDocument/2006/relationships/image" Target="media/image20.emf"/><Relationship Id="rId67" Type="http://schemas.openxmlformats.org/officeDocument/2006/relationships/image" Target="media/image24.emf"/><Relationship Id="rId20" Type="http://schemas.openxmlformats.org/officeDocument/2006/relationships/image" Target="media/image10.png"/><Relationship Id="rId41" Type="http://schemas.openxmlformats.org/officeDocument/2006/relationships/hyperlink" Target="https://planificacion.poder-judicial.go.cr/index.php/evaluacion/modelo-de-sostenibilidad" TargetMode="External"/><Relationship Id="rId54" Type="http://schemas.openxmlformats.org/officeDocument/2006/relationships/oleObject" Target="embeddings/oleObject1.bin"/><Relationship Id="rId62" Type="http://schemas.openxmlformats.org/officeDocument/2006/relationships/package" Target="embeddings/Microsoft_Word_Document1.docx"/><Relationship Id="rId70" Type="http://schemas.openxmlformats.org/officeDocument/2006/relationships/package" Target="embeddings/Microsoft_Word_Document4.docx"/><Relationship Id="rId75"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perilimev01/EscritorioVirtual/Expediente/frmDetExped.aspx?e=ver&amp;c=20200479000629&amp;d=0479&amp;r=1" TargetMode="External"/><Relationship Id="rId36" Type="http://schemas.openxmlformats.org/officeDocument/2006/relationships/hyperlink" Target="http://limapl01/EscritorioVirtual/Expediente/frmDetExped.aspx?e=ver&amp;c=20170507000270&amp;d=0465&amp;r=0" TargetMode="External"/><Relationship Id="rId49" Type="http://schemas.openxmlformats.org/officeDocument/2006/relationships/hyperlink" Target="https://planificacion.poder-judicial.go.cr/index.php/evaluacion/modelo-de-sostenibilidad" TargetMode="External"/><Relationship Id="rId57" Type="http://schemas.openxmlformats.org/officeDocument/2006/relationships/image" Target="media/image19.emf"/><Relationship Id="rId10" Type="http://schemas.openxmlformats.org/officeDocument/2006/relationships/image" Target="media/image1.emf"/><Relationship Id="rId31" Type="http://schemas.openxmlformats.org/officeDocument/2006/relationships/hyperlink" Target="http://limapl01/EscritorioVirtual/Expediente/frmDetExped.aspx?e=ver&amp;c=20211152000802&amp;d=1152&amp;r=0" TargetMode="External"/><Relationship Id="rId44" Type="http://schemas.openxmlformats.org/officeDocument/2006/relationships/hyperlink" Target="https://planificacion.poder-judicial.go.cr/index.php/evaluacion/modelo-de-sostenibilidad" TargetMode="External"/><Relationship Id="rId52" Type="http://schemas.openxmlformats.org/officeDocument/2006/relationships/image" Target="media/image16.png"/><Relationship Id="rId60" Type="http://schemas.openxmlformats.org/officeDocument/2006/relationships/package" Target="embeddings/Microsoft_Excel_Worksheet.xlsx"/><Relationship Id="rId65" Type="http://schemas.openxmlformats.org/officeDocument/2006/relationships/image" Target="media/image23.emf"/><Relationship Id="rId73" Type="http://schemas.openxmlformats.org/officeDocument/2006/relationships/image" Target="media/image27.emf"/><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planificacion.poder-judicial.go.cr/index.php/estadisticas-e-indicadores/indicadores-de-gestion-por-oficina"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15.png"/><Relationship Id="rId34" Type="http://schemas.openxmlformats.org/officeDocument/2006/relationships/hyperlink" Target="http://limapl01/EscritorioVirtual/Expediente/frmDetExped.aspx?e=ver&amp;c=04652007000382&amp;d=0465&amp;r=1" TargetMode="External"/><Relationship Id="rId50" Type="http://schemas.openxmlformats.org/officeDocument/2006/relationships/hyperlink" Target="https://planificacion.poder-judicial.go.cr/index.php/evaluacion/modelo-de-sostenibilidad" TargetMode="External"/><Relationship Id="rId55" Type="http://schemas.openxmlformats.org/officeDocument/2006/relationships/image" Target="media/image18.emf"/><Relationship Id="rId76" Type="http://schemas.openxmlformats.org/officeDocument/2006/relationships/footer" Target="footer1.xml"/><Relationship Id="rId7" Type="http://schemas.openxmlformats.org/officeDocument/2006/relationships/hyperlink" Target="https://planificacion.poder-judicial.go.cr/index.php/estadisticas-e-indicadores/indicadores-institucionales" TargetMode="External"/><Relationship Id="rId71" Type="http://schemas.openxmlformats.org/officeDocument/2006/relationships/image" Target="media/image26.emf"/><Relationship Id="rId2" Type="http://schemas.openxmlformats.org/officeDocument/2006/relationships/styles" Target="styles.xml"/><Relationship Id="rId29" Type="http://schemas.openxmlformats.org/officeDocument/2006/relationships/hyperlink" Target="http://perilimev01/EscritorioVirtual/Expediente/frmDetExped.aspx?e=ver&amp;c=20210479000223&amp;d=0479&amp;r=1"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80.png"/><Relationship Id="rId1" Type="http://schemas.openxmlformats.org/officeDocument/2006/relationships/image" Target="media/image28.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pjcr-my.sharepoint.com/personal/ahernandezov_poder-judicial_go_cr/Documents/EVALUACI&#211;N/INDICADORES/2021/12.%20DICIEMBRE/Diciembre%20(calificacion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270178080372491E-2"/>
          <c:y val="2.4278007705978013E-2"/>
          <c:w val="0.96589462048061003"/>
          <c:h val="0.89385356030947738"/>
        </c:manualLayout>
      </c:layout>
      <c:lineChart>
        <c:grouping val="standard"/>
        <c:varyColors val="0"/>
        <c:ser>
          <c:idx val="0"/>
          <c:order val="0"/>
          <c:tx>
            <c:strRef>
              <c:f>'Circuito Limón'!$C$5</c:f>
              <c:strCache>
                <c:ptCount val="1"/>
                <c:pt idx="0">
                  <c:v>E</c:v>
                </c:pt>
              </c:strCache>
            </c:strRef>
          </c:tx>
          <c:spPr>
            <a:ln w="44450" cap="rnd">
              <a:solidFill>
                <a:srgbClr val="FF9933"/>
              </a:solidFill>
              <a:round/>
            </a:ln>
            <a:effectLst>
              <a:outerShdw blurRad="57150" dist="19050" dir="5400000" algn="ctr" rotWithShape="0">
                <a:srgbClr val="000000">
                  <a:alpha val="63000"/>
                </a:srgbClr>
              </a:outerShdw>
            </a:effectLst>
          </c:spPr>
          <c:marker>
            <c:symbol val="circle"/>
            <c:size val="7"/>
            <c:spPr>
              <a:solidFill>
                <a:schemeClr val="accent2">
                  <a:lumMod val="60000"/>
                  <a:lumOff val="40000"/>
                </a:schemeClr>
              </a:solidFill>
              <a:ln w="9525">
                <a:solidFill>
                  <a:schemeClr val="accent2">
                    <a:lumMod val="60000"/>
                    <a:lumOff val="40000"/>
                  </a:schemeClr>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'Circuito Limón'!$O$3:$AR$3</c:f>
              <c:strCache>
                <c:ptCount val="12"/>
                <c:pt idx="0">
                  <c:v>En</c:v>
                </c:pt>
                <c:pt idx="1">
                  <c:v>Feb</c:v>
                </c:pt>
                <c:pt idx="2">
                  <c:v>Mar</c:v>
                </c:pt>
                <c:pt idx="3">
                  <c:v>Abril</c:v>
                </c:pt>
                <c:pt idx="4">
                  <c:v>May</c:v>
                </c:pt>
                <c:pt idx="5">
                  <c:v>Jun</c:v>
                </c:pt>
                <c:pt idx="6">
                  <c:v>Jul.</c:v>
                </c:pt>
                <c:pt idx="7">
                  <c:v>Agos</c:v>
                </c:pt>
                <c:pt idx="8">
                  <c:v>Set</c:v>
                </c:pt>
                <c:pt idx="9">
                  <c:v>Oct</c:v>
                </c:pt>
                <c:pt idx="10">
                  <c:v>Nov</c:v>
                </c:pt>
                <c:pt idx="11">
                  <c:v>Dic</c:v>
                </c:pt>
              </c:strCache>
            </c:strRef>
          </c:cat>
          <c:val>
            <c:numRef>
              <c:f>'Circuito Limón'!$O$5:$AR$5</c:f>
              <c:numCache>
                <c:formatCode>General</c:formatCode>
                <c:ptCount val="12"/>
                <c:pt idx="0">
                  <c:v>3</c:v>
                </c:pt>
                <c:pt idx="1">
                  <c:v>6</c:v>
                </c:pt>
                <c:pt idx="2">
                  <c:v>4</c:v>
                </c:pt>
                <c:pt idx="3">
                  <c:v>7</c:v>
                </c:pt>
                <c:pt idx="4">
                  <c:v>2</c:v>
                </c:pt>
                <c:pt idx="5">
                  <c:v>5</c:v>
                </c:pt>
                <c:pt idx="6">
                  <c:v>1</c:v>
                </c:pt>
                <c:pt idx="7">
                  <c:v>5</c:v>
                </c:pt>
                <c:pt idx="8">
                  <c:v>4</c:v>
                </c:pt>
                <c:pt idx="9">
                  <c:v>6</c:v>
                </c:pt>
                <c:pt idx="10">
                  <c:v>5</c:v>
                </c:pt>
                <c:pt idx="11">
                  <c:v>5</c:v>
                </c:pt>
              </c:numCache>
            </c:numRef>
          </c:val>
          <c:smooth val="0"/>
          <c:extLst>
            <c:ext xmlns:c16="http://schemas.microsoft.com/office/drawing/2014/chart" uri="{C3380CC4-5D6E-409C-BE32-E72D297353CC}">
              <c16:uniqueId val="{00000000-CBB7-4F70-860E-43F27565A15E}"/>
            </c:ext>
          </c:extLst>
        </c:ser>
        <c:ser>
          <c:idx val="1"/>
          <c:order val="1"/>
          <c:tx>
            <c:strRef>
              <c:f>'Circuito Limón'!$C$6</c:f>
              <c:strCache>
                <c:ptCount val="1"/>
                <c:pt idx="0">
                  <c:v>D</c:v>
                </c:pt>
              </c:strCache>
            </c:strRef>
          </c:tx>
          <c:spPr>
            <a:ln w="44450" cap="rnd">
              <a:solidFill>
                <a:srgbClr val="FF0000"/>
              </a:solidFill>
              <a:round/>
            </a:ln>
            <a:effectLst>
              <a:outerShdw blurRad="57150" dist="19050" dir="5400000" algn="ctr" rotWithShape="0">
                <a:srgbClr val="000000">
                  <a:alpha val="63000"/>
                </a:srgbClr>
              </a:outerShdw>
            </a:effectLst>
          </c:spPr>
          <c:marker>
            <c:symbol val="circle"/>
            <c:size val="7"/>
            <c:spPr>
              <a:solidFill>
                <a:srgbClr val="FF6969"/>
              </a:solidFill>
              <a:ln w="9525">
                <a:solidFill>
                  <a:srgbClr val="FA7862"/>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'Circuito Limón'!$O$3:$AR$3</c:f>
              <c:strCache>
                <c:ptCount val="12"/>
                <c:pt idx="0">
                  <c:v>En</c:v>
                </c:pt>
                <c:pt idx="1">
                  <c:v>Feb</c:v>
                </c:pt>
                <c:pt idx="2">
                  <c:v>Mar</c:v>
                </c:pt>
                <c:pt idx="3">
                  <c:v>Abril</c:v>
                </c:pt>
                <c:pt idx="4">
                  <c:v>May</c:v>
                </c:pt>
                <c:pt idx="5">
                  <c:v>Jun</c:v>
                </c:pt>
                <c:pt idx="6">
                  <c:v>Jul.</c:v>
                </c:pt>
                <c:pt idx="7">
                  <c:v>Agos</c:v>
                </c:pt>
                <c:pt idx="8">
                  <c:v>Set</c:v>
                </c:pt>
                <c:pt idx="9">
                  <c:v>Oct</c:v>
                </c:pt>
                <c:pt idx="10">
                  <c:v>Nov</c:v>
                </c:pt>
                <c:pt idx="11">
                  <c:v>Dic</c:v>
                </c:pt>
              </c:strCache>
            </c:strRef>
          </c:cat>
          <c:val>
            <c:numRef>
              <c:f>'Circuito Limón'!$O$6:$AR$6</c:f>
              <c:numCache>
                <c:formatCode>General</c:formatCode>
                <c:ptCount val="12"/>
                <c:pt idx="0">
                  <c:v>6</c:v>
                </c:pt>
                <c:pt idx="1">
                  <c:v>3</c:v>
                </c:pt>
                <c:pt idx="2">
                  <c:v>3</c:v>
                </c:pt>
                <c:pt idx="3">
                  <c:v>2</c:v>
                </c:pt>
                <c:pt idx="4">
                  <c:v>7</c:v>
                </c:pt>
                <c:pt idx="5">
                  <c:v>4</c:v>
                </c:pt>
                <c:pt idx="6">
                  <c:v>6</c:v>
                </c:pt>
                <c:pt idx="7">
                  <c:v>3</c:v>
                </c:pt>
                <c:pt idx="8">
                  <c:v>4</c:v>
                </c:pt>
                <c:pt idx="9">
                  <c:v>5</c:v>
                </c:pt>
                <c:pt idx="10">
                  <c:v>7</c:v>
                </c:pt>
                <c:pt idx="11">
                  <c:v>7</c:v>
                </c:pt>
              </c:numCache>
            </c:numRef>
          </c:val>
          <c:smooth val="0"/>
          <c:extLst>
            <c:ext xmlns:c16="http://schemas.microsoft.com/office/drawing/2014/chart" uri="{C3380CC4-5D6E-409C-BE32-E72D297353CC}">
              <c16:uniqueId val="{00000001-CBB7-4F70-860E-43F27565A15E}"/>
            </c:ext>
          </c:extLst>
        </c:ser>
        <c:ser>
          <c:idx val="2"/>
          <c:order val="2"/>
          <c:tx>
            <c:strRef>
              <c:f>'Circuito Limón'!$C$7</c:f>
              <c:strCache>
                <c:ptCount val="1"/>
                <c:pt idx="0">
                  <c:v>C</c:v>
                </c:pt>
              </c:strCache>
            </c:strRef>
          </c:tx>
          <c:spPr>
            <a:ln w="44450" cap="rnd">
              <a:solidFill>
                <a:srgbClr val="FFFF00"/>
              </a:solidFill>
              <a:round/>
            </a:ln>
            <a:effectLst>
              <a:outerShdw blurRad="57150" dist="19050" dir="5400000" algn="ctr" rotWithShape="0">
                <a:srgbClr val="000000">
                  <a:alpha val="63000"/>
                </a:srgbClr>
              </a:outerShdw>
            </a:effectLst>
          </c:spPr>
          <c:marker>
            <c:symbol val="circle"/>
            <c:size val="7"/>
            <c:spPr>
              <a:solidFill>
                <a:schemeClr val="accent4">
                  <a:lumMod val="40000"/>
                  <a:lumOff val="60000"/>
                </a:schemeClr>
              </a:solidFill>
              <a:ln w="9525">
                <a:solidFill>
                  <a:schemeClr val="accent4">
                    <a:lumMod val="40000"/>
                    <a:lumOff val="60000"/>
                  </a:schemeClr>
                </a:solidFill>
                <a:round/>
              </a:ln>
              <a:effectLst>
                <a:outerShdw blurRad="57150" dist="19050" dir="5400000" algn="ctr" rotWithShape="0">
                  <a:srgbClr val="000000">
                    <a:alpha val="63000"/>
                  </a:srgbClr>
                </a:outerShdw>
              </a:effectLst>
            </c:spPr>
          </c:marker>
          <c:dLbls>
            <c:delete val="1"/>
          </c:dLbls>
          <c:cat>
            <c:strRef>
              <c:f>'Circuito Limón'!$O$3:$AR$3</c:f>
              <c:strCache>
                <c:ptCount val="12"/>
                <c:pt idx="0">
                  <c:v>En</c:v>
                </c:pt>
                <c:pt idx="1">
                  <c:v>Feb</c:v>
                </c:pt>
                <c:pt idx="2">
                  <c:v>Mar</c:v>
                </c:pt>
                <c:pt idx="3">
                  <c:v>Abril</c:v>
                </c:pt>
                <c:pt idx="4">
                  <c:v>May</c:v>
                </c:pt>
                <c:pt idx="5">
                  <c:v>Jun</c:v>
                </c:pt>
                <c:pt idx="6">
                  <c:v>Jul.</c:v>
                </c:pt>
                <c:pt idx="7">
                  <c:v>Agos</c:v>
                </c:pt>
                <c:pt idx="8">
                  <c:v>Set</c:v>
                </c:pt>
                <c:pt idx="9">
                  <c:v>Oct</c:v>
                </c:pt>
                <c:pt idx="10">
                  <c:v>Nov</c:v>
                </c:pt>
                <c:pt idx="11">
                  <c:v>Dic</c:v>
                </c:pt>
              </c:strCache>
            </c:strRef>
          </c:cat>
          <c:val>
            <c:numRef>
              <c:f>'Circuito Limón'!$O$7:$AR$7</c:f>
              <c:numCache>
                <c:formatCode>General</c:formatCode>
                <c:ptCount val="12"/>
                <c:pt idx="0">
                  <c:v>0</c:v>
                </c:pt>
                <c:pt idx="1">
                  <c:v>0</c:v>
                </c:pt>
                <c:pt idx="2">
                  <c:v>1</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CBB7-4F70-860E-43F27565A15E}"/>
            </c:ext>
          </c:extLst>
        </c:ser>
        <c:ser>
          <c:idx val="3"/>
          <c:order val="3"/>
          <c:tx>
            <c:strRef>
              <c:f>'Circuito Limón'!$C$8</c:f>
              <c:strCache>
                <c:ptCount val="1"/>
                <c:pt idx="0">
                  <c:v>B</c:v>
                </c:pt>
              </c:strCache>
            </c:strRef>
          </c:tx>
          <c:spPr>
            <a:ln w="44450" cap="rnd">
              <a:solidFill>
                <a:srgbClr val="92D050"/>
              </a:solidFill>
              <a:round/>
            </a:ln>
            <a:effectLst>
              <a:outerShdw blurRad="57150" dist="19050" dir="5400000" algn="ctr" rotWithShape="0">
                <a:srgbClr val="000000">
                  <a:alpha val="63000"/>
                </a:srgbClr>
              </a:outerShdw>
            </a:effectLst>
          </c:spPr>
          <c:marker>
            <c:symbol val="circle"/>
            <c:size val="5"/>
            <c:spPr>
              <a:solidFill>
                <a:schemeClr val="accent6">
                  <a:lumMod val="60000"/>
                  <a:lumOff val="40000"/>
                </a:schemeClr>
              </a:solidFill>
              <a:ln w="9525">
                <a:solidFill>
                  <a:schemeClr val="accent6">
                    <a:lumMod val="40000"/>
                    <a:lumOff val="60000"/>
                  </a:schemeClr>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'Circuito Limón'!$O$3:$AR$3</c:f>
              <c:strCache>
                <c:ptCount val="12"/>
                <c:pt idx="0">
                  <c:v>En</c:v>
                </c:pt>
                <c:pt idx="1">
                  <c:v>Feb</c:v>
                </c:pt>
                <c:pt idx="2">
                  <c:v>Mar</c:v>
                </c:pt>
                <c:pt idx="3">
                  <c:v>Abril</c:v>
                </c:pt>
                <c:pt idx="4">
                  <c:v>May</c:v>
                </c:pt>
                <c:pt idx="5">
                  <c:v>Jun</c:v>
                </c:pt>
                <c:pt idx="6">
                  <c:v>Jul.</c:v>
                </c:pt>
                <c:pt idx="7">
                  <c:v>Agos</c:v>
                </c:pt>
                <c:pt idx="8">
                  <c:v>Set</c:v>
                </c:pt>
                <c:pt idx="9">
                  <c:v>Oct</c:v>
                </c:pt>
                <c:pt idx="10">
                  <c:v>Nov</c:v>
                </c:pt>
                <c:pt idx="11">
                  <c:v>Dic</c:v>
                </c:pt>
              </c:strCache>
            </c:strRef>
          </c:cat>
          <c:val>
            <c:numRef>
              <c:f>'Circuito Limón'!$O$8:$AR$8</c:f>
              <c:numCache>
                <c:formatCode>General</c:formatCode>
                <c:ptCount val="12"/>
                <c:pt idx="0">
                  <c:v>0</c:v>
                </c:pt>
                <c:pt idx="1">
                  <c:v>1</c:v>
                </c:pt>
                <c:pt idx="2">
                  <c:v>1</c:v>
                </c:pt>
                <c:pt idx="3">
                  <c:v>0</c:v>
                </c:pt>
                <c:pt idx="4">
                  <c:v>0</c:v>
                </c:pt>
                <c:pt idx="5">
                  <c:v>0</c:v>
                </c:pt>
                <c:pt idx="6">
                  <c:v>3</c:v>
                </c:pt>
                <c:pt idx="7">
                  <c:v>1</c:v>
                </c:pt>
                <c:pt idx="8">
                  <c:v>1</c:v>
                </c:pt>
                <c:pt idx="9">
                  <c:v>1</c:v>
                </c:pt>
                <c:pt idx="10">
                  <c:v>1</c:v>
                </c:pt>
                <c:pt idx="11">
                  <c:v>1</c:v>
                </c:pt>
              </c:numCache>
            </c:numRef>
          </c:val>
          <c:smooth val="0"/>
          <c:extLst>
            <c:ext xmlns:c16="http://schemas.microsoft.com/office/drawing/2014/chart" uri="{C3380CC4-5D6E-409C-BE32-E72D297353CC}">
              <c16:uniqueId val="{00000003-CBB7-4F70-860E-43F27565A15E}"/>
            </c:ext>
          </c:extLst>
        </c:ser>
        <c:ser>
          <c:idx val="4"/>
          <c:order val="4"/>
          <c:tx>
            <c:strRef>
              <c:f>'Circuito Limón'!$C$9</c:f>
              <c:strCache>
                <c:ptCount val="1"/>
                <c:pt idx="0">
                  <c:v>A</c:v>
                </c:pt>
              </c:strCache>
            </c:strRef>
          </c:tx>
          <c:spPr>
            <a:ln w="44450" cap="rnd">
              <a:solidFill>
                <a:srgbClr val="0000FF"/>
              </a:solidFill>
              <a:round/>
            </a:ln>
            <a:effectLst>
              <a:outerShdw blurRad="57150" dist="19050" dir="5400000" algn="ctr" rotWithShape="0">
                <a:srgbClr val="000000">
                  <a:alpha val="63000"/>
                </a:srgbClr>
              </a:outerShdw>
            </a:effectLst>
          </c:spPr>
          <c:marker>
            <c:symbol val="circle"/>
            <c:size val="7"/>
            <c:spPr>
              <a:solidFill>
                <a:schemeClr val="accent5">
                  <a:lumMod val="60000"/>
                  <a:lumOff val="40000"/>
                </a:schemeClr>
              </a:solidFill>
              <a:ln w="9525">
                <a:solidFill>
                  <a:schemeClr val="accent5"/>
                </a:solidFill>
                <a:round/>
              </a:ln>
              <a:effectLst>
                <a:outerShdw blurRad="57150" dist="19050" dir="5400000" algn="ctr" rotWithShape="0">
                  <a:srgbClr val="000000">
                    <a:alpha val="63000"/>
                  </a:srgbClr>
                </a:outerShdw>
              </a:effectLst>
            </c:spPr>
          </c:marker>
          <c:dLbls>
            <c:delete val="1"/>
          </c:dLbls>
          <c:cat>
            <c:strRef>
              <c:f>'Circuito Limón'!$O$3:$AR$3</c:f>
              <c:strCache>
                <c:ptCount val="12"/>
                <c:pt idx="0">
                  <c:v>En</c:v>
                </c:pt>
                <c:pt idx="1">
                  <c:v>Feb</c:v>
                </c:pt>
                <c:pt idx="2">
                  <c:v>Mar</c:v>
                </c:pt>
                <c:pt idx="3">
                  <c:v>Abril</c:v>
                </c:pt>
                <c:pt idx="4">
                  <c:v>May</c:v>
                </c:pt>
                <c:pt idx="5">
                  <c:v>Jun</c:v>
                </c:pt>
                <c:pt idx="6">
                  <c:v>Jul.</c:v>
                </c:pt>
                <c:pt idx="7">
                  <c:v>Agos</c:v>
                </c:pt>
                <c:pt idx="8">
                  <c:v>Set</c:v>
                </c:pt>
                <c:pt idx="9">
                  <c:v>Oct</c:v>
                </c:pt>
                <c:pt idx="10">
                  <c:v>Nov</c:v>
                </c:pt>
                <c:pt idx="11">
                  <c:v>Dic</c:v>
                </c:pt>
              </c:strCache>
            </c:strRef>
          </c:cat>
          <c:val>
            <c:numRef>
              <c:f>'Circuito Limón'!$O$9:$AR$9</c:f>
              <c:numCache>
                <c:formatCode>General</c:formatCode>
                <c:ptCount val="12"/>
                <c:pt idx="0">
                  <c:v>1</c:v>
                </c:pt>
                <c:pt idx="1">
                  <c:v>0</c:v>
                </c:pt>
                <c:pt idx="2">
                  <c:v>1</c:v>
                </c:pt>
                <c:pt idx="3">
                  <c:v>1</c:v>
                </c:pt>
                <c:pt idx="4">
                  <c:v>1</c:v>
                </c:pt>
                <c:pt idx="5">
                  <c:v>1</c:v>
                </c:pt>
                <c:pt idx="6">
                  <c:v>0</c:v>
                </c:pt>
                <c:pt idx="7">
                  <c:v>1</c:v>
                </c:pt>
                <c:pt idx="8">
                  <c:v>1</c:v>
                </c:pt>
                <c:pt idx="9">
                  <c:v>0</c:v>
                </c:pt>
                <c:pt idx="10">
                  <c:v>0</c:v>
                </c:pt>
                <c:pt idx="11">
                  <c:v>0</c:v>
                </c:pt>
              </c:numCache>
            </c:numRef>
          </c:val>
          <c:smooth val="0"/>
          <c:extLst>
            <c:ext xmlns:c16="http://schemas.microsoft.com/office/drawing/2014/chart" uri="{C3380CC4-5D6E-409C-BE32-E72D297353CC}">
              <c16:uniqueId val="{00000004-CBB7-4F70-860E-43F27565A15E}"/>
            </c:ext>
          </c:extLst>
        </c:ser>
        <c:dLbls>
          <c:dLblPos val="t"/>
          <c:showLegendKey val="0"/>
          <c:showVal val="1"/>
          <c:showCatName val="0"/>
          <c:showSerName val="0"/>
          <c:showPercent val="0"/>
          <c:showBubbleSize val="0"/>
        </c:dLbls>
        <c:marker val="1"/>
        <c:smooth val="0"/>
        <c:axId val="384859704"/>
        <c:axId val="384854784"/>
      </c:lineChart>
      <c:catAx>
        <c:axId val="384859704"/>
        <c:scaling>
          <c:orientation val="minMax"/>
        </c:scaling>
        <c:delete val="0"/>
        <c:axPos val="b"/>
        <c:numFmt formatCode="General" sourceLinked="1"/>
        <c:majorTickMark val="out"/>
        <c:minorTickMark val="none"/>
        <c:tickLblPos val="nextTo"/>
        <c:spPr>
          <a:noFill/>
          <a:ln w="12700" cap="flat" cmpd="sng" algn="ctr">
            <a:noFill/>
            <a:round/>
          </a:ln>
          <a:effectLst>
            <a:glow rad="444500">
              <a:srgbClr val="06C7F4">
                <a:alpha val="30000"/>
              </a:srgbClr>
            </a:glow>
            <a:outerShdw blurRad="50800" dist="101600" dir="5400000" sx="92000" sy="92000" algn="ctr" rotWithShape="0">
              <a:schemeClr val="bg1"/>
            </a:outerShdw>
          </a:effectLst>
        </c:spPr>
        <c:txPr>
          <a:bodyPr rot="-60000000" spcFirstLastPara="1" vertOverflow="ellipsis" vert="horz" wrap="square" anchor="ctr" anchorCtr="1"/>
          <a:lstStyle/>
          <a:p>
            <a:pPr>
              <a:defRPr sz="1050" b="1" i="0" u="none" strike="noStrike" kern="1200" baseline="0">
                <a:solidFill>
                  <a:schemeClr val="tx1"/>
                </a:solidFill>
                <a:latin typeface="Book Antiqua" panose="02040602050305030304" pitchFamily="18" charset="0"/>
                <a:ea typeface="+mn-ea"/>
                <a:cs typeface="+mn-cs"/>
              </a:defRPr>
            </a:pPr>
            <a:endParaRPr lang="es-CR"/>
          </a:p>
        </c:txPr>
        <c:crossAx val="384854784"/>
        <c:crosses val="autoZero"/>
        <c:auto val="1"/>
        <c:lblAlgn val="ctr"/>
        <c:lblOffset val="100"/>
        <c:noMultiLvlLbl val="0"/>
      </c:catAx>
      <c:valAx>
        <c:axId val="384854784"/>
        <c:scaling>
          <c:orientation val="minMax"/>
        </c:scaling>
        <c:delete val="1"/>
        <c:axPos val="l"/>
        <c:numFmt formatCode="General" sourceLinked="1"/>
        <c:majorTickMark val="out"/>
        <c:minorTickMark val="none"/>
        <c:tickLblPos val="nextTo"/>
        <c:crossAx val="3848597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Book Antiqua" panose="02040602050305030304" pitchFamily="18" charset="0"/>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13</Pages>
  <Words>37203</Words>
  <Characters>204621</Characters>
  <Application>Microsoft Office Word</Application>
  <DocSecurity>0</DocSecurity>
  <Lines>1705</Lines>
  <Paragraphs>482</Paragraphs>
  <ScaleCrop>false</ScaleCrop>
  <HeadingPairs>
    <vt:vector size="2" baseType="variant">
      <vt:variant>
        <vt:lpstr>Título</vt:lpstr>
      </vt:variant>
      <vt:variant>
        <vt:i4>1</vt:i4>
      </vt:variant>
    </vt:vector>
  </HeadingPairs>
  <TitlesOfParts>
    <vt:vector size="1" baseType="lpstr">
      <vt:lpstr>San José, …</vt:lpstr>
    </vt:vector>
  </TitlesOfParts>
  <Company>PODER-JUDICIAL</Company>
  <LinksUpToDate>false</LinksUpToDate>
  <CharactersWithSpaces>241342</CharactersWithSpaces>
  <SharedDoc>false</SharedDoc>
  <HLinks>
    <vt:vector size="6" baseType="variant">
      <vt:variant>
        <vt:i4>2818094</vt:i4>
      </vt:variant>
      <vt:variant>
        <vt:i4>0</vt:i4>
      </vt:variant>
      <vt:variant>
        <vt:i4>0</vt:i4>
      </vt:variant>
      <vt:variant>
        <vt:i4>5</vt:i4>
      </vt:variant>
      <vt:variant>
        <vt:lpwstr>mailto:secre_corte@poder-judicial.go.cr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 José, …</dc:title>
  <dc:creator>usuario1</dc:creator>
  <cp:lastModifiedBy>Rocío Picado Vargas</cp:lastModifiedBy>
  <cp:revision>2</cp:revision>
  <cp:lastPrinted>2022-09-15T00:30:00Z</cp:lastPrinted>
  <dcterms:created xsi:type="dcterms:W3CDTF">2023-03-06T20:43:00Z</dcterms:created>
  <dcterms:modified xsi:type="dcterms:W3CDTF">2023-03-06T20:43:00Z</dcterms:modified>
</cp:coreProperties>
</file>