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C84E" w14:textId="35068F57" w:rsidR="00DA4410" w:rsidRPr="003B0517" w:rsidRDefault="00510B8D" w:rsidP="00DA4410">
      <w:pPr>
        <w:jc w:val="right"/>
        <w:rPr>
          <w:rFonts w:ascii="Book Antiqua" w:hAnsi="Book Antiqua" w:cs="Book Antiqua"/>
          <w:sz w:val="24"/>
          <w:szCs w:val="24"/>
          <w:lang w:val="pt-BR"/>
        </w:rPr>
      </w:pPr>
      <w:r>
        <w:rPr>
          <w:rFonts w:ascii="Book Antiqua" w:hAnsi="Book Antiqua" w:cs="Book Antiqua"/>
          <w:sz w:val="24"/>
          <w:szCs w:val="24"/>
          <w:lang w:val="pt-BR"/>
        </w:rPr>
        <w:t>272</w:t>
      </w:r>
      <w:r w:rsidR="00CF5E7F" w:rsidRPr="003B0517">
        <w:rPr>
          <w:rFonts w:ascii="Book Antiqua" w:hAnsi="Book Antiqua" w:cs="Book Antiqua"/>
          <w:sz w:val="24"/>
          <w:szCs w:val="24"/>
          <w:lang w:val="pt-BR"/>
        </w:rPr>
        <w:t>-</w:t>
      </w:r>
      <w:r w:rsidR="00DA4410" w:rsidRPr="003B0517">
        <w:rPr>
          <w:rFonts w:ascii="Book Antiqua" w:hAnsi="Book Antiqua" w:cs="Book Antiqua"/>
          <w:sz w:val="24"/>
          <w:szCs w:val="24"/>
          <w:lang w:val="pt-BR"/>
        </w:rPr>
        <w:t>PLA-</w:t>
      </w:r>
      <w:r w:rsidR="006170BF">
        <w:rPr>
          <w:rFonts w:ascii="Book Antiqua" w:hAnsi="Book Antiqua" w:cs="Book Antiqua"/>
          <w:sz w:val="24"/>
          <w:szCs w:val="24"/>
          <w:lang w:val="pt-BR"/>
        </w:rPr>
        <w:t>RH-</w:t>
      </w:r>
      <w:r w:rsidR="00DA4410" w:rsidRPr="003B0517">
        <w:rPr>
          <w:rFonts w:ascii="Book Antiqua" w:hAnsi="Book Antiqua" w:cs="Book Antiqua"/>
          <w:sz w:val="24"/>
          <w:szCs w:val="24"/>
          <w:lang w:val="pt-BR"/>
        </w:rPr>
        <w:t>OI-202</w:t>
      </w:r>
      <w:r w:rsidR="00D44D01">
        <w:rPr>
          <w:rFonts w:ascii="Book Antiqua" w:hAnsi="Book Antiqua" w:cs="Book Antiqua"/>
          <w:sz w:val="24"/>
          <w:szCs w:val="24"/>
          <w:lang w:val="pt-BR"/>
        </w:rPr>
        <w:t>3</w:t>
      </w:r>
    </w:p>
    <w:p w14:paraId="75F821D6" w14:textId="76E9FB2C" w:rsidR="00DA4410" w:rsidRPr="003B0517" w:rsidRDefault="00DA4410" w:rsidP="00DA4410">
      <w:pPr>
        <w:jc w:val="right"/>
        <w:rPr>
          <w:rFonts w:ascii="Book Antiqua" w:hAnsi="Book Antiqua" w:cs="Book Antiqua"/>
          <w:sz w:val="24"/>
          <w:szCs w:val="24"/>
        </w:rPr>
      </w:pPr>
      <w:r w:rsidRPr="003B0517">
        <w:rPr>
          <w:rFonts w:ascii="Book Antiqua" w:hAnsi="Book Antiqua" w:cs="Book Antiqua"/>
          <w:sz w:val="24"/>
          <w:szCs w:val="24"/>
        </w:rPr>
        <w:t xml:space="preserve">Ref. SICE: </w:t>
      </w:r>
      <w:r w:rsidR="00E75DAF" w:rsidRPr="006B06A0">
        <w:rPr>
          <w:rFonts w:ascii="Book Antiqua" w:hAnsi="Book Antiqua" w:cs="Book Antiqua"/>
          <w:b/>
          <w:bCs/>
          <w:sz w:val="24"/>
          <w:szCs w:val="24"/>
        </w:rPr>
        <w:t>174</w:t>
      </w:r>
      <w:r w:rsidR="009D1900" w:rsidRPr="006B06A0">
        <w:rPr>
          <w:rFonts w:ascii="Book Antiqua" w:hAnsi="Book Antiqua" w:cs="Book Antiqua"/>
          <w:b/>
          <w:bCs/>
          <w:sz w:val="24"/>
          <w:szCs w:val="24"/>
        </w:rPr>
        <w:t>-</w:t>
      </w:r>
      <w:r w:rsidR="00D44D01" w:rsidRPr="006B06A0">
        <w:rPr>
          <w:rFonts w:ascii="Book Antiqua" w:hAnsi="Book Antiqua" w:cs="Book Antiqua"/>
          <w:b/>
          <w:bCs/>
          <w:sz w:val="24"/>
          <w:szCs w:val="24"/>
        </w:rPr>
        <w:t>2</w:t>
      </w:r>
      <w:r w:rsidR="00E75DAF" w:rsidRPr="006B06A0">
        <w:rPr>
          <w:rFonts w:ascii="Book Antiqua" w:hAnsi="Book Antiqua" w:cs="Book Antiqua"/>
          <w:b/>
          <w:bCs/>
          <w:sz w:val="24"/>
          <w:szCs w:val="24"/>
        </w:rPr>
        <w:t>3</w:t>
      </w:r>
    </w:p>
    <w:p w14:paraId="155F52D2" w14:textId="77777777" w:rsidR="00510B8D" w:rsidRDefault="00510B8D" w:rsidP="00230443">
      <w:pPr>
        <w:rPr>
          <w:rFonts w:ascii="Book Antiqua" w:hAnsi="Book Antiqua" w:cs="Book Antiqua"/>
          <w:sz w:val="24"/>
          <w:szCs w:val="24"/>
          <w:lang w:val="pt-BR"/>
        </w:rPr>
      </w:pPr>
    </w:p>
    <w:p w14:paraId="282CC19A" w14:textId="7249D438" w:rsidR="00230443" w:rsidRPr="00230443" w:rsidRDefault="0073275E" w:rsidP="00230443">
      <w:pPr>
        <w:rPr>
          <w:rFonts w:ascii="Book Antiqua" w:hAnsi="Book Antiqua" w:cs="Book Antiqua"/>
          <w:sz w:val="24"/>
          <w:szCs w:val="24"/>
          <w:lang w:val="pt-BR"/>
        </w:rPr>
      </w:pPr>
      <w:r>
        <w:rPr>
          <w:rFonts w:ascii="Book Antiqua" w:hAnsi="Book Antiqua" w:cs="Book Antiqua"/>
          <w:sz w:val="24"/>
          <w:szCs w:val="24"/>
          <w:lang w:val="pt-BR"/>
        </w:rPr>
        <w:t>14 de marzo</w:t>
      </w:r>
      <w:r w:rsidR="00230443" w:rsidRPr="00230443">
        <w:rPr>
          <w:rFonts w:ascii="Book Antiqua" w:hAnsi="Book Antiqua" w:cs="Book Antiqua"/>
          <w:sz w:val="24"/>
          <w:szCs w:val="24"/>
          <w:lang w:val="pt-BR"/>
        </w:rPr>
        <w:t xml:space="preserve"> de 2023</w:t>
      </w:r>
    </w:p>
    <w:p w14:paraId="580C0277" w14:textId="77777777" w:rsidR="00230443" w:rsidRPr="00230443" w:rsidRDefault="00230443" w:rsidP="00230443">
      <w:pPr>
        <w:rPr>
          <w:rFonts w:ascii="Book Antiqua" w:hAnsi="Book Antiqua" w:cs="Book Antiqua"/>
          <w:sz w:val="24"/>
          <w:szCs w:val="24"/>
          <w:lang w:val="pt-BR"/>
        </w:rPr>
      </w:pPr>
    </w:p>
    <w:p w14:paraId="5FC7810C" w14:textId="77777777" w:rsidR="00230443" w:rsidRPr="00230443" w:rsidRDefault="00230443" w:rsidP="00230443">
      <w:pPr>
        <w:rPr>
          <w:rFonts w:ascii="Book Antiqua" w:hAnsi="Book Antiqua" w:cs="Book Antiqua"/>
          <w:sz w:val="24"/>
          <w:szCs w:val="24"/>
          <w:lang w:val="pt-BR"/>
        </w:rPr>
      </w:pPr>
    </w:p>
    <w:p w14:paraId="03AE7FD5" w14:textId="77777777" w:rsidR="00230443" w:rsidRPr="00230443" w:rsidRDefault="00230443" w:rsidP="00230443">
      <w:pPr>
        <w:rPr>
          <w:rFonts w:ascii="Book Antiqua" w:hAnsi="Book Antiqua" w:cs="Book Antiqua"/>
          <w:sz w:val="24"/>
          <w:szCs w:val="24"/>
          <w:lang w:val="pt-BR"/>
        </w:rPr>
      </w:pPr>
    </w:p>
    <w:p w14:paraId="763114BA" w14:textId="67875A4A" w:rsidR="00230443" w:rsidRDefault="0073275E" w:rsidP="0073275E">
      <w:pPr>
        <w:rPr>
          <w:rFonts w:ascii="Book Antiqua" w:hAnsi="Book Antiqua" w:cs="Book Antiqua"/>
          <w:sz w:val="24"/>
          <w:szCs w:val="24"/>
          <w:lang w:val="pt-BR"/>
        </w:rPr>
      </w:pPr>
      <w:r>
        <w:rPr>
          <w:rFonts w:ascii="Book Antiqua" w:hAnsi="Book Antiqua" w:cs="Book Antiqua"/>
          <w:sz w:val="24"/>
          <w:szCs w:val="24"/>
          <w:lang w:val="pt-BR"/>
        </w:rPr>
        <w:t>Señores</w:t>
      </w:r>
    </w:p>
    <w:p w14:paraId="4E9FA665" w14:textId="492E57A4" w:rsidR="0073275E" w:rsidRDefault="0073275E" w:rsidP="0073275E">
      <w:pPr>
        <w:rPr>
          <w:rFonts w:ascii="Book Antiqua" w:hAnsi="Book Antiqua" w:cs="Book Antiqua"/>
          <w:sz w:val="24"/>
          <w:szCs w:val="24"/>
          <w:lang w:val="pt-BR"/>
        </w:rPr>
      </w:pPr>
      <w:r>
        <w:rPr>
          <w:rFonts w:ascii="Book Antiqua" w:hAnsi="Book Antiqua" w:cs="Book Antiqua"/>
          <w:sz w:val="24"/>
          <w:szCs w:val="24"/>
          <w:lang w:val="pt-BR"/>
        </w:rPr>
        <w:t>Consejo Superior</w:t>
      </w:r>
    </w:p>
    <w:p w14:paraId="11E513A9" w14:textId="77777777" w:rsidR="0073275E" w:rsidRPr="00230443" w:rsidRDefault="0073275E" w:rsidP="0073275E">
      <w:pPr>
        <w:rPr>
          <w:rFonts w:ascii="Book Antiqua" w:hAnsi="Book Antiqua" w:cs="Arial"/>
          <w:sz w:val="24"/>
          <w:szCs w:val="24"/>
        </w:rPr>
      </w:pPr>
    </w:p>
    <w:p w14:paraId="53F51C6E" w14:textId="77777777" w:rsidR="00230443" w:rsidRPr="00230443" w:rsidRDefault="00230443" w:rsidP="00230443">
      <w:pPr>
        <w:rPr>
          <w:rFonts w:ascii="Book Antiqua" w:hAnsi="Book Antiqua" w:cs="Book Antiqua"/>
          <w:snapToGrid w:val="0"/>
          <w:sz w:val="24"/>
          <w:szCs w:val="24"/>
          <w:lang w:val="pt-BR"/>
        </w:rPr>
      </w:pPr>
    </w:p>
    <w:p w14:paraId="7D508159" w14:textId="20544126" w:rsidR="00230443" w:rsidRPr="00230443" w:rsidRDefault="00230443" w:rsidP="00230443">
      <w:pPr>
        <w:rPr>
          <w:rFonts w:ascii="Book Antiqua" w:hAnsi="Book Antiqua" w:cs="Book Antiqua"/>
          <w:snapToGrid w:val="0"/>
          <w:sz w:val="24"/>
          <w:szCs w:val="24"/>
          <w:lang w:val="pt-BR"/>
        </w:rPr>
      </w:pPr>
      <w:r w:rsidRPr="00230443">
        <w:rPr>
          <w:rFonts w:ascii="Book Antiqua" w:hAnsi="Book Antiqua" w:cs="Book Antiqua"/>
          <w:snapToGrid w:val="0"/>
          <w:sz w:val="24"/>
          <w:szCs w:val="24"/>
          <w:lang w:val="pt-BR"/>
        </w:rPr>
        <w:t>Estimad</w:t>
      </w:r>
      <w:r w:rsidR="0073275E">
        <w:rPr>
          <w:rFonts w:ascii="Book Antiqua" w:hAnsi="Book Antiqua" w:cs="Book Antiqua"/>
          <w:snapToGrid w:val="0"/>
          <w:sz w:val="24"/>
          <w:szCs w:val="24"/>
          <w:lang w:val="pt-BR"/>
        </w:rPr>
        <w:t>os</w:t>
      </w:r>
      <w:r w:rsidRPr="00230443">
        <w:rPr>
          <w:rFonts w:ascii="Book Antiqua" w:hAnsi="Book Antiqua" w:cs="Book Antiqua"/>
          <w:snapToGrid w:val="0"/>
          <w:sz w:val="24"/>
          <w:szCs w:val="24"/>
          <w:lang w:val="pt-BR"/>
        </w:rPr>
        <w:t xml:space="preserve"> señor</w:t>
      </w:r>
      <w:r w:rsidR="0073275E">
        <w:rPr>
          <w:rFonts w:ascii="Book Antiqua" w:hAnsi="Book Antiqua" w:cs="Book Antiqua"/>
          <w:snapToGrid w:val="0"/>
          <w:sz w:val="24"/>
          <w:szCs w:val="24"/>
          <w:lang w:val="pt-BR"/>
        </w:rPr>
        <w:t>es</w:t>
      </w:r>
      <w:r w:rsidRPr="00230443">
        <w:rPr>
          <w:rFonts w:ascii="Book Antiqua" w:hAnsi="Book Antiqua" w:cs="Book Antiqua"/>
          <w:snapToGrid w:val="0"/>
          <w:sz w:val="24"/>
          <w:szCs w:val="24"/>
          <w:lang w:val="pt-BR"/>
        </w:rPr>
        <w:t>:</w:t>
      </w:r>
    </w:p>
    <w:p w14:paraId="147F27EC" w14:textId="3F415475" w:rsidR="00230443" w:rsidRDefault="00230443" w:rsidP="00230443">
      <w:pPr>
        <w:jc w:val="both"/>
        <w:rPr>
          <w:rFonts w:ascii="Book Antiqua" w:hAnsi="Book Antiqua" w:cs="Book Antiqua"/>
          <w:snapToGrid w:val="0"/>
          <w:sz w:val="24"/>
          <w:szCs w:val="24"/>
          <w:lang w:val="pt-BR"/>
        </w:rPr>
      </w:pPr>
    </w:p>
    <w:p w14:paraId="6D2B547C" w14:textId="4E7925F4" w:rsidR="00230443" w:rsidRPr="00230443" w:rsidRDefault="0095102A" w:rsidP="00230443">
      <w:pPr>
        <w:ind w:firstLine="708"/>
        <w:jc w:val="both"/>
        <w:rPr>
          <w:rFonts w:ascii="Book Antiqua" w:hAnsi="Book Antiqua" w:cs="Book Antiqua"/>
          <w:sz w:val="24"/>
          <w:szCs w:val="24"/>
        </w:rPr>
      </w:pPr>
      <w:r>
        <w:rPr>
          <w:rFonts w:ascii="Book Antiqua" w:hAnsi="Book Antiqua" w:cs="Book Antiqua"/>
          <w:sz w:val="24"/>
          <w:szCs w:val="24"/>
        </w:rPr>
        <w:t>En atención al oficio 589-23 donde se transcribe el acuerdo tomado por el Consejo Superior en la sesión 6-2023 del pasado 24 de enero, artículo XXXV, l</w:t>
      </w:r>
      <w:r w:rsidR="00230443" w:rsidRPr="00230443">
        <w:rPr>
          <w:rFonts w:ascii="Book Antiqua" w:hAnsi="Book Antiqua" w:cs="Book Antiqua"/>
          <w:sz w:val="24"/>
          <w:szCs w:val="24"/>
        </w:rPr>
        <w:t>e</w:t>
      </w:r>
      <w:r w:rsidR="00D67FA6">
        <w:rPr>
          <w:rFonts w:ascii="Book Antiqua" w:hAnsi="Book Antiqua" w:cs="Book Antiqua"/>
          <w:sz w:val="24"/>
          <w:szCs w:val="24"/>
        </w:rPr>
        <w:t>s</w:t>
      </w:r>
      <w:r w:rsidR="00230443" w:rsidRPr="00230443">
        <w:rPr>
          <w:rFonts w:ascii="Book Antiqua" w:hAnsi="Book Antiqua" w:cs="Book Antiqua"/>
          <w:sz w:val="24"/>
          <w:szCs w:val="24"/>
        </w:rPr>
        <w:t xml:space="preserve"> remito el informe suscrito por</w:t>
      </w:r>
      <w:r w:rsidR="00D67FA6">
        <w:rPr>
          <w:rFonts w:ascii="Book Antiqua" w:hAnsi="Book Antiqua" w:cs="Book Antiqua"/>
          <w:sz w:val="24"/>
          <w:szCs w:val="24"/>
        </w:rPr>
        <w:t xml:space="preserve"> la Licda. Ginethe Retana Ureña</w:t>
      </w:r>
      <w:r w:rsidR="00230443" w:rsidRPr="00230443">
        <w:rPr>
          <w:rFonts w:ascii="Book Antiqua" w:hAnsi="Book Antiqua" w:cs="Book Antiqua"/>
          <w:sz w:val="24"/>
          <w:szCs w:val="24"/>
        </w:rPr>
        <w:t>, Jef</w:t>
      </w:r>
      <w:r w:rsidR="00D67FA6">
        <w:rPr>
          <w:rFonts w:ascii="Book Antiqua" w:hAnsi="Book Antiqua" w:cs="Book Antiqua"/>
          <w:sz w:val="24"/>
          <w:szCs w:val="24"/>
        </w:rPr>
        <w:t>a</w:t>
      </w:r>
      <w:r w:rsidR="00230443" w:rsidRPr="00230443">
        <w:rPr>
          <w:rFonts w:ascii="Book Antiqua" w:hAnsi="Book Antiqua" w:cs="Book Antiqua"/>
          <w:sz w:val="24"/>
          <w:szCs w:val="24"/>
        </w:rPr>
        <w:t xml:space="preserve"> del Subproceso de</w:t>
      </w:r>
      <w:r w:rsidR="00D67FA6">
        <w:rPr>
          <w:rFonts w:ascii="Book Antiqua" w:hAnsi="Book Antiqua" w:cs="Book Antiqua"/>
          <w:sz w:val="24"/>
          <w:szCs w:val="24"/>
        </w:rPr>
        <w:t xml:space="preserve"> Organización Institucional,</w:t>
      </w:r>
      <w:r w:rsidR="00230443" w:rsidRPr="00230443">
        <w:rPr>
          <w:rFonts w:ascii="Book Antiqua" w:hAnsi="Book Antiqua" w:cs="Book Antiqua"/>
          <w:sz w:val="24"/>
          <w:szCs w:val="24"/>
        </w:rPr>
        <w:t xml:space="preserve"> relacionado con </w:t>
      </w:r>
      <w:r w:rsidR="00510B8D" w:rsidRPr="009A4D61">
        <w:rPr>
          <w:rFonts w:ascii="Book Antiqua" w:hAnsi="Book Antiqua"/>
          <w:sz w:val="24"/>
          <w:szCs w:val="24"/>
          <w:lang w:val="es-ES"/>
        </w:rPr>
        <w:t xml:space="preserve">incluir </w:t>
      </w:r>
      <w:r w:rsidR="00510B8D">
        <w:rPr>
          <w:rFonts w:ascii="Book Antiqua" w:hAnsi="Book Antiqua"/>
          <w:sz w:val="24"/>
          <w:szCs w:val="24"/>
          <w:lang w:val="es-ES"/>
        </w:rPr>
        <w:t xml:space="preserve">para el proceso de formulación presupuestaria para el año 2024, </w:t>
      </w:r>
      <w:r w:rsidR="00510B8D" w:rsidRPr="009A4D61">
        <w:rPr>
          <w:rFonts w:ascii="Book Antiqua" w:hAnsi="Book Antiqua"/>
          <w:sz w:val="24"/>
          <w:szCs w:val="24"/>
          <w:lang w:val="es-ES"/>
        </w:rPr>
        <w:t>una plaza de Técnica o Técnico Judicial 1 de manera extraordinaria</w:t>
      </w:r>
      <w:r w:rsidR="006B06A0">
        <w:rPr>
          <w:rFonts w:ascii="Book Antiqua" w:hAnsi="Book Antiqua"/>
          <w:sz w:val="24"/>
          <w:szCs w:val="24"/>
          <w:lang w:val="es-ES"/>
        </w:rPr>
        <w:t>,</w:t>
      </w:r>
      <w:r w:rsidR="00510B8D" w:rsidRPr="009A4D61">
        <w:rPr>
          <w:rFonts w:ascii="Book Antiqua" w:hAnsi="Book Antiqua"/>
          <w:sz w:val="24"/>
          <w:szCs w:val="24"/>
          <w:lang w:val="es-ES"/>
        </w:rPr>
        <w:t xml:space="preserve"> para el Juzgado Contravencional de Acosta, por </w:t>
      </w:r>
      <w:r w:rsidR="006B06A0">
        <w:rPr>
          <w:rFonts w:ascii="Book Antiqua" w:hAnsi="Book Antiqua"/>
          <w:sz w:val="24"/>
          <w:szCs w:val="24"/>
          <w:lang w:val="es-ES"/>
        </w:rPr>
        <w:t>un</w:t>
      </w:r>
      <w:r w:rsidR="00510B8D" w:rsidRPr="009A4D61">
        <w:rPr>
          <w:rFonts w:ascii="Book Antiqua" w:hAnsi="Book Antiqua"/>
          <w:sz w:val="24"/>
          <w:szCs w:val="24"/>
          <w:lang w:val="es-ES"/>
        </w:rPr>
        <w:t xml:space="preserve"> periodo de un año</w:t>
      </w:r>
      <w:r w:rsidR="00510B8D">
        <w:rPr>
          <w:rFonts w:ascii="Book Antiqua" w:hAnsi="Book Antiqua"/>
          <w:sz w:val="24"/>
          <w:szCs w:val="24"/>
          <w:lang w:val="es-ES"/>
        </w:rPr>
        <w:t>.</w:t>
      </w:r>
    </w:p>
    <w:p w14:paraId="32550B63" w14:textId="77777777" w:rsidR="00230443" w:rsidRPr="00230443" w:rsidRDefault="00230443" w:rsidP="00230443">
      <w:pPr>
        <w:rPr>
          <w:rFonts w:ascii="Book Antiqua" w:hAnsi="Book Antiqua" w:cs="Book Antiqua"/>
          <w:sz w:val="24"/>
          <w:szCs w:val="24"/>
        </w:rPr>
      </w:pPr>
      <w:r w:rsidRPr="00230443">
        <w:rPr>
          <w:rFonts w:ascii="Book Antiqua" w:hAnsi="Book Antiqua" w:cs="Book Antiqua"/>
          <w:color w:val="0000FF"/>
          <w:sz w:val="24"/>
          <w:szCs w:val="24"/>
          <w:u w:val="single"/>
        </w:rPr>
        <w:t xml:space="preserve"> </w:t>
      </w:r>
    </w:p>
    <w:p w14:paraId="03A2B600" w14:textId="77777777" w:rsidR="00230443" w:rsidRPr="00230443" w:rsidRDefault="00230443" w:rsidP="00230443">
      <w:pPr>
        <w:widowControl w:val="0"/>
        <w:jc w:val="both"/>
        <w:rPr>
          <w:rFonts w:ascii="Book Antiqua" w:hAnsi="Book Antiqua" w:cs="Book Antiqua"/>
          <w:sz w:val="24"/>
          <w:szCs w:val="24"/>
        </w:rPr>
      </w:pPr>
    </w:p>
    <w:p w14:paraId="142CDA18" w14:textId="77777777" w:rsidR="00230443" w:rsidRPr="00230443" w:rsidRDefault="00230443" w:rsidP="00230443">
      <w:pPr>
        <w:widowControl w:val="0"/>
        <w:rPr>
          <w:rFonts w:ascii="Book Antiqua" w:hAnsi="Book Antiqua" w:cs="Book Antiqua"/>
          <w:snapToGrid w:val="0"/>
          <w:sz w:val="24"/>
          <w:szCs w:val="24"/>
          <w:lang w:val="pt-BR"/>
        </w:rPr>
      </w:pPr>
      <w:r w:rsidRPr="00230443">
        <w:rPr>
          <w:rFonts w:ascii="Book Antiqua" w:hAnsi="Book Antiqua" w:cs="Book Antiqua"/>
          <w:snapToGrid w:val="0"/>
          <w:sz w:val="24"/>
          <w:szCs w:val="24"/>
          <w:lang w:val="pt-BR"/>
        </w:rPr>
        <w:t>Atentamente,</w:t>
      </w:r>
    </w:p>
    <w:p w14:paraId="17B7981F" w14:textId="77777777" w:rsidR="00230443" w:rsidRPr="00230443" w:rsidRDefault="00230443" w:rsidP="00230443">
      <w:pPr>
        <w:widowControl w:val="0"/>
        <w:jc w:val="center"/>
        <w:rPr>
          <w:rFonts w:ascii="Book Antiqua" w:hAnsi="Book Antiqua" w:cs="Book Antiqua"/>
          <w:b/>
          <w:bCs/>
          <w:snapToGrid w:val="0"/>
          <w:sz w:val="24"/>
          <w:szCs w:val="24"/>
          <w:lang w:val="pt-BR"/>
        </w:rPr>
      </w:pPr>
    </w:p>
    <w:p w14:paraId="7953A916" w14:textId="77777777" w:rsidR="00230443" w:rsidRPr="00230443" w:rsidRDefault="00230443" w:rsidP="00230443">
      <w:pPr>
        <w:widowControl w:val="0"/>
        <w:rPr>
          <w:rFonts w:ascii="Book Antiqua" w:hAnsi="Book Antiqua" w:cs="Book Antiqua"/>
          <w:snapToGrid w:val="0"/>
          <w:sz w:val="24"/>
          <w:szCs w:val="24"/>
          <w:lang w:val="pt-BR"/>
        </w:rPr>
      </w:pPr>
    </w:p>
    <w:p w14:paraId="198AAA4E" w14:textId="77777777" w:rsidR="00230443" w:rsidRPr="00230443" w:rsidRDefault="00230443" w:rsidP="00230443">
      <w:pPr>
        <w:widowControl w:val="0"/>
        <w:rPr>
          <w:rFonts w:ascii="Book Antiqua" w:hAnsi="Book Antiqua" w:cs="Book Antiqua"/>
          <w:snapToGrid w:val="0"/>
          <w:sz w:val="24"/>
          <w:szCs w:val="24"/>
          <w:lang w:val="pt-BR"/>
        </w:rPr>
      </w:pPr>
    </w:p>
    <w:p w14:paraId="77B428CE" w14:textId="77777777" w:rsidR="00230443" w:rsidRPr="00230443" w:rsidRDefault="00230443" w:rsidP="00230443">
      <w:pPr>
        <w:rPr>
          <w:rFonts w:ascii="Book Antiqua" w:hAnsi="Book Antiqua" w:cs="Book Antiqua"/>
          <w:snapToGrid w:val="0"/>
          <w:sz w:val="24"/>
          <w:szCs w:val="24"/>
          <w:lang w:val="pt-BR"/>
        </w:rPr>
      </w:pPr>
      <w:r w:rsidRPr="00230443">
        <w:rPr>
          <w:rFonts w:ascii="Book Antiqua" w:hAnsi="Book Antiqua" w:cs="Book Antiqua"/>
          <w:snapToGrid w:val="0"/>
          <w:sz w:val="24"/>
          <w:szCs w:val="24"/>
          <w:lang w:val="pt-BR"/>
        </w:rPr>
        <w:t>Nacira Valverde Bermúdez</w:t>
      </w:r>
    </w:p>
    <w:p w14:paraId="558E690F" w14:textId="77777777" w:rsidR="00230443" w:rsidRPr="00230443" w:rsidRDefault="00230443" w:rsidP="00230443">
      <w:pPr>
        <w:rPr>
          <w:rFonts w:ascii="Book Antiqua" w:hAnsi="Book Antiqua" w:cs="Book Antiqua"/>
          <w:snapToGrid w:val="0"/>
          <w:sz w:val="24"/>
          <w:szCs w:val="24"/>
          <w:lang w:val="pt-BR"/>
        </w:rPr>
      </w:pPr>
      <w:r w:rsidRPr="00230443">
        <w:rPr>
          <w:rFonts w:ascii="Book Antiqua" w:hAnsi="Book Antiqua" w:cs="Book Antiqua"/>
          <w:snapToGrid w:val="0"/>
          <w:sz w:val="24"/>
          <w:szCs w:val="24"/>
          <w:lang w:val="pt-BR"/>
        </w:rPr>
        <w:t>Directora a.i. de Planificación</w:t>
      </w:r>
    </w:p>
    <w:p w14:paraId="536158F6" w14:textId="77777777" w:rsidR="00230443" w:rsidRPr="00230443" w:rsidRDefault="00230443" w:rsidP="00230443">
      <w:pPr>
        <w:rPr>
          <w:rFonts w:ascii="Book Antiqua" w:hAnsi="Book Antiqua" w:cs="Book Antiqua"/>
          <w:snapToGrid w:val="0"/>
          <w:sz w:val="24"/>
          <w:szCs w:val="24"/>
          <w:lang w:val="pt-BR"/>
        </w:rPr>
      </w:pPr>
    </w:p>
    <w:p w14:paraId="69AAF0FD" w14:textId="7FF133AB" w:rsidR="00230443" w:rsidRPr="00230443" w:rsidRDefault="00230443" w:rsidP="0073275E">
      <w:pPr>
        <w:rPr>
          <w:rFonts w:ascii="Book Antiqua" w:hAnsi="Book Antiqua" w:cs="Book Antiqua"/>
          <w:snapToGrid w:val="0"/>
          <w:sz w:val="24"/>
          <w:szCs w:val="24"/>
          <w:lang w:val="pt-BR"/>
        </w:rPr>
      </w:pPr>
      <w:r w:rsidRPr="00230443">
        <w:rPr>
          <w:rFonts w:ascii="Book Antiqua" w:hAnsi="Book Antiqua" w:cs="Book Antiqua"/>
          <w:snapToGrid w:val="0"/>
          <w:sz w:val="24"/>
          <w:szCs w:val="24"/>
          <w:lang w:val="pt-BR"/>
        </w:rPr>
        <w:t xml:space="preserve"> </w:t>
      </w:r>
    </w:p>
    <w:p w14:paraId="5DEC080E" w14:textId="77777777" w:rsidR="00230443" w:rsidRPr="00230443" w:rsidRDefault="00230443" w:rsidP="00230443">
      <w:pPr>
        <w:rPr>
          <w:rFonts w:ascii="Book Antiqua" w:hAnsi="Book Antiqua" w:cs="Book Antiqua"/>
          <w:sz w:val="24"/>
          <w:szCs w:val="24"/>
        </w:rPr>
      </w:pPr>
    </w:p>
    <w:p w14:paraId="42FDDB60" w14:textId="4C0769EB" w:rsidR="00230443" w:rsidRPr="00230443" w:rsidRDefault="00510B8D" w:rsidP="00230443">
      <w:pPr>
        <w:rPr>
          <w:rFonts w:ascii="Book Antiqua" w:hAnsi="Book Antiqua" w:cs="Book Antiqua"/>
          <w:sz w:val="24"/>
          <w:szCs w:val="24"/>
        </w:rPr>
      </w:pPr>
      <w:r>
        <w:rPr>
          <w:rFonts w:ascii="Book Antiqua" w:hAnsi="Book Antiqua" w:cs="Book Antiqua"/>
          <w:sz w:val="24"/>
          <w:szCs w:val="24"/>
        </w:rPr>
        <w:t>c</w:t>
      </w:r>
      <w:r w:rsidR="00230443" w:rsidRPr="00230443">
        <w:rPr>
          <w:rFonts w:ascii="Book Antiqua" w:hAnsi="Book Antiqua" w:cs="Book Antiqua"/>
          <w:sz w:val="24"/>
          <w:szCs w:val="24"/>
        </w:rPr>
        <w:t xml:space="preserve"> Archivo</w:t>
      </w:r>
    </w:p>
    <w:p w14:paraId="1FD5C6FF" w14:textId="77777777" w:rsidR="00230443" w:rsidRPr="00230443" w:rsidRDefault="00230443" w:rsidP="00230443">
      <w:pPr>
        <w:rPr>
          <w:rFonts w:ascii="Book Antiqua" w:hAnsi="Book Antiqua" w:cs="Book Antiqua"/>
          <w:sz w:val="24"/>
          <w:szCs w:val="24"/>
          <w:lang w:val="es-ES"/>
        </w:rPr>
      </w:pPr>
    </w:p>
    <w:p w14:paraId="673FE54C" w14:textId="317A6B56" w:rsidR="00230443" w:rsidRPr="00230443" w:rsidRDefault="00230443" w:rsidP="00230443">
      <w:pPr>
        <w:rPr>
          <w:rFonts w:ascii="Book Antiqua" w:hAnsi="Book Antiqua" w:cs="Book Antiqua"/>
          <w:sz w:val="24"/>
          <w:szCs w:val="24"/>
          <w:lang w:val="es-ES"/>
        </w:rPr>
      </w:pPr>
      <w:r w:rsidRPr="00230443">
        <w:rPr>
          <w:rFonts w:ascii="Book Antiqua" w:hAnsi="Book Antiqua" w:cs="Book Antiqua"/>
          <w:sz w:val="24"/>
          <w:szCs w:val="24"/>
          <w:lang w:val="es-ES"/>
        </w:rPr>
        <w:t>x</w:t>
      </w:r>
      <w:r w:rsidR="0073275E">
        <w:rPr>
          <w:rFonts w:ascii="Book Antiqua" w:hAnsi="Book Antiqua" w:cs="Book Antiqua"/>
          <w:sz w:val="24"/>
          <w:szCs w:val="24"/>
          <w:lang w:val="es-ES"/>
        </w:rPr>
        <w:t>ba</w:t>
      </w:r>
    </w:p>
    <w:p w14:paraId="194C8B73" w14:textId="7026A695" w:rsidR="00230443" w:rsidRPr="00230443" w:rsidRDefault="00230443" w:rsidP="00230443">
      <w:pPr>
        <w:jc w:val="both"/>
        <w:rPr>
          <w:rFonts w:ascii="Book Antiqua" w:hAnsi="Book Antiqua" w:cs="Book Antiqua"/>
          <w:sz w:val="24"/>
          <w:szCs w:val="24"/>
          <w:lang w:val="es-ES_tradnl"/>
        </w:rPr>
      </w:pPr>
      <w:r w:rsidRPr="00230443">
        <w:rPr>
          <w:rFonts w:ascii="Book Antiqua" w:hAnsi="Book Antiqua" w:cs="Book Antiqua"/>
          <w:sz w:val="24"/>
          <w:szCs w:val="24"/>
          <w:lang w:val="es-ES_tradnl"/>
        </w:rPr>
        <w:t>Ref.</w:t>
      </w:r>
      <w:r w:rsidR="0073275E">
        <w:rPr>
          <w:rFonts w:ascii="Book Antiqua" w:hAnsi="Book Antiqua" w:cs="Book Antiqua"/>
          <w:sz w:val="24"/>
          <w:szCs w:val="24"/>
          <w:lang w:val="es-ES_tradnl"/>
        </w:rPr>
        <w:t>174-23</w:t>
      </w:r>
    </w:p>
    <w:p w14:paraId="7314C2A6" w14:textId="288E7167" w:rsidR="00230443" w:rsidRDefault="00230443">
      <w:pPr>
        <w:spacing w:after="160" w:line="259" w:lineRule="auto"/>
        <w:rPr>
          <w:rFonts w:ascii="Book Antiqua" w:hAnsi="Book Antiqua" w:cs="Book Antiqua"/>
          <w:sz w:val="24"/>
          <w:szCs w:val="24"/>
          <w:lang w:val="pt-BR"/>
        </w:rPr>
      </w:pPr>
    </w:p>
    <w:p w14:paraId="2DA623C6" w14:textId="5B541250" w:rsidR="0073275E" w:rsidRDefault="0073275E">
      <w:pPr>
        <w:spacing w:after="160" w:line="259" w:lineRule="auto"/>
        <w:rPr>
          <w:rFonts w:ascii="Book Antiqua" w:hAnsi="Book Antiqua" w:cs="Book Antiqua"/>
          <w:sz w:val="24"/>
          <w:szCs w:val="24"/>
          <w:lang w:val="pt-BR"/>
        </w:rPr>
      </w:pPr>
      <w:r>
        <w:rPr>
          <w:rFonts w:ascii="Book Antiqua" w:hAnsi="Book Antiqua" w:cs="Book Antiqua"/>
          <w:sz w:val="24"/>
          <w:szCs w:val="24"/>
          <w:lang w:val="pt-BR"/>
        </w:rPr>
        <w:br w:type="page"/>
      </w:r>
    </w:p>
    <w:p w14:paraId="434F7A27" w14:textId="77777777" w:rsidR="00703BB6" w:rsidRPr="003B0517" w:rsidRDefault="00703BB6" w:rsidP="00DA4410">
      <w:pPr>
        <w:rPr>
          <w:rFonts w:ascii="Book Antiqua" w:hAnsi="Book Antiqua" w:cs="Book Antiqua"/>
          <w:sz w:val="24"/>
          <w:szCs w:val="24"/>
          <w:lang w:val="pt-BR"/>
        </w:rPr>
      </w:pPr>
    </w:p>
    <w:p w14:paraId="1B5BFF0B" w14:textId="63A14368" w:rsidR="00DA4410" w:rsidRPr="003B0517" w:rsidRDefault="006170BF" w:rsidP="00DA4410">
      <w:pPr>
        <w:rPr>
          <w:rFonts w:ascii="Book Antiqua" w:hAnsi="Book Antiqua" w:cs="Book Antiqua"/>
          <w:sz w:val="24"/>
          <w:szCs w:val="24"/>
          <w:lang w:val="pt-BR"/>
        </w:rPr>
      </w:pPr>
      <w:r>
        <w:rPr>
          <w:rFonts w:ascii="Book Antiqua" w:hAnsi="Book Antiqua" w:cs="Book Antiqua"/>
          <w:sz w:val="24"/>
          <w:szCs w:val="24"/>
          <w:lang w:val="pt-BR"/>
        </w:rPr>
        <w:t>14</w:t>
      </w:r>
      <w:r w:rsidR="00665AEF">
        <w:rPr>
          <w:rFonts w:ascii="Book Antiqua" w:hAnsi="Book Antiqua" w:cs="Book Antiqua"/>
          <w:sz w:val="24"/>
          <w:szCs w:val="24"/>
          <w:lang w:val="pt-BR"/>
        </w:rPr>
        <w:t xml:space="preserve"> de marzo de 2023 </w:t>
      </w:r>
    </w:p>
    <w:p w14:paraId="33541247" w14:textId="6972D8F9" w:rsidR="00DA4410" w:rsidRPr="003B0517" w:rsidRDefault="00DA4410" w:rsidP="00DA4410">
      <w:pPr>
        <w:rPr>
          <w:rFonts w:ascii="Book Antiqua" w:hAnsi="Book Antiqua" w:cs="Book Antiqua"/>
          <w:sz w:val="24"/>
          <w:szCs w:val="24"/>
          <w:lang w:val="pt-BR"/>
        </w:rPr>
      </w:pPr>
    </w:p>
    <w:p w14:paraId="4DA26299" w14:textId="77777777" w:rsidR="00791359" w:rsidRDefault="00791359" w:rsidP="00665AEF">
      <w:pPr>
        <w:rPr>
          <w:rFonts w:ascii="Book Antiqua" w:hAnsi="Book Antiqua"/>
          <w:sz w:val="24"/>
          <w:szCs w:val="24"/>
        </w:rPr>
      </w:pPr>
      <w:bookmarkStart w:id="0" w:name="_Hlk43478854"/>
    </w:p>
    <w:p w14:paraId="345B8B6F" w14:textId="2A98FD76" w:rsidR="00791359" w:rsidRDefault="0073275E" w:rsidP="00665AEF">
      <w:pPr>
        <w:rPr>
          <w:rFonts w:ascii="Book Antiqua" w:hAnsi="Book Antiqua"/>
          <w:sz w:val="24"/>
          <w:szCs w:val="24"/>
        </w:rPr>
      </w:pPr>
      <w:r>
        <w:rPr>
          <w:rFonts w:ascii="Book Antiqua" w:hAnsi="Book Antiqua"/>
          <w:sz w:val="24"/>
          <w:szCs w:val="24"/>
        </w:rPr>
        <w:t>Licenciada</w:t>
      </w:r>
    </w:p>
    <w:p w14:paraId="1C341FFA" w14:textId="1DA0AB7B" w:rsidR="0089046B" w:rsidRDefault="00D9394C" w:rsidP="00665AEF">
      <w:pPr>
        <w:rPr>
          <w:rFonts w:ascii="Book Antiqua" w:hAnsi="Book Antiqua"/>
          <w:sz w:val="24"/>
          <w:szCs w:val="24"/>
        </w:rPr>
      </w:pPr>
      <w:r>
        <w:rPr>
          <w:rFonts w:ascii="Book Antiqua" w:hAnsi="Book Antiqua"/>
          <w:sz w:val="24"/>
          <w:szCs w:val="24"/>
        </w:rPr>
        <w:t>Nacira Val</w:t>
      </w:r>
      <w:r w:rsidR="0089046B">
        <w:rPr>
          <w:rFonts w:ascii="Book Antiqua" w:hAnsi="Book Antiqua"/>
          <w:sz w:val="24"/>
          <w:szCs w:val="24"/>
        </w:rPr>
        <w:t>verde Bermúdez</w:t>
      </w:r>
    </w:p>
    <w:p w14:paraId="3710FAE3" w14:textId="62F48E48" w:rsidR="0089046B" w:rsidRPr="003B0517" w:rsidRDefault="0089046B" w:rsidP="00665AEF">
      <w:pPr>
        <w:rPr>
          <w:rFonts w:ascii="Book Antiqua" w:hAnsi="Book Antiqua"/>
          <w:sz w:val="24"/>
          <w:szCs w:val="24"/>
        </w:rPr>
      </w:pPr>
      <w:r>
        <w:rPr>
          <w:rFonts w:ascii="Book Antiqua" w:hAnsi="Book Antiqua"/>
          <w:sz w:val="24"/>
          <w:szCs w:val="24"/>
        </w:rPr>
        <w:t>Direc</w:t>
      </w:r>
      <w:r w:rsidR="0073275E">
        <w:rPr>
          <w:rFonts w:ascii="Book Antiqua" w:hAnsi="Book Antiqua"/>
          <w:sz w:val="24"/>
          <w:szCs w:val="24"/>
        </w:rPr>
        <w:t xml:space="preserve">tora a.i. </w:t>
      </w:r>
      <w:r>
        <w:rPr>
          <w:rFonts w:ascii="Book Antiqua" w:hAnsi="Book Antiqua"/>
          <w:sz w:val="24"/>
          <w:szCs w:val="24"/>
        </w:rPr>
        <w:t>de Planificación</w:t>
      </w:r>
    </w:p>
    <w:p w14:paraId="301ABF3A" w14:textId="4766CEA5" w:rsidR="00B46FCF" w:rsidRPr="003B0517" w:rsidRDefault="00B46FCF" w:rsidP="00DA4410">
      <w:pPr>
        <w:rPr>
          <w:rFonts w:ascii="Book Antiqua" w:hAnsi="Book Antiqua"/>
          <w:sz w:val="24"/>
          <w:szCs w:val="24"/>
        </w:rPr>
      </w:pPr>
    </w:p>
    <w:p w14:paraId="43A270B7" w14:textId="2172CFBF" w:rsidR="009818CC" w:rsidRPr="003B0517" w:rsidRDefault="009818CC" w:rsidP="00DA4410">
      <w:pPr>
        <w:rPr>
          <w:rFonts w:ascii="Book Antiqua" w:hAnsi="Book Antiqua"/>
          <w:sz w:val="24"/>
          <w:szCs w:val="24"/>
        </w:rPr>
      </w:pPr>
    </w:p>
    <w:bookmarkEnd w:id="0"/>
    <w:p w14:paraId="4FBFB4B5" w14:textId="03F84F62" w:rsidR="00716F0D" w:rsidRPr="003B0517" w:rsidRDefault="00716F0D" w:rsidP="00DA4410">
      <w:pPr>
        <w:rPr>
          <w:rFonts w:ascii="Book Antiqua" w:hAnsi="Book Antiqua" w:cs="Book Antiqua"/>
          <w:snapToGrid w:val="0"/>
          <w:sz w:val="24"/>
          <w:szCs w:val="24"/>
          <w:lang w:val="pt-BR"/>
        </w:rPr>
      </w:pPr>
      <w:r w:rsidRPr="003B0517">
        <w:rPr>
          <w:rFonts w:ascii="Book Antiqua" w:hAnsi="Book Antiqua" w:cs="Book Antiqua"/>
          <w:snapToGrid w:val="0"/>
          <w:sz w:val="24"/>
          <w:szCs w:val="24"/>
          <w:lang w:val="pt-BR"/>
        </w:rPr>
        <w:t>Estimad</w:t>
      </w:r>
      <w:r w:rsidR="004A18AF">
        <w:rPr>
          <w:rFonts w:ascii="Book Antiqua" w:hAnsi="Book Antiqua" w:cs="Book Antiqua"/>
          <w:snapToGrid w:val="0"/>
          <w:sz w:val="24"/>
          <w:szCs w:val="24"/>
          <w:lang w:val="pt-BR"/>
        </w:rPr>
        <w:t>a</w:t>
      </w:r>
      <w:r w:rsidR="00665AEF">
        <w:rPr>
          <w:rFonts w:ascii="Book Antiqua" w:hAnsi="Book Antiqua" w:cs="Book Antiqua"/>
          <w:snapToGrid w:val="0"/>
          <w:sz w:val="24"/>
          <w:szCs w:val="24"/>
          <w:lang w:val="pt-BR"/>
        </w:rPr>
        <w:t xml:space="preserve"> señora: </w:t>
      </w:r>
    </w:p>
    <w:p w14:paraId="18532E9E" w14:textId="77777777" w:rsidR="00DA4410" w:rsidRPr="003B0517" w:rsidRDefault="00DA4410" w:rsidP="00DA4410">
      <w:pPr>
        <w:jc w:val="both"/>
        <w:rPr>
          <w:rFonts w:ascii="Book Antiqua" w:hAnsi="Book Antiqua" w:cs="Book Antiqua"/>
          <w:snapToGrid w:val="0"/>
          <w:sz w:val="24"/>
          <w:szCs w:val="24"/>
          <w:lang w:val="pt-BR"/>
        </w:rPr>
      </w:pPr>
    </w:p>
    <w:p w14:paraId="2C673248" w14:textId="6B886EF9" w:rsidR="009A4D61" w:rsidRDefault="009A4D61" w:rsidP="00CA0A99">
      <w:pPr>
        <w:widowControl w:val="0"/>
        <w:jc w:val="both"/>
        <w:rPr>
          <w:rFonts w:ascii="Book Antiqua" w:hAnsi="Book Antiqua"/>
          <w:sz w:val="24"/>
          <w:szCs w:val="24"/>
          <w:lang w:val="es-ES"/>
        </w:rPr>
      </w:pPr>
      <w:r>
        <w:rPr>
          <w:rFonts w:ascii="Book Antiqua" w:hAnsi="Book Antiqua"/>
          <w:sz w:val="24"/>
          <w:szCs w:val="24"/>
          <w:lang w:val="es-ES"/>
        </w:rPr>
        <w:t>Como es de su conocimiento, e</w:t>
      </w:r>
      <w:r w:rsidR="00EF7CA5">
        <w:rPr>
          <w:rFonts w:ascii="Book Antiqua" w:hAnsi="Book Antiqua"/>
          <w:sz w:val="24"/>
          <w:szCs w:val="24"/>
          <w:lang w:val="es-ES"/>
        </w:rPr>
        <w:t xml:space="preserve">n </w:t>
      </w:r>
      <w:r>
        <w:rPr>
          <w:rFonts w:ascii="Book Antiqua" w:hAnsi="Book Antiqua"/>
          <w:sz w:val="24"/>
          <w:szCs w:val="24"/>
          <w:lang w:val="es-ES"/>
        </w:rPr>
        <w:t xml:space="preserve">este momento </w:t>
      </w:r>
      <w:r w:rsidR="00EF7CA5">
        <w:rPr>
          <w:rFonts w:ascii="Book Antiqua" w:hAnsi="Book Antiqua"/>
          <w:sz w:val="24"/>
          <w:szCs w:val="24"/>
          <w:lang w:val="es-ES"/>
        </w:rPr>
        <w:t>la Dirección de Planificación se encuentr</w:t>
      </w:r>
      <w:r w:rsidR="002C3A22">
        <w:rPr>
          <w:rFonts w:ascii="Book Antiqua" w:hAnsi="Book Antiqua"/>
          <w:sz w:val="24"/>
          <w:szCs w:val="24"/>
          <w:lang w:val="es-ES"/>
        </w:rPr>
        <w:t>a</w:t>
      </w:r>
      <w:r w:rsidR="00EF7CA5">
        <w:rPr>
          <w:rFonts w:ascii="Book Antiqua" w:hAnsi="Book Antiqua"/>
          <w:sz w:val="24"/>
          <w:szCs w:val="24"/>
          <w:lang w:val="es-ES"/>
        </w:rPr>
        <w:t xml:space="preserve"> elaborando</w:t>
      </w:r>
      <w:r w:rsidR="00665AEF">
        <w:rPr>
          <w:rFonts w:ascii="Book Antiqua" w:hAnsi="Book Antiqua"/>
          <w:sz w:val="24"/>
          <w:szCs w:val="24"/>
          <w:lang w:val="es-ES"/>
        </w:rPr>
        <w:t xml:space="preserve"> </w:t>
      </w:r>
      <w:r>
        <w:rPr>
          <w:rFonts w:ascii="Book Antiqua" w:hAnsi="Book Antiqua"/>
          <w:sz w:val="24"/>
          <w:szCs w:val="24"/>
          <w:lang w:val="es-ES"/>
        </w:rPr>
        <w:t>los estudios de requerimiento humano para el proceso de</w:t>
      </w:r>
      <w:r w:rsidR="00665AEF">
        <w:rPr>
          <w:rFonts w:ascii="Book Antiqua" w:hAnsi="Book Antiqua"/>
          <w:sz w:val="24"/>
          <w:szCs w:val="24"/>
          <w:lang w:val="es-ES"/>
        </w:rPr>
        <w:t xml:space="preserve"> formulación presupuestaria para el año 2024, razón por la</w:t>
      </w:r>
      <w:r>
        <w:rPr>
          <w:rFonts w:ascii="Book Antiqua" w:hAnsi="Book Antiqua"/>
          <w:sz w:val="24"/>
          <w:szCs w:val="24"/>
          <w:lang w:val="es-ES"/>
        </w:rPr>
        <w:t xml:space="preserve"> cual, </w:t>
      </w:r>
      <w:r w:rsidR="00665AEF">
        <w:rPr>
          <w:rFonts w:ascii="Book Antiqua" w:hAnsi="Book Antiqua"/>
          <w:sz w:val="24"/>
          <w:szCs w:val="24"/>
          <w:lang w:val="es-ES"/>
        </w:rPr>
        <w:t>resulta necesari</w:t>
      </w:r>
      <w:r>
        <w:rPr>
          <w:rFonts w:ascii="Book Antiqua" w:hAnsi="Book Antiqua"/>
          <w:sz w:val="24"/>
          <w:szCs w:val="24"/>
          <w:lang w:val="es-ES"/>
        </w:rPr>
        <w:t xml:space="preserve">o dar a conocer el acuerdo emitido por el Consejo Superior, a fin de </w:t>
      </w:r>
      <w:bookmarkStart w:id="1" w:name="_Hlk132355091"/>
      <w:r w:rsidRPr="009A4D61">
        <w:rPr>
          <w:rFonts w:ascii="Book Antiqua" w:hAnsi="Book Antiqua"/>
          <w:sz w:val="24"/>
          <w:szCs w:val="24"/>
          <w:lang w:val="es-ES"/>
        </w:rPr>
        <w:t>incluir una plaza de Técnica o Técnico Judicial 1 de manera extraordinaria para el Juzgado Contravencional de Acosta, por el periodo de un año</w:t>
      </w:r>
      <w:r>
        <w:rPr>
          <w:rFonts w:ascii="Book Antiqua" w:hAnsi="Book Antiqua"/>
          <w:sz w:val="24"/>
          <w:szCs w:val="24"/>
          <w:lang w:val="es-ES"/>
        </w:rPr>
        <w:t xml:space="preserve">. </w:t>
      </w:r>
      <w:bookmarkEnd w:id="1"/>
      <w:r>
        <w:rPr>
          <w:rFonts w:ascii="Book Antiqua" w:hAnsi="Book Antiqua"/>
          <w:sz w:val="24"/>
          <w:szCs w:val="24"/>
          <w:lang w:val="es-ES"/>
        </w:rPr>
        <w:t>Al respecto, le remito la información recopilada por el Lic. Raúl Camacho Mora, Profesional 2 de este Subproceso.</w:t>
      </w:r>
    </w:p>
    <w:p w14:paraId="27F90626" w14:textId="77777777" w:rsidR="009A4D61" w:rsidRDefault="009A4D61" w:rsidP="00CA0A99">
      <w:pPr>
        <w:widowControl w:val="0"/>
        <w:jc w:val="both"/>
        <w:rPr>
          <w:rFonts w:ascii="Book Antiqua" w:hAnsi="Book Antiqua"/>
          <w:sz w:val="24"/>
          <w:szCs w:val="24"/>
          <w:lang w:val="es-ES"/>
        </w:rPr>
      </w:pPr>
    </w:p>
    <w:p w14:paraId="78FE9A9D" w14:textId="77777777" w:rsidR="00EF7CA5" w:rsidRPr="00EF7CA5" w:rsidRDefault="00EF7CA5" w:rsidP="00EF7CA5">
      <w:pPr>
        <w:pStyle w:val="Prrafodelista"/>
        <w:widowControl w:val="0"/>
        <w:numPr>
          <w:ilvl w:val="0"/>
          <w:numId w:val="26"/>
        </w:numPr>
        <w:ind w:left="284" w:hanging="284"/>
        <w:jc w:val="both"/>
        <w:rPr>
          <w:rFonts w:ascii="Book Antiqua" w:hAnsi="Book Antiqua"/>
          <w:b/>
          <w:bCs/>
        </w:rPr>
      </w:pPr>
      <w:r w:rsidRPr="00EF7CA5">
        <w:rPr>
          <w:rFonts w:ascii="Book Antiqua" w:hAnsi="Book Antiqua"/>
          <w:b/>
          <w:bCs/>
        </w:rPr>
        <w:t>Antecedentes.</w:t>
      </w:r>
    </w:p>
    <w:p w14:paraId="570AE1B6" w14:textId="77777777" w:rsidR="009E30CB" w:rsidRDefault="009E30CB" w:rsidP="009E30CB">
      <w:pPr>
        <w:ind w:right="-1"/>
        <w:jc w:val="both"/>
        <w:rPr>
          <w:rFonts w:ascii="Book Antiqua" w:hAnsi="Book Antiqua" w:cs="Book Antiqua"/>
        </w:rPr>
      </w:pPr>
    </w:p>
    <w:p w14:paraId="58F33FC3" w14:textId="587B9EAA" w:rsidR="009E30CB" w:rsidRPr="002A5912" w:rsidRDefault="009E30CB" w:rsidP="009E30CB">
      <w:pPr>
        <w:ind w:right="-1"/>
        <w:jc w:val="both"/>
        <w:rPr>
          <w:rFonts w:ascii="Book Antiqua" w:hAnsi="Book Antiqua" w:cs="Book Antiqua"/>
          <w:sz w:val="24"/>
          <w:szCs w:val="24"/>
          <w:lang w:val="es-ES"/>
        </w:rPr>
      </w:pPr>
      <w:r w:rsidRPr="002A5912">
        <w:rPr>
          <w:rFonts w:ascii="Book Antiqua" w:hAnsi="Book Antiqua" w:cs="Book Antiqua"/>
          <w:sz w:val="24"/>
          <w:szCs w:val="24"/>
          <w:lang w:val="es-ES"/>
        </w:rPr>
        <w:t>1.1.- La Secretaría General de la Corte comunica a la Dirección de Planificación el oficio 11420-2021, que transcribe el acuerdo tomado por el Consejo Superior en sesión 103-21, del 1° de diciembre del 2021, artículo LVII, en que se dispuso:</w:t>
      </w:r>
    </w:p>
    <w:p w14:paraId="1982B39B" w14:textId="77777777" w:rsidR="009E30CB" w:rsidRPr="009E30CB" w:rsidRDefault="009E30CB" w:rsidP="009E30CB">
      <w:pPr>
        <w:ind w:right="-1"/>
        <w:jc w:val="both"/>
        <w:rPr>
          <w:rFonts w:ascii="Book Antiqua" w:hAnsi="Book Antiqua" w:cs="Book Antiqua"/>
        </w:rPr>
      </w:pPr>
    </w:p>
    <w:p w14:paraId="67CBFB73" w14:textId="06E211B5" w:rsidR="009E30CB" w:rsidRPr="009E30CB" w:rsidRDefault="009E30CB" w:rsidP="009E30CB">
      <w:pPr>
        <w:ind w:left="340" w:right="340"/>
        <w:jc w:val="both"/>
        <w:rPr>
          <w:rFonts w:ascii="Book Antiqua" w:hAnsi="Book Antiqua" w:cs="Book Antiqua"/>
          <w:i/>
          <w:iCs/>
        </w:rPr>
      </w:pPr>
      <w:r w:rsidRPr="009E30CB">
        <w:rPr>
          <w:rFonts w:ascii="Book Antiqua" w:hAnsi="Book Antiqua" w:cs="Book Antiqua"/>
          <w:i/>
          <w:iCs/>
        </w:rPr>
        <w:t>“1.) Tener por rendido el informe remitido por la licenciada Derling Edith Talavera Polanco, Jueza coordinadora del Contravencional de Acosta, mediante nota del 17 de noviembre de 2021, referente al Modelo de sostenibilidad del Juzgado Contravencional de Acosta, aprobado por la Dirección de Planificación comunicado mediante oficio número 197-PLA-MI-2021. 2.) Previamente a resolver lo que corresponda, trasladar la gestión de la licenciada Derling Edith Talavera Polanco, a las Direcciones de Planificación y de Gestión Humana, a fin de que emitan un informe técnico de acuerdo a sus competencias, y remitan a este Consejo lo que corresponda.”.</w:t>
      </w:r>
    </w:p>
    <w:p w14:paraId="4E419289" w14:textId="34B10815" w:rsidR="009E30CB" w:rsidRDefault="009E30CB" w:rsidP="009E30CB">
      <w:pPr>
        <w:ind w:right="-1"/>
        <w:jc w:val="both"/>
        <w:rPr>
          <w:rFonts w:ascii="Book Antiqua" w:hAnsi="Book Antiqua" w:cs="Book Antiqua"/>
        </w:rPr>
      </w:pPr>
    </w:p>
    <w:p w14:paraId="068FEBF8" w14:textId="2C5D4356" w:rsidR="009E30CB" w:rsidRPr="002A5912" w:rsidRDefault="009E30CB" w:rsidP="009E30CB">
      <w:pPr>
        <w:ind w:right="-1"/>
        <w:jc w:val="both"/>
        <w:rPr>
          <w:rFonts w:ascii="Book Antiqua" w:hAnsi="Book Antiqua" w:cs="Book Antiqua"/>
          <w:sz w:val="24"/>
          <w:szCs w:val="24"/>
          <w:lang w:val="es-ES"/>
        </w:rPr>
      </w:pPr>
      <w:r w:rsidRPr="002A5912">
        <w:rPr>
          <w:rFonts w:ascii="Book Antiqua" w:hAnsi="Book Antiqua" w:cs="Book Antiqua"/>
          <w:sz w:val="24"/>
          <w:szCs w:val="24"/>
          <w:lang w:val="es-ES"/>
        </w:rPr>
        <w:t xml:space="preserve">1.2. En ese sentido, la Dirección de Planificación elaboró el informe 337-PLA-OI-2022, que fue remitido en modo de consulta a la licenciada Derling Edith Talavera Polanco, Jueza Coordinadora del Juzgado Contravencional de Acosta, así como a la Máster Roxana Arrieta Meléndez, Directora a.i. de Gestión Humana y a la Máster Maricruz Chacón Cubillo, Directora a.i. del Centro de Apoyo, Coordinación y Mejoramiento de la Función Jurisdiccional. Como respuesta, se recibió el oficio de </w:t>
      </w:r>
      <w:r w:rsidRPr="002A5912">
        <w:rPr>
          <w:rFonts w:ascii="Book Antiqua" w:hAnsi="Book Antiqua" w:cs="Book Antiqua"/>
          <w:sz w:val="24"/>
          <w:szCs w:val="24"/>
          <w:lang w:val="es-ES"/>
        </w:rPr>
        <w:lastRenderedPageBreak/>
        <w:t>fecha 5 de mayo, suscrito por la licenciada Talavera Polanco y por parte de la Máster Chacón Cubillo, el oficio N°156-CACMFJ-JEF-2022 del 29 de abril de 2022.</w:t>
      </w:r>
    </w:p>
    <w:p w14:paraId="10ED0C24" w14:textId="70F78902" w:rsidR="009E30CB" w:rsidRDefault="009E30CB" w:rsidP="009E30CB">
      <w:pPr>
        <w:ind w:right="-1"/>
        <w:jc w:val="both"/>
        <w:rPr>
          <w:rFonts w:ascii="Book Antiqua" w:hAnsi="Book Antiqua" w:cs="Book Antiqua"/>
        </w:rPr>
      </w:pPr>
    </w:p>
    <w:p w14:paraId="6ECE66AF" w14:textId="3A986068" w:rsidR="009E30CB" w:rsidRDefault="009E30CB" w:rsidP="002A5912">
      <w:pPr>
        <w:ind w:right="-1"/>
        <w:jc w:val="both"/>
        <w:rPr>
          <w:rFonts w:ascii="Book Antiqua" w:hAnsi="Book Antiqua" w:cs="Book Antiqua"/>
          <w:sz w:val="24"/>
          <w:szCs w:val="24"/>
          <w:lang w:val="es-ES"/>
        </w:rPr>
      </w:pPr>
      <w:r w:rsidRPr="002A5912">
        <w:rPr>
          <w:rFonts w:ascii="Book Antiqua" w:hAnsi="Book Antiqua" w:cs="Book Antiqua"/>
          <w:sz w:val="24"/>
          <w:szCs w:val="24"/>
          <w:lang w:val="es-ES"/>
        </w:rPr>
        <w:t xml:space="preserve">1.3.  Las observaciones indicadas en el punto anterior se incorporaron en el informe 413-PLA-OI-2022, relacionado con el estudio de estructura del Juzgado Contravencional de Acosta, que fue conocido por el Consejo Superior en sesión 48-2022 del 7 de junio de 2022, artículo XXXVIII, y al respecto se dispuso entre otras cosas: </w:t>
      </w:r>
    </w:p>
    <w:p w14:paraId="02B756AB" w14:textId="77777777" w:rsidR="0073275E" w:rsidRPr="002A5912" w:rsidRDefault="0073275E" w:rsidP="002A5912">
      <w:pPr>
        <w:ind w:right="-1"/>
        <w:jc w:val="both"/>
        <w:rPr>
          <w:rFonts w:ascii="Book Antiqua" w:hAnsi="Book Antiqua" w:cs="Book Antiqua"/>
          <w:sz w:val="24"/>
          <w:szCs w:val="24"/>
          <w:lang w:val="es-ES"/>
        </w:rPr>
      </w:pPr>
    </w:p>
    <w:p w14:paraId="7F4633FE" w14:textId="77777777" w:rsidR="009E30CB" w:rsidRPr="009E30CB" w:rsidRDefault="009E30CB" w:rsidP="009E30CB">
      <w:pPr>
        <w:autoSpaceDE w:val="0"/>
        <w:autoSpaceDN w:val="0"/>
        <w:adjustRightInd w:val="0"/>
        <w:ind w:left="340" w:right="340"/>
        <w:jc w:val="both"/>
        <w:rPr>
          <w:rFonts w:ascii="Calibri" w:eastAsiaTheme="minorHAnsi" w:hAnsi="Calibri" w:cs="Calibri"/>
          <w:color w:val="000000"/>
          <w:sz w:val="23"/>
          <w:szCs w:val="23"/>
          <w:lang w:eastAsia="en-US"/>
        </w:rPr>
      </w:pPr>
      <w:r w:rsidRPr="009E30CB">
        <w:rPr>
          <w:rFonts w:ascii="Calibri" w:eastAsiaTheme="minorHAnsi" w:hAnsi="Calibri" w:cs="Calibri"/>
          <w:color w:val="000000"/>
          <w:sz w:val="23"/>
          <w:szCs w:val="23"/>
          <w:lang w:eastAsia="en-US"/>
        </w:rPr>
        <w:t xml:space="preserve">“… </w:t>
      </w:r>
    </w:p>
    <w:p w14:paraId="634FF9F3" w14:textId="4E660345" w:rsidR="009E30CB" w:rsidRDefault="009E30CB" w:rsidP="009E30CB">
      <w:pPr>
        <w:ind w:left="340" w:right="340"/>
        <w:jc w:val="both"/>
        <w:rPr>
          <w:rFonts w:ascii="Book Antiqua" w:hAnsi="Book Antiqua" w:cs="Book Antiqua"/>
        </w:rPr>
      </w:pPr>
      <w:r w:rsidRPr="009E30CB">
        <w:rPr>
          <w:rFonts w:ascii="Calibri" w:eastAsiaTheme="minorHAnsi" w:hAnsi="Calibri" w:cs="Calibri"/>
          <w:i/>
          <w:iCs/>
          <w:color w:val="000000"/>
          <w:sz w:val="23"/>
          <w:szCs w:val="23"/>
          <w:lang w:eastAsia="en-US"/>
        </w:rPr>
        <w:t>g) El Subproceso de Organización Institucional de la Dirección de Planificación efectuará un seguimiento cuatro meses después de comunicado el presente acuerdo, para determinar el grado de aprovechamiento del recurso, así como el análisis de las plantillas indicadas en párrafos anteriores.</w:t>
      </w:r>
      <w:r w:rsidR="0073275E">
        <w:rPr>
          <w:rFonts w:ascii="Calibri" w:eastAsiaTheme="minorHAnsi" w:hAnsi="Calibri" w:cs="Calibri"/>
          <w:i/>
          <w:iCs/>
          <w:color w:val="000000"/>
          <w:sz w:val="23"/>
          <w:szCs w:val="23"/>
          <w:lang w:eastAsia="en-US"/>
        </w:rPr>
        <w:t>”.</w:t>
      </w:r>
    </w:p>
    <w:p w14:paraId="1DBDB389" w14:textId="77777777" w:rsidR="009E30CB" w:rsidRPr="009E30CB" w:rsidRDefault="009E30CB" w:rsidP="009E30CB">
      <w:pPr>
        <w:ind w:right="-1"/>
        <w:jc w:val="both"/>
        <w:rPr>
          <w:rFonts w:ascii="Book Antiqua" w:hAnsi="Book Antiqua" w:cs="Book Antiqua"/>
        </w:rPr>
      </w:pPr>
    </w:p>
    <w:p w14:paraId="6DD3ABAB" w14:textId="77777777" w:rsidR="00665AEF" w:rsidRDefault="00665AEF" w:rsidP="00665AEF">
      <w:pPr>
        <w:pStyle w:val="Prrafodelista"/>
        <w:ind w:left="426" w:right="-1"/>
        <w:jc w:val="both"/>
        <w:rPr>
          <w:rFonts w:ascii="Book Antiqua" w:hAnsi="Book Antiqua" w:cs="Book Antiqua"/>
        </w:rPr>
      </w:pPr>
    </w:p>
    <w:p w14:paraId="646C7187" w14:textId="67A2A804" w:rsidR="00665AEF" w:rsidRPr="009E30CB" w:rsidRDefault="009E30CB" w:rsidP="009E30CB">
      <w:pPr>
        <w:pStyle w:val="Prrafodelista"/>
        <w:numPr>
          <w:ilvl w:val="1"/>
          <w:numId w:val="33"/>
        </w:numPr>
        <w:ind w:left="0" w:right="-1" w:firstLine="0"/>
        <w:jc w:val="both"/>
        <w:rPr>
          <w:rFonts w:ascii="Book Antiqua" w:hAnsi="Book Antiqua" w:cs="Book Antiqua"/>
        </w:rPr>
      </w:pPr>
      <w:r>
        <w:rPr>
          <w:rFonts w:ascii="Book Antiqua" w:hAnsi="Book Antiqua" w:cs="Book Antiqua"/>
        </w:rPr>
        <w:t xml:space="preserve"> </w:t>
      </w:r>
      <w:r w:rsidR="00665AEF" w:rsidRPr="009E30CB">
        <w:rPr>
          <w:rFonts w:ascii="Book Antiqua" w:hAnsi="Book Antiqua" w:cs="Book Antiqua"/>
        </w:rPr>
        <w:t xml:space="preserve">Producto de </w:t>
      </w:r>
      <w:r>
        <w:rPr>
          <w:rFonts w:ascii="Book Antiqua" w:hAnsi="Book Antiqua" w:cs="Book Antiqua"/>
        </w:rPr>
        <w:t>l</w:t>
      </w:r>
      <w:r w:rsidR="00665AEF" w:rsidRPr="009E30CB">
        <w:rPr>
          <w:rFonts w:ascii="Book Antiqua" w:hAnsi="Book Antiqua" w:cs="Book Antiqua"/>
        </w:rPr>
        <w:t>a recomendación</w:t>
      </w:r>
      <w:r>
        <w:rPr>
          <w:rFonts w:ascii="Book Antiqua" w:hAnsi="Book Antiqua" w:cs="Book Antiqua"/>
        </w:rPr>
        <w:t xml:space="preserve"> anterior</w:t>
      </w:r>
      <w:r w:rsidR="00665AEF" w:rsidRPr="009E30CB">
        <w:rPr>
          <w:rFonts w:ascii="Book Antiqua" w:hAnsi="Book Antiqua" w:cs="Book Antiqua"/>
        </w:rPr>
        <w:t>, la Dirección de Planificación procedió a elaborar el seguimiento indicado</w:t>
      </w:r>
      <w:r w:rsidR="00BF7A3E" w:rsidRPr="009E30CB">
        <w:rPr>
          <w:rFonts w:ascii="Book Antiqua" w:hAnsi="Book Antiqua" w:cs="Book Antiqua"/>
        </w:rPr>
        <w:t xml:space="preserve"> </w:t>
      </w:r>
      <w:r w:rsidR="00665AEF" w:rsidRPr="009E30CB">
        <w:rPr>
          <w:rFonts w:ascii="Book Antiqua" w:hAnsi="Book Antiqua" w:cs="Book Antiqua"/>
        </w:rPr>
        <w:t>a través del informe 1119-PLA-OI-2022</w:t>
      </w:r>
      <w:r w:rsidR="00F658FE" w:rsidRPr="009E30CB">
        <w:rPr>
          <w:rFonts w:ascii="Book Antiqua" w:hAnsi="Book Antiqua" w:cs="Book Antiqua"/>
        </w:rPr>
        <w:t xml:space="preserve">  (Anexo 1)</w:t>
      </w:r>
      <w:r w:rsidR="00665AEF" w:rsidRPr="009E30CB">
        <w:rPr>
          <w:rFonts w:ascii="Book Antiqua" w:hAnsi="Book Antiqua" w:cs="Book Antiqua"/>
        </w:rPr>
        <w:t xml:space="preserve">, que fue aprobado por el Consejo Superior en sesión 06-2023 del 24 de enero de 2023, artículo XXXV, y dentro de las disposiciones </w:t>
      </w:r>
      <w:r w:rsidR="0089046B" w:rsidRPr="009E30CB">
        <w:rPr>
          <w:rFonts w:ascii="Book Antiqua" w:hAnsi="Book Antiqua" w:cs="Book Antiqua"/>
        </w:rPr>
        <w:t>acordó</w:t>
      </w:r>
      <w:r w:rsidR="00665AEF" w:rsidRPr="009E30CB">
        <w:rPr>
          <w:rFonts w:ascii="Book Antiqua" w:hAnsi="Book Antiqua" w:cs="Book Antiqua"/>
        </w:rPr>
        <w:t>:</w:t>
      </w:r>
    </w:p>
    <w:p w14:paraId="2F4C471F" w14:textId="77777777" w:rsidR="00665AEF" w:rsidRPr="00665AEF" w:rsidRDefault="00665AEF" w:rsidP="00665AEF">
      <w:pPr>
        <w:pStyle w:val="Prrafodelista"/>
        <w:rPr>
          <w:rFonts w:ascii="Book Antiqua" w:hAnsi="Book Antiqua" w:cs="Book Antiqua"/>
        </w:rPr>
      </w:pPr>
    </w:p>
    <w:p w14:paraId="195EB9EF" w14:textId="32E731C9" w:rsidR="00665AEF" w:rsidRPr="00BF7A3E" w:rsidRDefault="00665AEF" w:rsidP="0089046B">
      <w:pPr>
        <w:ind w:left="737" w:right="454"/>
        <w:jc w:val="both"/>
        <w:rPr>
          <w:rFonts w:ascii="Book Antiqua" w:hAnsi="Book Antiqua" w:cs="Book Antiqua"/>
          <w:i/>
          <w:iCs/>
          <w:sz w:val="22"/>
          <w:szCs w:val="22"/>
        </w:rPr>
      </w:pPr>
      <w:r w:rsidRPr="00BF7A3E">
        <w:rPr>
          <w:rFonts w:ascii="Book Antiqua" w:hAnsi="Book Antiqua" w:cs="Book Antiqua"/>
          <w:i/>
          <w:iCs/>
          <w:sz w:val="22"/>
          <w:szCs w:val="22"/>
        </w:rPr>
        <w:t>“</w:t>
      </w:r>
      <w:r w:rsidR="00BF7A3E" w:rsidRPr="00BF7A3E">
        <w:rPr>
          <w:rFonts w:ascii="Book Antiqua" w:hAnsi="Book Antiqua" w:cs="Book Antiqua"/>
          <w:i/>
          <w:iCs/>
          <w:sz w:val="22"/>
          <w:szCs w:val="22"/>
        </w:rPr>
        <w:t>…</w:t>
      </w:r>
      <w:r w:rsidRPr="00BF7A3E">
        <w:rPr>
          <w:rFonts w:ascii="Book Antiqua" w:hAnsi="Book Antiqua" w:cs="Book Antiqua"/>
          <w:i/>
          <w:iCs/>
          <w:sz w:val="22"/>
          <w:szCs w:val="22"/>
        </w:rPr>
        <w:t xml:space="preserve"> </w:t>
      </w:r>
      <w:r w:rsidRPr="00BF7A3E">
        <w:rPr>
          <w:b/>
          <w:bCs/>
          <w:i/>
          <w:iCs/>
          <w:sz w:val="22"/>
          <w:szCs w:val="22"/>
        </w:rPr>
        <w:t xml:space="preserve">f) </w:t>
      </w:r>
      <w:r w:rsidRPr="00BF7A3E">
        <w:rPr>
          <w:i/>
          <w:iCs/>
          <w:sz w:val="22"/>
          <w:szCs w:val="22"/>
        </w:rPr>
        <w:t>La Dirección de Planificación incluirá en el ejercicio de formulación presupuestaria para el año 2024, el estudio para la eventual inclusión de una plaza de Técnica o Técnico Judicial 1 de manera extraordinaria para el Juzgado Contravencional de Acosta, por el periodo de un año, dado que está por demostrado en el abordaje, por una parte, la necesidad de una segunda plaza técnica en la tramitación de expedientes hasta tanto mejoren las condiciones de salud de uno de los recursos técnicos de planta en la oficina (que se puede destacar de momento exclusivamente en labores de manifestación), y por otra, que la permanencia del recurso facilitado para asumir esas tareas, por su naturaleza y fines de su creación, no debería permanecer de manera permanente en ese despacho</w:t>
      </w:r>
      <w:r w:rsidR="00BF7A3E" w:rsidRPr="00BF7A3E">
        <w:rPr>
          <w:i/>
          <w:iCs/>
          <w:sz w:val="22"/>
          <w:szCs w:val="22"/>
        </w:rPr>
        <w:t>…”</w:t>
      </w:r>
      <w:r w:rsidRPr="00BF7A3E">
        <w:rPr>
          <w:i/>
          <w:iCs/>
          <w:sz w:val="22"/>
          <w:szCs w:val="22"/>
        </w:rPr>
        <w:t>.</w:t>
      </w:r>
    </w:p>
    <w:p w14:paraId="620FBC72" w14:textId="77777777" w:rsidR="00665AEF" w:rsidRPr="00665AEF" w:rsidRDefault="00665AEF" w:rsidP="00665AEF">
      <w:pPr>
        <w:pStyle w:val="Prrafodelista"/>
        <w:rPr>
          <w:rFonts w:ascii="Book Antiqua" w:hAnsi="Book Antiqua" w:cs="Book Antiqua"/>
        </w:rPr>
      </w:pPr>
    </w:p>
    <w:p w14:paraId="77DA834F" w14:textId="427BEEFC" w:rsidR="00665AEF" w:rsidRPr="00BF7A3E" w:rsidRDefault="00665AEF" w:rsidP="00BF7A3E">
      <w:pPr>
        <w:ind w:right="-1"/>
        <w:jc w:val="both"/>
        <w:rPr>
          <w:rFonts w:ascii="Book Antiqua" w:hAnsi="Book Antiqua" w:cs="Book Antiqua"/>
        </w:rPr>
      </w:pPr>
    </w:p>
    <w:p w14:paraId="338EA05A" w14:textId="77777777" w:rsidR="00EF7CA5" w:rsidRPr="00EF7CA5" w:rsidRDefault="00EF7CA5" w:rsidP="00E122A3">
      <w:pPr>
        <w:jc w:val="both"/>
        <w:rPr>
          <w:rFonts w:ascii="Book Antiqua" w:hAnsi="Book Antiqua" w:cs="Book Antiqua"/>
          <w:b/>
          <w:bCs/>
          <w:sz w:val="24"/>
          <w:szCs w:val="24"/>
        </w:rPr>
      </w:pPr>
      <w:r w:rsidRPr="00EF7CA5">
        <w:rPr>
          <w:rFonts w:ascii="Book Antiqua" w:hAnsi="Book Antiqua" w:cs="Book Antiqua"/>
          <w:b/>
          <w:bCs/>
          <w:sz w:val="24"/>
          <w:szCs w:val="24"/>
        </w:rPr>
        <w:t>2. Información relevante.</w:t>
      </w:r>
    </w:p>
    <w:p w14:paraId="7FA424B4" w14:textId="77777777" w:rsidR="00EF7CA5" w:rsidRDefault="00EF7CA5" w:rsidP="00E122A3">
      <w:pPr>
        <w:jc w:val="both"/>
        <w:rPr>
          <w:rFonts w:ascii="Book Antiqua" w:hAnsi="Book Antiqua" w:cs="Book Antiqua"/>
          <w:sz w:val="24"/>
          <w:szCs w:val="24"/>
        </w:rPr>
      </w:pPr>
    </w:p>
    <w:p w14:paraId="2D5C3459" w14:textId="77777777" w:rsidR="003C4676" w:rsidRDefault="00BF7A3E" w:rsidP="00E122A3">
      <w:pPr>
        <w:jc w:val="both"/>
        <w:rPr>
          <w:rFonts w:ascii="Book Antiqua" w:hAnsi="Book Antiqua" w:cs="Book Antiqua"/>
          <w:sz w:val="24"/>
          <w:szCs w:val="24"/>
        </w:rPr>
      </w:pPr>
      <w:r>
        <w:rPr>
          <w:rFonts w:ascii="Book Antiqua" w:hAnsi="Book Antiqua" w:cs="Book Antiqua"/>
          <w:sz w:val="24"/>
          <w:szCs w:val="24"/>
        </w:rPr>
        <w:t>Tal como se observa en lo</w:t>
      </w:r>
      <w:r w:rsidR="00E55DE9">
        <w:rPr>
          <w:rFonts w:ascii="Book Antiqua" w:hAnsi="Book Antiqua" w:cs="Book Antiqua"/>
          <w:sz w:val="24"/>
          <w:szCs w:val="24"/>
        </w:rPr>
        <w:t>s</w:t>
      </w:r>
      <w:r>
        <w:rPr>
          <w:rFonts w:ascii="Book Antiqua" w:hAnsi="Book Antiqua" w:cs="Book Antiqua"/>
          <w:sz w:val="24"/>
          <w:szCs w:val="24"/>
        </w:rPr>
        <w:t xml:space="preserve"> antecedentes anteriores, el informe </w:t>
      </w:r>
      <w:r w:rsidR="0089046B">
        <w:rPr>
          <w:rFonts w:ascii="Book Antiqua" w:hAnsi="Book Antiqua" w:cs="Book Antiqua"/>
          <w:sz w:val="24"/>
          <w:szCs w:val="24"/>
        </w:rPr>
        <w:t>de seguimiento fue aprobado por el Consejo Superior, en el pasado mes de enero del presente año</w:t>
      </w:r>
      <w:r>
        <w:rPr>
          <w:rFonts w:ascii="Book Antiqua" w:hAnsi="Book Antiqua" w:cs="Book Antiqua"/>
          <w:sz w:val="24"/>
          <w:szCs w:val="24"/>
        </w:rPr>
        <w:t xml:space="preserve">, </w:t>
      </w:r>
      <w:r w:rsidR="0089046B">
        <w:rPr>
          <w:rFonts w:ascii="Book Antiqua" w:hAnsi="Book Antiqua" w:cs="Book Antiqua"/>
          <w:sz w:val="24"/>
          <w:szCs w:val="24"/>
        </w:rPr>
        <w:t>el cual fue</w:t>
      </w:r>
      <w:r>
        <w:rPr>
          <w:rFonts w:ascii="Book Antiqua" w:hAnsi="Book Antiqua" w:cs="Book Antiqua"/>
          <w:sz w:val="24"/>
          <w:szCs w:val="24"/>
        </w:rPr>
        <w:t xml:space="preserve"> comunicado oficialmente a las dependencias involucradas</w:t>
      </w:r>
      <w:r w:rsidR="0089046B">
        <w:rPr>
          <w:rFonts w:ascii="Book Antiqua" w:hAnsi="Book Antiqua" w:cs="Book Antiqua"/>
          <w:sz w:val="24"/>
          <w:szCs w:val="24"/>
        </w:rPr>
        <w:t xml:space="preserve">. </w:t>
      </w:r>
    </w:p>
    <w:p w14:paraId="4EAB79C1" w14:textId="77777777" w:rsidR="003C4676" w:rsidRDefault="003C4676" w:rsidP="00E122A3">
      <w:pPr>
        <w:jc w:val="both"/>
        <w:rPr>
          <w:rFonts w:ascii="Book Antiqua" w:hAnsi="Book Antiqua" w:cs="Book Antiqua"/>
          <w:sz w:val="24"/>
          <w:szCs w:val="24"/>
        </w:rPr>
      </w:pPr>
    </w:p>
    <w:p w14:paraId="74C44CD5" w14:textId="54222B51" w:rsidR="0089046B" w:rsidRDefault="0089046B" w:rsidP="00E122A3">
      <w:pPr>
        <w:jc w:val="both"/>
        <w:rPr>
          <w:rFonts w:ascii="Book Antiqua" w:hAnsi="Book Antiqua" w:cs="Book Antiqua"/>
          <w:sz w:val="24"/>
          <w:szCs w:val="24"/>
        </w:rPr>
      </w:pPr>
      <w:r>
        <w:rPr>
          <w:rFonts w:ascii="Book Antiqua" w:hAnsi="Book Antiqua" w:cs="Book Antiqua"/>
          <w:sz w:val="24"/>
          <w:szCs w:val="24"/>
        </w:rPr>
        <w:t>En razón</w:t>
      </w:r>
      <w:r w:rsidR="00BF7A3E">
        <w:rPr>
          <w:rFonts w:ascii="Book Antiqua" w:hAnsi="Book Antiqua" w:cs="Book Antiqua"/>
          <w:sz w:val="24"/>
          <w:szCs w:val="24"/>
        </w:rPr>
        <w:t xml:space="preserve"> </w:t>
      </w:r>
      <w:r>
        <w:rPr>
          <w:rFonts w:ascii="Book Antiqua" w:hAnsi="Book Antiqua" w:cs="Book Antiqua"/>
          <w:sz w:val="24"/>
          <w:szCs w:val="24"/>
        </w:rPr>
        <w:t xml:space="preserve">de lo anterior, </w:t>
      </w:r>
      <w:r w:rsidR="00BF7A3E">
        <w:rPr>
          <w:rFonts w:ascii="Book Antiqua" w:hAnsi="Book Antiqua" w:cs="Book Antiqua"/>
          <w:sz w:val="24"/>
          <w:szCs w:val="24"/>
        </w:rPr>
        <w:t xml:space="preserve">esta Dirección estima prudente </w:t>
      </w:r>
      <w:r>
        <w:rPr>
          <w:rFonts w:ascii="Book Antiqua" w:hAnsi="Book Antiqua" w:cs="Book Antiqua"/>
          <w:sz w:val="24"/>
          <w:szCs w:val="24"/>
        </w:rPr>
        <w:t xml:space="preserve">que al estarse realizando los estudios de necesidad de requerimiento humano para el ejercicio presupuestario del </w:t>
      </w:r>
      <w:r>
        <w:rPr>
          <w:rFonts w:ascii="Book Antiqua" w:hAnsi="Book Antiqua" w:cs="Book Antiqua"/>
          <w:sz w:val="24"/>
          <w:szCs w:val="24"/>
        </w:rPr>
        <w:lastRenderedPageBreak/>
        <w:t xml:space="preserve">2024, se proceda </w:t>
      </w:r>
      <w:r w:rsidR="00BF7A3E">
        <w:rPr>
          <w:rFonts w:ascii="Book Antiqua" w:hAnsi="Book Antiqua" w:cs="Book Antiqua"/>
          <w:sz w:val="24"/>
          <w:szCs w:val="24"/>
        </w:rPr>
        <w:t>con la correspondiente inclusión de una plaza de Técnica o Técnico Judicial 1 de manera extraordinaria para el Juzgado Contravencional de Acosta</w:t>
      </w:r>
      <w:r w:rsidR="002A5912">
        <w:rPr>
          <w:rFonts w:ascii="Book Antiqua" w:hAnsi="Book Antiqua" w:cs="Book Antiqua"/>
          <w:sz w:val="24"/>
          <w:szCs w:val="24"/>
        </w:rPr>
        <w:t>, con base en el análisis que previamente se había realizado por esta Dirección,</w:t>
      </w:r>
      <w:r>
        <w:rPr>
          <w:rFonts w:ascii="Book Antiqua" w:hAnsi="Book Antiqua" w:cs="Book Antiqua"/>
          <w:sz w:val="24"/>
          <w:szCs w:val="24"/>
        </w:rPr>
        <w:t xml:space="preserve"> mediante el </w:t>
      </w:r>
      <w:r w:rsidRPr="0089046B">
        <w:rPr>
          <w:rFonts w:ascii="Book Antiqua" w:hAnsi="Book Antiqua" w:cs="Book Antiqua"/>
          <w:sz w:val="24"/>
          <w:szCs w:val="24"/>
        </w:rPr>
        <w:t xml:space="preserve"> informe 1119-PLA-OI-2022 </w:t>
      </w:r>
      <w:r w:rsidR="009A4D61">
        <w:rPr>
          <w:rFonts w:ascii="Book Antiqua" w:hAnsi="Book Antiqua" w:cs="Book Antiqua"/>
          <w:sz w:val="24"/>
          <w:szCs w:val="24"/>
        </w:rPr>
        <w:t>que para efectos del presente oficio, se detallan las conclusiones a las cuales se determinó producto del análisis realizado</w:t>
      </w:r>
      <w:r w:rsidR="003C4676">
        <w:rPr>
          <w:rFonts w:ascii="Book Antiqua" w:hAnsi="Book Antiqua" w:cs="Book Antiqua"/>
          <w:sz w:val="24"/>
          <w:szCs w:val="24"/>
        </w:rPr>
        <w:t>:</w:t>
      </w:r>
    </w:p>
    <w:p w14:paraId="71E02454" w14:textId="77777777" w:rsidR="0089046B" w:rsidRDefault="0089046B" w:rsidP="00E122A3">
      <w:pPr>
        <w:jc w:val="both"/>
        <w:rPr>
          <w:rFonts w:ascii="Book Antiqua" w:hAnsi="Book Antiqua" w:cs="Book Antiqua"/>
          <w:sz w:val="24"/>
          <w:szCs w:val="24"/>
        </w:rPr>
      </w:pPr>
    </w:p>
    <w:p w14:paraId="1F3ECC75" w14:textId="407E2D2C" w:rsidR="009A4D61" w:rsidRPr="002A5912" w:rsidRDefault="00D67FA6" w:rsidP="009A4D61">
      <w:pPr>
        <w:pStyle w:val="Default"/>
        <w:jc w:val="both"/>
        <w:rPr>
          <w:i/>
          <w:iCs/>
          <w:sz w:val="23"/>
          <w:szCs w:val="23"/>
        </w:rPr>
      </w:pPr>
      <w:r w:rsidRPr="00D67FA6">
        <w:rPr>
          <w:sz w:val="23"/>
          <w:szCs w:val="23"/>
        </w:rPr>
        <w:t>“</w:t>
      </w:r>
      <w:r w:rsidR="009A4D61" w:rsidRPr="002A5912">
        <w:rPr>
          <w:b/>
          <w:bCs/>
          <w:i/>
          <w:iCs/>
          <w:sz w:val="23"/>
          <w:szCs w:val="23"/>
        </w:rPr>
        <w:t xml:space="preserve">4.1. </w:t>
      </w:r>
      <w:r w:rsidR="009A4D61" w:rsidRPr="002A5912">
        <w:rPr>
          <w:i/>
          <w:iCs/>
          <w:sz w:val="23"/>
          <w:szCs w:val="23"/>
        </w:rPr>
        <w:t xml:space="preserve">El Consejo Superior en sesión 48-2022 del 7 de junio de 2022, artículo XXXVIII, dispuso entre otras cosas que “g) El Subproceso de Organización Institucional de la Dirección de Planificación efectuará un seguimiento cuatro meses después de comunicado el presente acuerdo, para determinar el grado de aprovechamiento del recurso, así como el análisis de las plantillas indicadas en párrafos anteriores.”. </w:t>
      </w:r>
    </w:p>
    <w:p w14:paraId="473678B9" w14:textId="77777777" w:rsidR="009A4D61" w:rsidRPr="002A5912" w:rsidRDefault="009A4D61" w:rsidP="009A4D61">
      <w:pPr>
        <w:pStyle w:val="Default"/>
        <w:jc w:val="both"/>
        <w:rPr>
          <w:i/>
          <w:iCs/>
          <w:sz w:val="23"/>
          <w:szCs w:val="23"/>
        </w:rPr>
      </w:pPr>
      <w:r w:rsidRPr="002A5912">
        <w:rPr>
          <w:b/>
          <w:bCs/>
          <w:i/>
          <w:iCs/>
          <w:sz w:val="23"/>
          <w:szCs w:val="23"/>
        </w:rPr>
        <w:t xml:space="preserve">4.2. </w:t>
      </w:r>
      <w:r w:rsidRPr="002A5912">
        <w:rPr>
          <w:i/>
          <w:iCs/>
          <w:sz w:val="23"/>
          <w:szCs w:val="23"/>
        </w:rPr>
        <w:t xml:space="preserve">El mismo ente jerárquico comunica el acuerdo emitido por el Consejo Superior, en sesión 34-22 del 26 de abril de 2022, artículo XLV y dispuso: “1.) Dadas las necesidades del Juzgado Contravencional y de Menor Cuantía de Acosta, expuestas en el estudio de ambiente laboral, se dispone lo siguiente: solicitar a la Dirección de Planificación que revise de conformidad con el informe una actualización de las funciones y de la distribución de trabajo y si se requiere dotar de recurso o no en ese despacho.”, aspecto que se incorpora en el presente estudio. </w:t>
      </w:r>
    </w:p>
    <w:p w14:paraId="0FC23158" w14:textId="77777777" w:rsidR="009A4D61" w:rsidRPr="002A5912" w:rsidRDefault="009A4D61" w:rsidP="009A4D61">
      <w:pPr>
        <w:pStyle w:val="Default"/>
        <w:jc w:val="both"/>
        <w:rPr>
          <w:i/>
          <w:iCs/>
          <w:sz w:val="23"/>
          <w:szCs w:val="23"/>
        </w:rPr>
      </w:pPr>
      <w:r w:rsidRPr="002A5912">
        <w:rPr>
          <w:b/>
          <w:bCs/>
          <w:i/>
          <w:iCs/>
          <w:sz w:val="23"/>
          <w:szCs w:val="23"/>
        </w:rPr>
        <w:t xml:space="preserve">4.3. </w:t>
      </w:r>
      <w:r w:rsidRPr="002A5912">
        <w:rPr>
          <w:i/>
          <w:iCs/>
          <w:sz w:val="23"/>
          <w:szCs w:val="23"/>
        </w:rPr>
        <w:t xml:space="preserve">El Juzgado Contravencional de Acosta, cuenta con una estructura de apoyo conformada por una plaza de Coordinadora o Coordinador Judicial y dos plazas de Técnica o Técnico Judicial, con la particularidad de que una de ellas se dedica exclusivamente a la atención del público por una recomendación médico legal, razón por la que la tramitación de expedientes recae de manera exclusiva en el restante recurso técnico y la destacada propiamente en coordinación. </w:t>
      </w:r>
    </w:p>
    <w:p w14:paraId="27EBB22B" w14:textId="77777777" w:rsidR="009A4D61" w:rsidRPr="002A5912" w:rsidRDefault="009A4D61" w:rsidP="009A4D61">
      <w:pPr>
        <w:pStyle w:val="Default"/>
        <w:jc w:val="both"/>
        <w:rPr>
          <w:i/>
          <w:iCs/>
          <w:sz w:val="23"/>
          <w:szCs w:val="23"/>
        </w:rPr>
      </w:pPr>
      <w:r w:rsidRPr="002A5912">
        <w:rPr>
          <w:b/>
          <w:bCs/>
          <w:i/>
          <w:iCs/>
          <w:sz w:val="23"/>
          <w:szCs w:val="23"/>
        </w:rPr>
        <w:t xml:space="preserve">4.4. </w:t>
      </w:r>
      <w:r w:rsidRPr="002A5912">
        <w:rPr>
          <w:i/>
          <w:iCs/>
          <w:sz w:val="23"/>
          <w:szCs w:val="23"/>
        </w:rPr>
        <w:t xml:space="preserve">Producto de la distribución de funciones en la actualidad, la plaza coordinadora (fuera de todas las funciones administrativas propias de su puesto) tiene a su cargo el 19,85% del circulante total del despacho (298 expedientes), mientras que el recurso técnico destacado en tramitación, el restante 80,15% (1203). Consecuentemente, la segunda plaza técnica no muestra registro en vista de su condición médica actual. </w:t>
      </w:r>
    </w:p>
    <w:p w14:paraId="181EF41D" w14:textId="77777777" w:rsidR="009A4D61" w:rsidRPr="002A5912" w:rsidRDefault="009A4D61" w:rsidP="009A4D61">
      <w:pPr>
        <w:pStyle w:val="Default"/>
        <w:jc w:val="both"/>
        <w:rPr>
          <w:i/>
          <w:iCs/>
          <w:sz w:val="23"/>
          <w:szCs w:val="23"/>
        </w:rPr>
      </w:pPr>
      <w:r w:rsidRPr="002A5912">
        <w:rPr>
          <w:b/>
          <w:bCs/>
          <w:i/>
          <w:iCs/>
          <w:sz w:val="23"/>
          <w:szCs w:val="23"/>
        </w:rPr>
        <w:t xml:space="preserve">4.5. </w:t>
      </w:r>
      <w:r w:rsidRPr="002A5912">
        <w:rPr>
          <w:i/>
          <w:iCs/>
          <w:sz w:val="23"/>
          <w:szCs w:val="23"/>
        </w:rPr>
        <w:t xml:space="preserve">La plaza de Coordinadora Judicial posee un atraso bastante significativo particularmente en el tema de actualización de tarjetas de SDJ, que en sí es un control que el despacho lleva sobre los períodos que el demandado por Pensión Alimentaria va cancelando, donde vale la pena indicar que la actualización de una tarjeta de este tipo podría implicar el consumo de hasta veinte minutos, ya que datan de varios meses (abril para ser precisos), lo que conlleva a la actualización paralela del período completo a la fecha actual. </w:t>
      </w:r>
    </w:p>
    <w:p w14:paraId="7ABBFB0A" w14:textId="48D0E943" w:rsidR="0089046B" w:rsidRPr="002A5912" w:rsidRDefault="009A4D61" w:rsidP="009A4D61">
      <w:pPr>
        <w:jc w:val="both"/>
        <w:rPr>
          <w:rFonts w:ascii="Book Antiqua" w:hAnsi="Book Antiqua" w:cs="Book Antiqua"/>
          <w:i/>
          <w:iCs/>
          <w:sz w:val="24"/>
          <w:szCs w:val="24"/>
        </w:rPr>
      </w:pPr>
      <w:r w:rsidRPr="002A5912">
        <w:rPr>
          <w:b/>
          <w:bCs/>
          <w:i/>
          <w:iCs/>
          <w:sz w:val="23"/>
          <w:szCs w:val="23"/>
        </w:rPr>
        <w:t xml:space="preserve">4.6. </w:t>
      </w:r>
      <w:r w:rsidRPr="002A5912">
        <w:rPr>
          <w:i/>
          <w:iCs/>
          <w:sz w:val="23"/>
          <w:szCs w:val="23"/>
        </w:rPr>
        <w:t xml:space="preserve">En relación con el atraso indicado anteriormente, se requiere de aproximadamente un total de 28,3 días hábiles de trabajo, es decir, que una plaza dedicada exclusivamente a esa labor podría tardar aproximadamente un mes y quince días naturales para poner al día esa variable. </w:t>
      </w:r>
    </w:p>
    <w:p w14:paraId="16A6EEDF" w14:textId="77777777" w:rsidR="009A4D61" w:rsidRPr="002A5912" w:rsidRDefault="009A4D61" w:rsidP="009A4D61">
      <w:pPr>
        <w:pStyle w:val="Default"/>
        <w:jc w:val="both"/>
        <w:rPr>
          <w:i/>
          <w:iCs/>
          <w:sz w:val="23"/>
          <w:szCs w:val="23"/>
        </w:rPr>
      </w:pPr>
      <w:r w:rsidRPr="002A5912">
        <w:rPr>
          <w:b/>
          <w:bCs/>
          <w:i/>
          <w:iCs/>
          <w:sz w:val="23"/>
          <w:szCs w:val="23"/>
        </w:rPr>
        <w:t xml:space="preserve">4.7. </w:t>
      </w:r>
      <w:r w:rsidRPr="002A5912">
        <w:rPr>
          <w:i/>
          <w:iCs/>
          <w:sz w:val="23"/>
          <w:szCs w:val="23"/>
        </w:rPr>
        <w:t xml:space="preserve">La segunda plaza técnica no muestra atraso en la actualización de esa variable, toda vez que con base en el análisis de la herramienta denominada </w:t>
      </w:r>
      <w:r w:rsidRPr="002A5912">
        <w:rPr>
          <w:b/>
          <w:bCs/>
          <w:i/>
          <w:iCs/>
          <w:sz w:val="23"/>
          <w:szCs w:val="23"/>
        </w:rPr>
        <w:t>“Control de actividades efectuadas por el personal técnico del Juzgado Contravencional de Acosta fuera de jornada laboral”</w:t>
      </w:r>
      <w:r w:rsidRPr="002A5912">
        <w:rPr>
          <w:i/>
          <w:iCs/>
          <w:sz w:val="23"/>
          <w:szCs w:val="23"/>
        </w:rPr>
        <w:t xml:space="preserve">, que es un archivo en formato de Microsoft Excel, se pudo determinar que ese recurso utilizó 78,37 horas fuera de su jornada habitual de trabajo en actividades asociadas a trámites de </w:t>
      </w:r>
      <w:r w:rsidRPr="002A5912">
        <w:rPr>
          <w:i/>
          <w:iCs/>
          <w:sz w:val="23"/>
          <w:szCs w:val="23"/>
        </w:rPr>
        <w:lastRenderedPageBreak/>
        <w:t>expedientes de la oficina, lo que es equivalente a 9,8 días hábiles</w:t>
      </w:r>
      <w:r w:rsidRPr="002A5912">
        <w:rPr>
          <w:i/>
          <w:iCs/>
          <w:sz w:val="16"/>
          <w:szCs w:val="16"/>
        </w:rPr>
        <w:t>4</w:t>
      </w:r>
      <w:r w:rsidRPr="002A5912">
        <w:rPr>
          <w:i/>
          <w:iCs/>
          <w:sz w:val="23"/>
          <w:szCs w:val="23"/>
        </w:rPr>
        <w:t xml:space="preserve">, es decir, básicamente dos semanas completas de trabajo. </w:t>
      </w:r>
    </w:p>
    <w:p w14:paraId="1D269A7C" w14:textId="77777777" w:rsidR="009A4D61" w:rsidRPr="002A5912" w:rsidRDefault="009A4D61" w:rsidP="009A4D61">
      <w:pPr>
        <w:pStyle w:val="Default"/>
        <w:jc w:val="both"/>
        <w:rPr>
          <w:i/>
          <w:iCs/>
          <w:sz w:val="23"/>
          <w:szCs w:val="23"/>
        </w:rPr>
      </w:pPr>
      <w:r w:rsidRPr="002A5912">
        <w:rPr>
          <w:b/>
          <w:bCs/>
          <w:i/>
          <w:iCs/>
          <w:sz w:val="23"/>
          <w:szCs w:val="23"/>
        </w:rPr>
        <w:t xml:space="preserve">4.8. </w:t>
      </w:r>
      <w:r w:rsidRPr="002A5912">
        <w:rPr>
          <w:i/>
          <w:iCs/>
          <w:sz w:val="23"/>
          <w:szCs w:val="23"/>
        </w:rPr>
        <w:t xml:space="preserve">La dinámica más reciente respecto de la frecuencia de incapacidades del personal de apoyo que integra el Juzgado Contravencional de Acosta, indica que durante 2021 y a junio de 2022 (43 y 30 días de incapacidad respectivamente), presentan un rango que oscila de entre 4 y 6 días asociados a esa variable mensualmente, aspecto que para una oficina cuya naturaleza obedece al recibo y trámite de expedientes, que aunado a la falta de una plaza técnica en labores de tramitación, podría esperarse que al cabo del tiempo, presente un atraso en su gestión, así como inequidad en la distribución de cargas de trabajo tal y como se demostró en el desarrollo del informe. </w:t>
      </w:r>
    </w:p>
    <w:p w14:paraId="6D0146BC" w14:textId="77777777" w:rsidR="009A4D61" w:rsidRPr="002A5912" w:rsidRDefault="009A4D61" w:rsidP="009A4D61">
      <w:pPr>
        <w:pStyle w:val="Default"/>
        <w:jc w:val="both"/>
        <w:rPr>
          <w:i/>
          <w:iCs/>
          <w:sz w:val="23"/>
          <w:szCs w:val="23"/>
        </w:rPr>
      </w:pPr>
      <w:r w:rsidRPr="002A5912">
        <w:rPr>
          <w:b/>
          <w:bCs/>
          <w:i/>
          <w:iCs/>
          <w:sz w:val="23"/>
          <w:szCs w:val="23"/>
        </w:rPr>
        <w:t xml:space="preserve">4.9. </w:t>
      </w:r>
      <w:r w:rsidRPr="002A5912">
        <w:rPr>
          <w:i/>
          <w:iCs/>
          <w:sz w:val="23"/>
          <w:szCs w:val="23"/>
        </w:rPr>
        <w:t>Al efectuar una comparación en la distribución de funciones entre el Juzgado Contravencional de Acosta versus otras dependencias homólogas</w:t>
      </w:r>
      <w:r w:rsidRPr="002A5912">
        <w:rPr>
          <w:i/>
          <w:iCs/>
          <w:sz w:val="16"/>
          <w:szCs w:val="16"/>
        </w:rPr>
        <w:t xml:space="preserve">5 </w:t>
      </w:r>
      <w:r w:rsidRPr="002A5912">
        <w:rPr>
          <w:i/>
          <w:iCs/>
          <w:sz w:val="23"/>
          <w:szCs w:val="23"/>
        </w:rPr>
        <w:t xml:space="preserve">que cuentan con la misma cantidad de recurso humano (una plaza destacada en coordinación y dos técnicas o técnicos judiciales), se obtiene que: </w:t>
      </w:r>
    </w:p>
    <w:p w14:paraId="65038345" w14:textId="77777777" w:rsidR="009A4D61" w:rsidRPr="002A5912" w:rsidRDefault="009A4D61" w:rsidP="009A4D61">
      <w:pPr>
        <w:pStyle w:val="Default"/>
        <w:jc w:val="both"/>
        <w:rPr>
          <w:i/>
          <w:iCs/>
          <w:sz w:val="23"/>
          <w:szCs w:val="23"/>
        </w:rPr>
      </w:pPr>
      <w:r w:rsidRPr="002A5912">
        <w:rPr>
          <w:rFonts w:ascii="Wingdings" w:hAnsi="Wingdings" w:cs="Wingdings"/>
          <w:i/>
          <w:iCs/>
          <w:sz w:val="23"/>
          <w:szCs w:val="23"/>
        </w:rPr>
        <w:t>✓</w:t>
      </w:r>
      <w:r w:rsidRPr="002A5912">
        <w:rPr>
          <w:rFonts w:ascii="Wingdings" w:hAnsi="Wingdings" w:cs="Wingdings"/>
          <w:i/>
          <w:iCs/>
          <w:sz w:val="23"/>
          <w:szCs w:val="23"/>
        </w:rPr>
        <w:t></w:t>
      </w:r>
      <w:r w:rsidRPr="002A5912">
        <w:rPr>
          <w:i/>
          <w:iCs/>
          <w:sz w:val="23"/>
          <w:szCs w:val="23"/>
        </w:rPr>
        <w:t>En relación con las demás, el Juzgado de Acosta, es el único despacho que de manera exclusiva destaca una plaza en labores de manifestación</w:t>
      </w:r>
      <w:r w:rsidRPr="002A5912">
        <w:rPr>
          <w:i/>
          <w:iCs/>
          <w:sz w:val="16"/>
          <w:szCs w:val="16"/>
        </w:rPr>
        <w:t>6</w:t>
      </w:r>
      <w:r w:rsidRPr="002A5912">
        <w:rPr>
          <w:i/>
          <w:iCs/>
          <w:sz w:val="23"/>
          <w:szCs w:val="23"/>
        </w:rPr>
        <w:t xml:space="preserve">, tarea que es atendida a través de un rol, tal y como lo informan los restantes despachos. </w:t>
      </w:r>
    </w:p>
    <w:p w14:paraId="52CFDA56" w14:textId="77777777" w:rsidR="009A4D61" w:rsidRPr="002A5912" w:rsidRDefault="009A4D61" w:rsidP="009A4D61">
      <w:pPr>
        <w:pStyle w:val="Default"/>
        <w:jc w:val="both"/>
        <w:rPr>
          <w:i/>
          <w:iCs/>
          <w:sz w:val="23"/>
          <w:szCs w:val="23"/>
        </w:rPr>
      </w:pPr>
      <w:r w:rsidRPr="002A5912">
        <w:rPr>
          <w:rFonts w:ascii="Wingdings" w:hAnsi="Wingdings" w:cs="Wingdings"/>
          <w:i/>
          <w:iCs/>
          <w:sz w:val="23"/>
          <w:szCs w:val="23"/>
        </w:rPr>
        <w:t>✓</w:t>
      </w:r>
      <w:r w:rsidRPr="002A5912">
        <w:rPr>
          <w:rFonts w:ascii="Wingdings" w:hAnsi="Wingdings" w:cs="Wingdings"/>
          <w:i/>
          <w:iCs/>
          <w:sz w:val="23"/>
          <w:szCs w:val="23"/>
        </w:rPr>
        <w:t></w:t>
      </w:r>
      <w:r w:rsidRPr="002A5912">
        <w:rPr>
          <w:i/>
          <w:iCs/>
          <w:sz w:val="23"/>
          <w:szCs w:val="23"/>
        </w:rPr>
        <w:t xml:space="preserve">Ninguna plaza de coordinación se dedica exclusivamente a labores administrativas y prácticamente todas (excepto Jicaral) colabora en la tramitación de expedientes. </w:t>
      </w:r>
    </w:p>
    <w:p w14:paraId="0AF80124" w14:textId="77777777" w:rsidR="009A4D61" w:rsidRPr="002A5912" w:rsidRDefault="009A4D61" w:rsidP="009A4D61">
      <w:pPr>
        <w:pStyle w:val="Default"/>
        <w:jc w:val="both"/>
        <w:rPr>
          <w:i/>
          <w:iCs/>
          <w:sz w:val="23"/>
          <w:szCs w:val="23"/>
        </w:rPr>
      </w:pPr>
      <w:r w:rsidRPr="002A5912">
        <w:rPr>
          <w:rFonts w:ascii="Wingdings" w:hAnsi="Wingdings" w:cs="Wingdings"/>
          <w:i/>
          <w:iCs/>
          <w:sz w:val="23"/>
          <w:szCs w:val="23"/>
        </w:rPr>
        <w:t>✓</w:t>
      </w:r>
      <w:r w:rsidRPr="002A5912">
        <w:rPr>
          <w:rFonts w:ascii="Wingdings" w:hAnsi="Wingdings" w:cs="Wingdings"/>
          <w:i/>
          <w:iCs/>
          <w:sz w:val="23"/>
          <w:szCs w:val="23"/>
        </w:rPr>
        <w:t></w:t>
      </w:r>
      <w:r w:rsidRPr="002A5912">
        <w:rPr>
          <w:i/>
          <w:iCs/>
          <w:sz w:val="23"/>
          <w:szCs w:val="23"/>
        </w:rPr>
        <w:t xml:space="preserve">Acosta es el único en que la atención telefónica es delegada de manera exclusiva a una plaza (Coordinadora o Coordinador Judicial). </w:t>
      </w:r>
    </w:p>
    <w:p w14:paraId="1E976463" w14:textId="77777777" w:rsidR="009A4D61" w:rsidRPr="002A5912" w:rsidRDefault="009A4D61" w:rsidP="009A4D61">
      <w:pPr>
        <w:pStyle w:val="Default"/>
        <w:jc w:val="both"/>
        <w:rPr>
          <w:i/>
          <w:iCs/>
          <w:sz w:val="23"/>
          <w:szCs w:val="23"/>
        </w:rPr>
      </w:pPr>
      <w:r w:rsidRPr="002A5912">
        <w:rPr>
          <w:b/>
          <w:bCs/>
          <w:i/>
          <w:iCs/>
          <w:sz w:val="23"/>
          <w:szCs w:val="23"/>
        </w:rPr>
        <w:t xml:space="preserve">4.10. </w:t>
      </w:r>
      <w:r w:rsidRPr="002A5912">
        <w:rPr>
          <w:i/>
          <w:iCs/>
          <w:sz w:val="23"/>
          <w:szCs w:val="23"/>
        </w:rPr>
        <w:t xml:space="preserve">Destacar una plaza técnica en labores de manifestación de manera exclusiva en el Juzgado Contravencional de Acosta, está afectando la carga de trabajo no solo de la restante plaza técnica, sino también, de la Coordinadora o Coordinador Judicial de esa oficina. Prueba de ello, es que el recurso técnico tiene a su haber, la atención de un circulante de 1203 asuntos, por 594 que en su orden relativo ostenta por plaza, el despacho que ocupa la segunda posición (Montes de Oro), lo que refleja una diferencia absoluta de 609 asuntos. </w:t>
      </w:r>
    </w:p>
    <w:p w14:paraId="30F2E11D" w14:textId="77777777" w:rsidR="009A4D61" w:rsidRPr="002A5912" w:rsidRDefault="009A4D61" w:rsidP="009A4D61">
      <w:pPr>
        <w:pStyle w:val="Default"/>
        <w:jc w:val="both"/>
        <w:rPr>
          <w:i/>
          <w:iCs/>
          <w:sz w:val="23"/>
          <w:szCs w:val="23"/>
        </w:rPr>
      </w:pPr>
      <w:r w:rsidRPr="002A5912">
        <w:rPr>
          <w:b/>
          <w:bCs/>
          <w:i/>
          <w:iCs/>
          <w:sz w:val="23"/>
          <w:szCs w:val="23"/>
        </w:rPr>
        <w:t xml:space="preserve">4.11. </w:t>
      </w:r>
      <w:r w:rsidRPr="002A5912">
        <w:rPr>
          <w:i/>
          <w:iCs/>
          <w:sz w:val="23"/>
          <w:szCs w:val="23"/>
        </w:rPr>
        <w:t xml:space="preserve">Lo anterior significa que, para equiparar esa carga de trabajo, se requiere de la segunda plaza técnica, para alcanzar un valor de 602 asuntos por recurso, que, aun así, mantiene al Juzgado Contravencional de Acosta como la oficina con mayor volumen de trabajo (en circulante) respecto del restante de despachos analizados. </w:t>
      </w:r>
    </w:p>
    <w:p w14:paraId="70B2E362" w14:textId="77777777" w:rsidR="009A4D61" w:rsidRPr="002A5912" w:rsidRDefault="009A4D61" w:rsidP="009A4D61">
      <w:pPr>
        <w:pStyle w:val="Default"/>
        <w:jc w:val="both"/>
        <w:rPr>
          <w:i/>
          <w:iCs/>
          <w:sz w:val="23"/>
          <w:szCs w:val="23"/>
        </w:rPr>
      </w:pPr>
      <w:r w:rsidRPr="002A5912">
        <w:rPr>
          <w:b/>
          <w:bCs/>
          <w:i/>
          <w:iCs/>
          <w:sz w:val="23"/>
          <w:szCs w:val="23"/>
        </w:rPr>
        <w:t xml:space="preserve">4.12. </w:t>
      </w:r>
      <w:r w:rsidRPr="002A5912">
        <w:rPr>
          <w:i/>
          <w:iCs/>
          <w:sz w:val="23"/>
          <w:szCs w:val="23"/>
        </w:rPr>
        <w:t xml:space="preserve">La carga de trabajo que en la actualidad presenta la plaza de Coordinadora o Coordinador Judicial en el Juzgado de Acosta (fuera de todos las actividades administrativas bajo su responsabilidad), se refleja en un total de 298 asuntos, superando en aproximadamente 213 expedientes a su más cercano despacho (Zarcero) que ostenta un volumen de 85 expedientes por parte de ese tipo de recurso, aspecto que conlleva a valorar la necesaria posibilidad de equilibrar su carga de trabajo respecto de sus oficinas homólogas, lo que podría significar que deje de tramitar la materia Contravencional o bien, que se extraiga de sus tareas la atención del 50% de los apremios corporales de Pensiones Alimentaria, que significaría pasar de la carga mostrada anteriormente (298 asuntos) a un total sea de 116 o 182 expedientes según la decisión </w:t>
      </w:r>
      <w:r w:rsidRPr="002A5912">
        <w:rPr>
          <w:i/>
          <w:iCs/>
          <w:sz w:val="23"/>
          <w:szCs w:val="23"/>
        </w:rPr>
        <w:lastRenderedPageBreak/>
        <w:t xml:space="preserve">que se recomiende y que al igual que el recurso técnico, lo mantendría con el volumen de trabajo más elevado respecto a los juzgados analizados con la misma cantidad de recurso humano. </w:t>
      </w:r>
    </w:p>
    <w:p w14:paraId="00604302" w14:textId="0E1B429F" w:rsidR="0089046B" w:rsidRPr="002A5912" w:rsidRDefault="009A4D61" w:rsidP="009A4D61">
      <w:pPr>
        <w:jc w:val="both"/>
        <w:rPr>
          <w:i/>
          <w:iCs/>
          <w:sz w:val="23"/>
          <w:szCs w:val="23"/>
        </w:rPr>
      </w:pPr>
      <w:r w:rsidRPr="002A5912">
        <w:rPr>
          <w:b/>
          <w:bCs/>
          <w:i/>
          <w:iCs/>
          <w:sz w:val="23"/>
          <w:szCs w:val="23"/>
        </w:rPr>
        <w:t xml:space="preserve">4.13. </w:t>
      </w:r>
      <w:r w:rsidRPr="002A5912">
        <w:rPr>
          <w:i/>
          <w:iCs/>
          <w:sz w:val="23"/>
          <w:szCs w:val="23"/>
        </w:rPr>
        <w:t xml:space="preserve">Existe preocupación por parte de la Jueza Coordinadora del despacho en torno a la situación que viene presentando históricamente la oficina a su cargo, por lo que ha solicitado la intervención a través de diferentes solicitudes ante el Consejo Superior, o bien, al algunas dependencias administrativas dentro de las que destaca la Dirección de Planificación y el Centro de Apoyo, Coordinación y Mejoramiento de la Función Jurisdiccional, para obtener colaboración y una solución a la problemática identificada por la inequidad de cargas de trabajo y mejora en la distribución de funciones en ese recinto judicial. </w:t>
      </w:r>
    </w:p>
    <w:p w14:paraId="08F9D9E9" w14:textId="77777777" w:rsidR="009A4D61" w:rsidRPr="002A5912" w:rsidRDefault="009A4D61" w:rsidP="009A4D61">
      <w:pPr>
        <w:pStyle w:val="Default"/>
        <w:jc w:val="both"/>
        <w:rPr>
          <w:i/>
          <w:iCs/>
          <w:sz w:val="23"/>
          <w:szCs w:val="23"/>
        </w:rPr>
      </w:pPr>
      <w:r w:rsidRPr="002A5912">
        <w:rPr>
          <w:b/>
          <w:bCs/>
          <w:i/>
          <w:iCs/>
          <w:sz w:val="23"/>
          <w:szCs w:val="23"/>
        </w:rPr>
        <w:t xml:space="preserve">4.14. </w:t>
      </w:r>
      <w:r w:rsidRPr="002A5912">
        <w:rPr>
          <w:i/>
          <w:iCs/>
          <w:sz w:val="23"/>
          <w:szCs w:val="23"/>
        </w:rPr>
        <w:t xml:space="preserve">Existen antecedentes médicos que respaldan que la condición de salud de la plaza técnica judicial que se ha venido mencionado en el presente estudio, no puede integrarse a la tramitación de expediente judiciales y se identifican por los siguientes documentos (Informe Médico N°2021-0001971, en donde se incorpora el criterio vertido por el Médico Especialista en Psiquiatría, Informe Médico N°2021-0002363 (ampliación del indicado anteriormente), a lo que debe sumarse que esa colaboradora judicial fue incorporada al Programa de Adaptación al Puesto y Reubicación Laboral, puesto en conocimiento mediante oficio 055-PALAB-2022 de la Dirección de Gestión Humana. </w:t>
      </w:r>
    </w:p>
    <w:p w14:paraId="74298194" w14:textId="77777777" w:rsidR="009A4D61" w:rsidRPr="002A5912" w:rsidRDefault="009A4D61" w:rsidP="009A4D61">
      <w:pPr>
        <w:pStyle w:val="Default"/>
        <w:jc w:val="both"/>
        <w:rPr>
          <w:i/>
          <w:iCs/>
          <w:sz w:val="23"/>
          <w:szCs w:val="23"/>
        </w:rPr>
      </w:pPr>
      <w:r w:rsidRPr="002A5912">
        <w:rPr>
          <w:b/>
          <w:bCs/>
          <w:i/>
          <w:iCs/>
          <w:sz w:val="23"/>
          <w:szCs w:val="23"/>
        </w:rPr>
        <w:t xml:space="preserve">4.15. </w:t>
      </w:r>
      <w:r w:rsidRPr="002A5912">
        <w:rPr>
          <w:i/>
          <w:iCs/>
          <w:sz w:val="23"/>
          <w:szCs w:val="23"/>
        </w:rPr>
        <w:t xml:space="preserve">En virtud de los hallazgos mostrados en el presente estudio, donde se destaca la condición médica de una de las plazas técnicas del Juzgado Contravencional de Acosta, así como el análisis de otras variables estadísticas de interés, se consultó al licenciado Mariano Rodríguez Flores, Jefe del Área de Gestión y Apoyo del Centro de Apoyo, Coordinación y Mejoramiento de la Función Jurisdiccional, sobre la posibilidad de que el recurso supernumerario que actualmente destacan dos días a la semana en el Juzgado de Acosta, pueda sumarse más bien de manera permanente, hasta tanto mejore el tema de salud del recurso técnico indicado anteriormente. Al respecto, se autorizó la designación del recurso Supernumerario plaza Nº350170, ocupada en propiedad por Elías Álvarez Calderón, para que asuma labores de colaboración de lunes a viernes en el Juzgado Contravencional de Acosta. </w:t>
      </w:r>
    </w:p>
    <w:p w14:paraId="775D04F8" w14:textId="77777777" w:rsidR="009A4D61" w:rsidRPr="002A5912" w:rsidRDefault="009A4D61" w:rsidP="009A4D61">
      <w:pPr>
        <w:pStyle w:val="Default"/>
        <w:jc w:val="both"/>
        <w:rPr>
          <w:i/>
          <w:iCs/>
          <w:sz w:val="23"/>
          <w:szCs w:val="23"/>
        </w:rPr>
      </w:pPr>
      <w:r w:rsidRPr="002A5912">
        <w:rPr>
          <w:b/>
          <w:bCs/>
          <w:i/>
          <w:iCs/>
          <w:sz w:val="23"/>
          <w:szCs w:val="23"/>
        </w:rPr>
        <w:t xml:space="preserve">4.16. </w:t>
      </w:r>
      <w:r w:rsidRPr="002A5912">
        <w:rPr>
          <w:i/>
          <w:iCs/>
          <w:sz w:val="23"/>
          <w:szCs w:val="23"/>
        </w:rPr>
        <w:t xml:space="preserve">Respecto a la creación de recurso humano producto de estudios o diagnósticos, existes directrices jerárquicas a nivel institucional, tales como: </w:t>
      </w:r>
    </w:p>
    <w:p w14:paraId="4694A830" w14:textId="77777777" w:rsidR="009A4D61" w:rsidRPr="002A5912" w:rsidRDefault="009A4D61" w:rsidP="009A4D61">
      <w:pPr>
        <w:pStyle w:val="Default"/>
        <w:numPr>
          <w:ilvl w:val="0"/>
          <w:numId w:val="28"/>
        </w:numPr>
        <w:jc w:val="both"/>
        <w:rPr>
          <w:i/>
          <w:iCs/>
          <w:sz w:val="23"/>
          <w:szCs w:val="23"/>
        </w:rPr>
      </w:pPr>
      <w:r w:rsidRPr="002A5912">
        <w:rPr>
          <w:i/>
          <w:iCs/>
          <w:sz w:val="23"/>
          <w:szCs w:val="23"/>
        </w:rPr>
        <w:t xml:space="preserve">a. En lo que respecta a la creación de plazas, la Corte Plena aprobó en sesión N°54-2019 del 18 de diciembre de 2019, artículo único, no crear plazas nuevas y valorar únicamente la condición y continuidad de las plazas extraordinarias existentes. </w:t>
      </w:r>
    </w:p>
    <w:p w14:paraId="6C686BFB" w14:textId="77777777" w:rsidR="009A4D61" w:rsidRPr="002A5912" w:rsidRDefault="009A4D61" w:rsidP="009A4D61">
      <w:pPr>
        <w:pStyle w:val="Default"/>
        <w:numPr>
          <w:ilvl w:val="0"/>
          <w:numId w:val="29"/>
        </w:numPr>
        <w:jc w:val="both"/>
        <w:rPr>
          <w:i/>
          <w:iCs/>
          <w:sz w:val="23"/>
          <w:szCs w:val="23"/>
        </w:rPr>
      </w:pPr>
      <w:r w:rsidRPr="002A5912">
        <w:rPr>
          <w:i/>
          <w:iCs/>
          <w:sz w:val="23"/>
          <w:szCs w:val="23"/>
        </w:rPr>
        <w:t xml:space="preserve">b. La Dirección de Planificación estudiará las estructuras administrativas de los diferentes programas para determinar si desarrollan labores duplicadas o paralelas y redistribuir el recurso. </w:t>
      </w:r>
    </w:p>
    <w:p w14:paraId="3E2C561B" w14:textId="54602372" w:rsidR="009A4D61" w:rsidRPr="009A4D61" w:rsidRDefault="009A4D61" w:rsidP="009A4D61">
      <w:pPr>
        <w:pStyle w:val="Default"/>
        <w:jc w:val="both"/>
        <w:rPr>
          <w:i/>
          <w:iCs/>
          <w:sz w:val="23"/>
          <w:szCs w:val="23"/>
        </w:rPr>
      </w:pPr>
      <w:r w:rsidRPr="002A5912">
        <w:rPr>
          <w:i/>
          <w:iCs/>
          <w:sz w:val="23"/>
          <w:szCs w:val="23"/>
        </w:rPr>
        <w:t xml:space="preserve">c. La Dirección de Planificación se abocará a realizar estudios donde potenciará la reorganización y el rediseño de los procesos para estandarizarlos. En los estudios de reorganización, implementará modelos eficientes, que faciliten la toma de decisiones; lejos de contemplar la creación de nuevas plazas, se harán propuestas con las existentes y se identificarán los recursos ociosos para trasladarlos a áreas de trabajo donde se requieran. De igual manera, el personal </w:t>
      </w:r>
      <w:r w:rsidRPr="009A4D61">
        <w:rPr>
          <w:i/>
          <w:iCs/>
          <w:sz w:val="23"/>
          <w:szCs w:val="23"/>
        </w:rPr>
        <w:t xml:space="preserve">de los despachos propiciará nuevas formas de organización y buenas prácticas de gestión. </w:t>
      </w:r>
    </w:p>
    <w:p w14:paraId="268F0042" w14:textId="77777777" w:rsidR="009A4D61" w:rsidRPr="009A4D61" w:rsidRDefault="009A4D61" w:rsidP="009A4D61">
      <w:pPr>
        <w:numPr>
          <w:ilvl w:val="0"/>
          <w:numId w:val="32"/>
        </w:numPr>
        <w:autoSpaceDE w:val="0"/>
        <w:autoSpaceDN w:val="0"/>
        <w:adjustRightInd w:val="0"/>
        <w:jc w:val="both"/>
        <w:rPr>
          <w:rFonts w:ascii="Calibri" w:eastAsiaTheme="minorHAnsi" w:hAnsi="Calibri" w:cs="Calibri"/>
          <w:i/>
          <w:iCs/>
          <w:color w:val="000000"/>
          <w:sz w:val="23"/>
          <w:szCs w:val="23"/>
          <w:lang w:eastAsia="en-US"/>
        </w:rPr>
      </w:pPr>
      <w:r w:rsidRPr="009A4D61">
        <w:rPr>
          <w:rFonts w:ascii="Calibri" w:eastAsiaTheme="minorHAnsi" w:hAnsi="Calibri" w:cs="Calibri"/>
          <w:i/>
          <w:iCs/>
          <w:color w:val="000000"/>
          <w:sz w:val="23"/>
          <w:szCs w:val="23"/>
          <w:lang w:eastAsia="en-US"/>
        </w:rPr>
        <w:lastRenderedPageBreak/>
        <w:t xml:space="preserve">d. Finalmente, mediante Circular Externa 11-2021 “Formulación del Anteproyecto de Presupuesto 2023”, se informaron la Directrices Técnicas para la Formulación del Anteproyecto de Presupuesto 2023 aprobadas por el Consejo Superior en la sesión 103-2021, artículo XXV, del 01 de diciembre del 2021, sobre la creación de plazas, se reiteró, no crear plazas nuevas y valorar únicamente la condición y continuidad de las plazas extraordinarias existentes. </w:t>
      </w:r>
    </w:p>
    <w:p w14:paraId="27E13959" w14:textId="77777777" w:rsidR="009A4D61" w:rsidRPr="009A4D61" w:rsidRDefault="009A4D61" w:rsidP="009A4D61">
      <w:pPr>
        <w:autoSpaceDE w:val="0"/>
        <w:autoSpaceDN w:val="0"/>
        <w:adjustRightInd w:val="0"/>
        <w:jc w:val="both"/>
        <w:rPr>
          <w:rFonts w:ascii="Calibri" w:eastAsiaTheme="minorHAnsi" w:hAnsi="Calibri" w:cs="Calibri"/>
          <w:i/>
          <w:iCs/>
          <w:color w:val="000000"/>
          <w:sz w:val="23"/>
          <w:szCs w:val="23"/>
          <w:lang w:eastAsia="en-US"/>
        </w:rPr>
      </w:pPr>
      <w:r w:rsidRPr="009A4D61">
        <w:rPr>
          <w:rFonts w:ascii="Calibri" w:eastAsiaTheme="minorHAnsi" w:hAnsi="Calibri" w:cs="Calibri"/>
          <w:b/>
          <w:bCs/>
          <w:i/>
          <w:iCs/>
          <w:color w:val="000000"/>
          <w:sz w:val="23"/>
          <w:szCs w:val="23"/>
          <w:lang w:eastAsia="en-US"/>
        </w:rPr>
        <w:t xml:space="preserve">4.17. </w:t>
      </w:r>
      <w:r w:rsidRPr="009A4D61">
        <w:rPr>
          <w:rFonts w:ascii="Calibri" w:eastAsiaTheme="minorHAnsi" w:hAnsi="Calibri" w:cs="Calibri"/>
          <w:i/>
          <w:iCs/>
          <w:color w:val="000000"/>
          <w:sz w:val="23"/>
          <w:szCs w:val="23"/>
          <w:lang w:eastAsia="en-US"/>
        </w:rPr>
        <w:t xml:space="preserve">En la actualidad, el despacho aplica la práctica de llamar anticipadamente a las partes que tengan audiencia programada, con miras a garantizar su participación en la diligencia y, por ende, mantener adecuados porcentajes de realización de esa diligencia en sí. </w:t>
      </w:r>
    </w:p>
    <w:p w14:paraId="0661C4CE" w14:textId="77777777" w:rsidR="009A4D61" w:rsidRPr="009A4D61" w:rsidRDefault="009A4D61" w:rsidP="009A4D61">
      <w:pPr>
        <w:autoSpaceDE w:val="0"/>
        <w:autoSpaceDN w:val="0"/>
        <w:adjustRightInd w:val="0"/>
        <w:jc w:val="both"/>
        <w:rPr>
          <w:rFonts w:ascii="Calibri" w:eastAsiaTheme="minorHAnsi" w:hAnsi="Calibri" w:cs="Calibri"/>
          <w:i/>
          <w:iCs/>
          <w:color w:val="000000"/>
          <w:sz w:val="23"/>
          <w:szCs w:val="23"/>
          <w:lang w:eastAsia="en-US"/>
        </w:rPr>
      </w:pPr>
      <w:r w:rsidRPr="009A4D61">
        <w:rPr>
          <w:rFonts w:ascii="Calibri" w:eastAsiaTheme="minorHAnsi" w:hAnsi="Calibri" w:cs="Calibri"/>
          <w:b/>
          <w:bCs/>
          <w:i/>
          <w:iCs/>
          <w:color w:val="000000"/>
          <w:sz w:val="23"/>
          <w:szCs w:val="23"/>
          <w:lang w:eastAsia="en-US"/>
        </w:rPr>
        <w:t xml:space="preserve">4.18. </w:t>
      </w:r>
      <w:r w:rsidRPr="009A4D61">
        <w:rPr>
          <w:rFonts w:ascii="Calibri" w:eastAsiaTheme="minorHAnsi" w:hAnsi="Calibri" w:cs="Calibri"/>
          <w:i/>
          <w:iCs/>
          <w:color w:val="000000"/>
          <w:sz w:val="23"/>
          <w:szCs w:val="23"/>
          <w:lang w:eastAsia="en-US"/>
        </w:rPr>
        <w:t xml:space="preserve">De manera adicional, por un tema de acceso a la justicia, se puede sugerir la implementación de nuevas dinámicas para aumentar esa participación en las audiencias, por ejemplo, mediante un enlace virtual a través del programa Microsoft Teams, que no requiere que el usuario tenga instalado ese programa, sino, basta con facilitar un correo electrónico para remitir el respectivo enlace a la audiencia programada. </w:t>
      </w:r>
    </w:p>
    <w:p w14:paraId="6FC7D286" w14:textId="77777777" w:rsidR="009A4D61" w:rsidRPr="009A4D61" w:rsidRDefault="009A4D61" w:rsidP="009A4D61">
      <w:pPr>
        <w:autoSpaceDE w:val="0"/>
        <w:autoSpaceDN w:val="0"/>
        <w:adjustRightInd w:val="0"/>
        <w:jc w:val="both"/>
        <w:rPr>
          <w:rFonts w:ascii="Calibri" w:eastAsiaTheme="minorHAnsi" w:hAnsi="Calibri" w:cs="Calibri"/>
          <w:i/>
          <w:iCs/>
          <w:color w:val="000000"/>
          <w:sz w:val="23"/>
          <w:szCs w:val="23"/>
          <w:lang w:eastAsia="en-US"/>
        </w:rPr>
      </w:pPr>
      <w:r w:rsidRPr="009A4D61">
        <w:rPr>
          <w:rFonts w:ascii="Calibri" w:eastAsiaTheme="minorHAnsi" w:hAnsi="Calibri" w:cs="Calibri"/>
          <w:b/>
          <w:bCs/>
          <w:i/>
          <w:iCs/>
          <w:color w:val="000000"/>
          <w:sz w:val="23"/>
          <w:szCs w:val="23"/>
          <w:lang w:eastAsia="en-US"/>
        </w:rPr>
        <w:t xml:space="preserve">4.19. </w:t>
      </w:r>
      <w:r w:rsidRPr="009A4D61">
        <w:rPr>
          <w:rFonts w:ascii="Calibri" w:eastAsiaTheme="minorHAnsi" w:hAnsi="Calibri" w:cs="Calibri"/>
          <w:i/>
          <w:iCs/>
          <w:color w:val="000000"/>
          <w:sz w:val="23"/>
          <w:szCs w:val="23"/>
          <w:lang w:eastAsia="en-US"/>
        </w:rPr>
        <w:t xml:space="preserve">El presente estudio se relaciona con los ejes del Plan Estratégico Institucional denominados Gestión de Personal y Planificación Institucional. </w:t>
      </w:r>
    </w:p>
    <w:p w14:paraId="09157BBC" w14:textId="67C55ACC" w:rsidR="009A4D61" w:rsidRPr="002A5912" w:rsidRDefault="009A4D61" w:rsidP="009A4D61">
      <w:pPr>
        <w:pStyle w:val="Default"/>
        <w:numPr>
          <w:ilvl w:val="0"/>
          <w:numId w:val="30"/>
        </w:numPr>
        <w:jc w:val="both"/>
        <w:rPr>
          <w:i/>
          <w:iCs/>
          <w:sz w:val="23"/>
          <w:szCs w:val="23"/>
        </w:rPr>
      </w:pPr>
      <w:r w:rsidRPr="009A4D61">
        <w:rPr>
          <w:b/>
          <w:bCs/>
          <w:i/>
          <w:iCs/>
          <w:sz w:val="23"/>
          <w:szCs w:val="23"/>
        </w:rPr>
        <w:t xml:space="preserve">4.20. </w:t>
      </w:r>
      <w:r w:rsidRPr="009A4D61">
        <w:rPr>
          <w:i/>
          <w:iCs/>
          <w:sz w:val="23"/>
          <w:szCs w:val="23"/>
        </w:rPr>
        <w:t>Mantener una de las dos plazas técnicas del Juzgado Contravencional de Acosta exclusivamente en labores de tramitación por recomendación médica, repercute en una inequidad de cargas de trabajo a lo interno de la oficina, criterio que se fortalece al efectuar un ejercicio comparativo de la asignación de expedientes entre las plazas que se dedican a la tramitación de esta oficina versus otros despachos homólogos que operan en condición idéntica a la cantidad de recurso humano de apoyo (dos plazas técnicas y una de coordinación).</w:t>
      </w:r>
      <w:r w:rsidR="002A5912">
        <w:rPr>
          <w:i/>
          <w:iCs/>
          <w:sz w:val="23"/>
          <w:szCs w:val="23"/>
        </w:rPr>
        <w:t>”</w:t>
      </w:r>
      <w:r w:rsidR="00D67FA6">
        <w:rPr>
          <w:i/>
          <w:iCs/>
          <w:sz w:val="23"/>
          <w:szCs w:val="23"/>
        </w:rPr>
        <w:t>.</w:t>
      </w:r>
    </w:p>
    <w:p w14:paraId="46D792D8" w14:textId="77777777" w:rsidR="009A4D61" w:rsidRPr="002A5912" w:rsidRDefault="009A4D61" w:rsidP="009A4D61">
      <w:pPr>
        <w:jc w:val="both"/>
        <w:rPr>
          <w:rFonts w:ascii="Book Antiqua" w:hAnsi="Book Antiqua" w:cs="Book Antiqua"/>
          <w:i/>
          <w:iCs/>
          <w:sz w:val="24"/>
          <w:szCs w:val="24"/>
        </w:rPr>
      </w:pPr>
    </w:p>
    <w:p w14:paraId="57DCACE5" w14:textId="1DE7AD15" w:rsidR="00A06FBA" w:rsidRDefault="002A5912" w:rsidP="004B733F">
      <w:pPr>
        <w:jc w:val="both"/>
        <w:rPr>
          <w:rFonts w:ascii="Book Antiqua" w:hAnsi="Book Antiqua" w:cs="Book Antiqua"/>
          <w:sz w:val="24"/>
          <w:szCs w:val="24"/>
        </w:rPr>
      </w:pPr>
      <w:r>
        <w:rPr>
          <w:rFonts w:ascii="Book Antiqua" w:hAnsi="Book Antiqua" w:cs="Book Antiqua"/>
          <w:sz w:val="24"/>
          <w:szCs w:val="24"/>
        </w:rPr>
        <w:t xml:space="preserve">En razón de lo anterior, el Consejo Superior </w:t>
      </w:r>
      <w:r w:rsidR="004B733F">
        <w:rPr>
          <w:rFonts w:ascii="Book Antiqua" w:hAnsi="Book Antiqua" w:cs="Book Antiqua"/>
          <w:sz w:val="24"/>
          <w:szCs w:val="24"/>
        </w:rPr>
        <w:t>acogió las</w:t>
      </w:r>
      <w:r w:rsidR="003C4676">
        <w:rPr>
          <w:rFonts w:ascii="Book Antiqua" w:hAnsi="Book Antiqua" w:cs="Book Antiqua"/>
          <w:sz w:val="24"/>
          <w:szCs w:val="24"/>
        </w:rPr>
        <w:t xml:space="preserve"> conclusiones y</w:t>
      </w:r>
      <w:r w:rsidR="004B733F">
        <w:rPr>
          <w:rFonts w:ascii="Book Antiqua" w:hAnsi="Book Antiqua" w:cs="Book Antiqua"/>
          <w:sz w:val="24"/>
          <w:szCs w:val="24"/>
        </w:rPr>
        <w:t xml:space="preserve"> recomendaciones emitidas en el referido informe y procedió a </w:t>
      </w:r>
      <w:r w:rsidR="00A06FBA">
        <w:rPr>
          <w:rFonts w:ascii="Book Antiqua" w:hAnsi="Book Antiqua" w:cs="Book Antiqua"/>
          <w:sz w:val="24"/>
          <w:szCs w:val="24"/>
        </w:rPr>
        <w:t xml:space="preserve">solicitar a la </w:t>
      </w:r>
      <w:r w:rsidR="004B733F" w:rsidRPr="004B733F">
        <w:rPr>
          <w:rFonts w:ascii="Book Antiqua" w:hAnsi="Book Antiqua" w:cs="Book Antiqua"/>
          <w:sz w:val="24"/>
          <w:szCs w:val="24"/>
        </w:rPr>
        <w:t>Dirección de Planificación incluir en el ejercicio de formulación presupuestaria para el año 2024, el estudio para la eventual inclusión de una plaza de Técnica o Técnico Judicial 1 de manera extraordinaria para el Juzgado Contravencional de Acosta, por el periodo de un año</w:t>
      </w:r>
      <w:r w:rsidR="00A06FBA">
        <w:rPr>
          <w:rFonts w:ascii="Book Antiqua" w:hAnsi="Book Antiqua" w:cs="Book Antiqua"/>
          <w:sz w:val="24"/>
          <w:szCs w:val="24"/>
        </w:rPr>
        <w:t>.</w:t>
      </w:r>
    </w:p>
    <w:p w14:paraId="36CBEFD6" w14:textId="77777777" w:rsidR="00A06FBA" w:rsidRDefault="00A06FBA" w:rsidP="004B733F">
      <w:pPr>
        <w:jc w:val="both"/>
        <w:rPr>
          <w:rFonts w:ascii="Book Antiqua" w:hAnsi="Book Antiqua" w:cs="Book Antiqua"/>
          <w:sz w:val="24"/>
          <w:szCs w:val="24"/>
        </w:rPr>
      </w:pPr>
    </w:p>
    <w:p w14:paraId="395A152F" w14:textId="42C642B6" w:rsidR="004B733F" w:rsidRPr="004B733F" w:rsidRDefault="00A06FBA" w:rsidP="00A06FBA">
      <w:pPr>
        <w:jc w:val="both"/>
        <w:rPr>
          <w:rFonts w:ascii="Book Antiqua" w:hAnsi="Book Antiqua" w:cs="Book Antiqua"/>
          <w:sz w:val="24"/>
          <w:szCs w:val="24"/>
        </w:rPr>
      </w:pPr>
      <w:r>
        <w:rPr>
          <w:rFonts w:ascii="Book Antiqua" w:hAnsi="Book Antiqua" w:cs="Book Antiqua"/>
          <w:sz w:val="24"/>
          <w:szCs w:val="24"/>
        </w:rPr>
        <w:t xml:space="preserve">El recurso se recomienda dada </w:t>
      </w:r>
      <w:r w:rsidR="004B733F" w:rsidRPr="004B733F">
        <w:rPr>
          <w:rFonts w:ascii="Book Antiqua" w:hAnsi="Book Antiqua" w:cs="Book Antiqua"/>
          <w:sz w:val="24"/>
          <w:szCs w:val="24"/>
        </w:rPr>
        <w:t>la necesidad de una segunda plaza técnica en la tramitación de expedientes hasta tanto mejoren las condiciones de salud de uno de los recursos técnicos de planta en la oficina (que se puede destacar de momento exclusivamente en labores de manifestación), y por otra</w:t>
      </w:r>
      <w:r>
        <w:rPr>
          <w:rFonts w:ascii="Book Antiqua" w:hAnsi="Book Antiqua" w:cs="Book Antiqua"/>
          <w:sz w:val="24"/>
          <w:szCs w:val="24"/>
        </w:rPr>
        <w:t xml:space="preserve"> parte</w:t>
      </w:r>
      <w:r w:rsidR="004B733F" w:rsidRPr="004B733F">
        <w:rPr>
          <w:rFonts w:ascii="Book Antiqua" w:hAnsi="Book Antiqua" w:cs="Book Antiqua"/>
          <w:sz w:val="24"/>
          <w:szCs w:val="24"/>
        </w:rPr>
        <w:t>, que la permanencia del recurso facilitado para asumir esas tareas, por su naturaleza y fines de su creación, no debería permanecer de manera permanente en ese despacho.</w:t>
      </w:r>
    </w:p>
    <w:p w14:paraId="11748657" w14:textId="3E5269BC" w:rsidR="009A4D61" w:rsidRDefault="009A4D61" w:rsidP="00E122A3">
      <w:pPr>
        <w:jc w:val="both"/>
        <w:rPr>
          <w:rFonts w:ascii="Book Antiqua" w:hAnsi="Book Antiqua" w:cs="Book Antiqua"/>
          <w:sz w:val="24"/>
          <w:szCs w:val="24"/>
        </w:rPr>
      </w:pPr>
    </w:p>
    <w:p w14:paraId="7AAF18A0" w14:textId="741691F4" w:rsidR="009A4D61" w:rsidRPr="00A06FBA" w:rsidRDefault="00A06FBA" w:rsidP="00A06FBA">
      <w:pPr>
        <w:pStyle w:val="Prrafodelista"/>
        <w:numPr>
          <w:ilvl w:val="0"/>
          <w:numId w:val="35"/>
        </w:numPr>
        <w:jc w:val="both"/>
        <w:rPr>
          <w:rFonts w:ascii="Book Antiqua" w:hAnsi="Book Antiqua" w:cs="Book Antiqua"/>
          <w:b/>
          <w:bCs/>
        </w:rPr>
      </w:pPr>
      <w:r w:rsidRPr="00A06FBA">
        <w:rPr>
          <w:rFonts w:ascii="Book Antiqua" w:hAnsi="Book Antiqua" w:cs="Book Antiqua"/>
          <w:b/>
          <w:bCs/>
        </w:rPr>
        <w:t>Impacto presupuestario.-</w:t>
      </w:r>
    </w:p>
    <w:p w14:paraId="7463176F" w14:textId="77777777" w:rsidR="009A4D61" w:rsidRDefault="009A4D61" w:rsidP="00E122A3">
      <w:pPr>
        <w:jc w:val="both"/>
        <w:rPr>
          <w:rFonts w:ascii="Book Antiqua" w:hAnsi="Book Antiqua" w:cs="Book Antiqua"/>
          <w:sz w:val="24"/>
          <w:szCs w:val="24"/>
        </w:rPr>
      </w:pPr>
    </w:p>
    <w:p w14:paraId="34B6FD6C" w14:textId="60C13506" w:rsidR="00BF7A3E" w:rsidRDefault="00BF7A3E" w:rsidP="00E122A3">
      <w:pPr>
        <w:jc w:val="both"/>
        <w:rPr>
          <w:rFonts w:ascii="Book Antiqua" w:hAnsi="Book Antiqua" w:cs="Book Antiqua"/>
          <w:sz w:val="24"/>
          <w:szCs w:val="24"/>
        </w:rPr>
      </w:pPr>
      <w:r>
        <w:rPr>
          <w:rFonts w:ascii="Book Antiqua" w:hAnsi="Book Antiqua" w:cs="Book Antiqua"/>
          <w:sz w:val="24"/>
          <w:szCs w:val="24"/>
        </w:rPr>
        <w:t xml:space="preserve">De acuerdo con </w:t>
      </w:r>
      <w:r w:rsidR="003C4676">
        <w:rPr>
          <w:rFonts w:ascii="Book Antiqua" w:hAnsi="Book Antiqua" w:cs="Book Antiqua"/>
          <w:sz w:val="24"/>
          <w:szCs w:val="24"/>
        </w:rPr>
        <w:t>lo expuesto y ante la eventualidad de</w:t>
      </w:r>
      <w:r w:rsidR="00B1384D">
        <w:rPr>
          <w:rFonts w:ascii="Book Antiqua" w:hAnsi="Book Antiqua" w:cs="Book Antiqua"/>
          <w:sz w:val="24"/>
          <w:szCs w:val="24"/>
        </w:rPr>
        <w:t xml:space="preserve"> la asignación de</w:t>
      </w:r>
      <w:r w:rsidR="003C4676">
        <w:rPr>
          <w:rFonts w:ascii="Book Antiqua" w:hAnsi="Book Antiqua" w:cs="Book Antiqua"/>
          <w:sz w:val="24"/>
          <w:szCs w:val="24"/>
        </w:rPr>
        <w:t>l</w:t>
      </w:r>
      <w:r w:rsidR="00B1384D">
        <w:rPr>
          <w:rFonts w:ascii="Book Antiqua" w:hAnsi="Book Antiqua" w:cs="Book Antiqua"/>
          <w:sz w:val="24"/>
          <w:szCs w:val="24"/>
        </w:rPr>
        <w:t xml:space="preserve"> recurso</w:t>
      </w:r>
      <w:r w:rsidR="003C4676">
        <w:rPr>
          <w:rFonts w:ascii="Book Antiqua" w:hAnsi="Book Antiqua" w:cs="Book Antiqua"/>
          <w:sz w:val="24"/>
          <w:szCs w:val="24"/>
        </w:rPr>
        <w:t xml:space="preserve"> mencionado, se</w:t>
      </w:r>
      <w:r w:rsidR="00B1384D">
        <w:rPr>
          <w:rFonts w:ascii="Book Antiqua" w:hAnsi="Book Antiqua" w:cs="Book Antiqua"/>
          <w:sz w:val="24"/>
          <w:szCs w:val="24"/>
        </w:rPr>
        <w:t xml:space="preserve"> tiene un costo institucional</w:t>
      </w:r>
      <w:r w:rsidR="003C4676">
        <w:rPr>
          <w:rFonts w:ascii="Book Antiqua" w:hAnsi="Book Antiqua" w:cs="Book Antiqua"/>
          <w:sz w:val="24"/>
          <w:szCs w:val="24"/>
        </w:rPr>
        <w:t xml:space="preserve"> de</w:t>
      </w:r>
      <w:r w:rsidR="00B1384D">
        <w:rPr>
          <w:rFonts w:ascii="Book Antiqua" w:hAnsi="Book Antiqua" w:cs="Book Antiqua"/>
          <w:sz w:val="24"/>
          <w:szCs w:val="24"/>
        </w:rPr>
        <w:t>:</w:t>
      </w:r>
    </w:p>
    <w:p w14:paraId="17221824" w14:textId="1204E46A" w:rsidR="00B1384D" w:rsidRDefault="00B1384D" w:rsidP="00E122A3">
      <w:pPr>
        <w:jc w:val="both"/>
        <w:rPr>
          <w:rFonts w:ascii="Book Antiqua" w:hAnsi="Book Antiqua" w:cs="Book Antiqua"/>
          <w:sz w:val="24"/>
          <w:szCs w:val="24"/>
        </w:rPr>
      </w:pPr>
    </w:p>
    <w:p w14:paraId="6F85FA4C" w14:textId="3AE8C7E3" w:rsidR="00BF7A3E" w:rsidRDefault="00AF1B71" w:rsidP="00E122A3">
      <w:pPr>
        <w:jc w:val="both"/>
        <w:rPr>
          <w:rFonts w:ascii="Book Antiqua" w:hAnsi="Book Antiqua" w:cs="Book Antiqua"/>
          <w:sz w:val="24"/>
          <w:szCs w:val="24"/>
        </w:rPr>
      </w:pPr>
      <w:r w:rsidRPr="00AF1B71">
        <w:rPr>
          <w:noProof/>
        </w:rPr>
        <w:drawing>
          <wp:inline distT="0" distB="0" distL="0" distR="0" wp14:anchorId="71488FC2" wp14:editId="7B1CC54B">
            <wp:extent cx="5500370" cy="121920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506" cy="1220338"/>
                    </a:xfrm>
                    <a:prstGeom prst="rect">
                      <a:avLst/>
                    </a:prstGeom>
                    <a:noFill/>
                    <a:ln>
                      <a:noFill/>
                    </a:ln>
                  </pic:spPr>
                </pic:pic>
              </a:graphicData>
            </a:graphic>
          </wp:inline>
        </w:drawing>
      </w:r>
    </w:p>
    <w:p w14:paraId="0F491FB7" w14:textId="77777777" w:rsidR="00330016" w:rsidRDefault="00330016" w:rsidP="00E122A3">
      <w:pPr>
        <w:jc w:val="both"/>
        <w:rPr>
          <w:rFonts w:ascii="Book Antiqua" w:hAnsi="Book Antiqua" w:cs="Book Antiqua"/>
          <w:sz w:val="24"/>
          <w:szCs w:val="24"/>
        </w:rPr>
      </w:pPr>
    </w:p>
    <w:p w14:paraId="599C245B" w14:textId="3E24A58F" w:rsidR="00961A25" w:rsidRDefault="00330016" w:rsidP="00330016">
      <w:pPr>
        <w:tabs>
          <w:tab w:val="left" w:pos="2390"/>
        </w:tabs>
        <w:jc w:val="both"/>
        <w:rPr>
          <w:rFonts w:ascii="Book Antiqua" w:hAnsi="Book Antiqua" w:cs="Book Antiqua"/>
          <w:sz w:val="24"/>
          <w:szCs w:val="24"/>
        </w:rPr>
      </w:pPr>
      <w:r>
        <w:rPr>
          <w:rFonts w:ascii="Book Antiqua" w:hAnsi="Book Antiqua" w:cs="Book Antiqua"/>
          <w:sz w:val="24"/>
          <w:szCs w:val="24"/>
        </w:rPr>
        <w:t>Como podrá observarse, e</w:t>
      </w:r>
      <w:r w:rsidR="00F658FE">
        <w:rPr>
          <w:rFonts w:ascii="Book Antiqua" w:hAnsi="Book Antiqua" w:cs="Book Antiqua"/>
          <w:sz w:val="24"/>
          <w:szCs w:val="24"/>
        </w:rPr>
        <w:t xml:space="preserve">l costo de destacar </w:t>
      </w:r>
      <w:r>
        <w:rPr>
          <w:rFonts w:ascii="Book Antiqua" w:hAnsi="Book Antiqua" w:cs="Book Antiqua"/>
          <w:sz w:val="24"/>
          <w:szCs w:val="24"/>
        </w:rPr>
        <w:t xml:space="preserve">la </w:t>
      </w:r>
      <w:r w:rsidR="00F658FE">
        <w:rPr>
          <w:rFonts w:ascii="Book Antiqua" w:hAnsi="Book Antiqua" w:cs="Book Antiqua"/>
          <w:sz w:val="24"/>
          <w:szCs w:val="24"/>
        </w:rPr>
        <w:t xml:space="preserve">plaza </w:t>
      </w:r>
      <w:r>
        <w:rPr>
          <w:rFonts w:ascii="Book Antiqua" w:hAnsi="Book Antiqua" w:cs="Book Antiqua"/>
          <w:sz w:val="24"/>
          <w:szCs w:val="24"/>
        </w:rPr>
        <w:t xml:space="preserve">de Técnico Judicial 1 </w:t>
      </w:r>
      <w:r w:rsidR="00F658FE">
        <w:rPr>
          <w:rFonts w:ascii="Book Antiqua" w:hAnsi="Book Antiqua" w:cs="Book Antiqua"/>
          <w:sz w:val="24"/>
          <w:szCs w:val="24"/>
        </w:rPr>
        <w:t xml:space="preserve">por todo el 2024 asciende a </w:t>
      </w:r>
      <w:r w:rsidR="00F658FE" w:rsidRPr="00F658FE">
        <w:rPr>
          <w:sz w:val="24"/>
          <w:szCs w:val="24"/>
        </w:rPr>
        <w:t>₡</w:t>
      </w:r>
      <w:r w:rsidR="00F658FE" w:rsidRPr="00F658FE">
        <w:rPr>
          <w:rFonts w:ascii="Book Antiqua" w:hAnsi="Book Antiqua" w:cs="Book Antiqua"/>
          <w:sz w:val="24"/>
          <w:szCs w:val="24"/>
        </w:rPr>
        <w:t>184.572.000,00</w:t>
      </w:r>
      <w:r w:rsidR="00F658FE">
        <w:rPr>
          <w:rFonts w:ascii="Book Antiqua" w:hAnsi="Book Antiqua" w:cs="Book Antiqua"/>
          <w:sz w:val="24"/>
          <w:szCs w:val="24"/>
        </w:rPr>
        <w:t>.</w:t>
      </w:r>
      <w:r>
        <w:rPr>
          <w:rFonts w:ascii="Book Antiqua" w:hAnsi="Book Antiqua" w:cs="Book Antiqua"/>
          <w:sz w:val="24"/>
          <w:szCs w:val="24"/>
        </w:rPr>
        <w:t xml:space="preserve"> No se incluye estimación del costo de equipo y mobiliario en razón </w:t>
      </w:r>
      <w:r w:rsidR="003C4676">
        <w:rPr>
          <w:rFonts w:ascii="Book Antiqua" w:hAnsi="Book Antiqua" w:cs="Book Antiqua"/>
          <w:sz w:val="24"/>
          <w:szCs w:val="24"/>
        </w:rPr>
        <w:t xml:space="preserve">de </w:t>
      </w:r>
      <w:r>
        <w:rPr>
          <w:rFonts w:ascii="Book Antiqua" w:hAnsi="Book Antiqua" w:cs="Book Antiqua"/>
          <w:sz w:val="24"/>
          <w:szCs w:val="24"/>
        </w:rPr>
        <w:t>que la oficina cuenta con los equipos, según lo indicado por parte del despacho al profesional.</w:t>
      </w:r>
    </w:p>
    <w:p w14:paraId="6107953E" w14:textId="7AF54D74" w:rsidR="00330016" w:rsidRDefault="00330016" w:rsidP="00F658FE">
      <w:pPr>
        <w:jc w:val="both"/>
        <w:rPr>
          <w:rFonts w:ascii="Book Antiqua" w:hAnsi="Book Antiqua" w:cs="Book Antiqua"/>
          <w:sz w:val="24"/>
          <w:szCs w:val="24"/>
        </w:rPr>
      </w:pPr>
    </w:p>
    <w:p w14:paraId="2FA9447E" w14:textId="77777777" w:rsidR="00330016" w:rsidRDefault="00330016" w:rsidP="00F658FE">
      <w:pPr>
        <w:jc w:val="both"/>
        <w:rPr>
          <w:rFonts w:ascii="Book Antiqua" w:hAnsi="Book Antiqua" w:cs="Book Antiqua"/>
          <w:sz w:val="24"/>
          <w:szCs w:val="24"/>
        </w:rPr>
      </w:pPr>
    </w:p>
    <w:p w14:paraId="1B79FF7B" w14:textId="77777777" w:rsidR="00961A25" w:rsidRPr="00961A25" w:rsidRDefault="00961A25" w:rsidP="00D44D01">
      <w:pPr>
        <w:jc w:val="both"/>
        <w:rPr>
          <w:rFonts w:ascii="Book Antiqua" w:hAnsi="Book Antiqua" w:cs="Book Antiqua"/>
          <w:b/>
          <w:bCs/>
          <w:sz w:val="24"/>
          <w:szCs w:val="24"/>
        </w:rPr>
      </w:pPr>
      <w:r w:rsidRPr="00961A25">
        <w:rPr>
          <w:rFonts w:ascii="Book Antiqua" w:hAnsi="Book Antiqua" w:cs="Book Antiqua"/>
          <w:b/>
          <w:bCs/>
          <w:sz w:val="24"/>
          <w:szCs w:val="24"/>
        </w:rPr>
        <w:t>4. Recomendaciones.</w:t>
      </w:r>
    </w:p>
    <w:p w14:paraId="7BAB0E58" w14:textId="77777777" w:rsidR="00961A25" w:rsidRDefault="00961A25" w:rsidP="00D44D01">
      <w:pPr>
        <w:jc w:val="both"/>
        <w:rPr>
          <w:rFonts w:ascii="Book Antiqua" w:hAnsi="Book Antiqua" w:cs="Book Antiqua"/>
          <w:sz w:val="24"/>
          <w:szCs w:val="24"/>
        </w:rPr>
      </w:pPr>
    </w:p>
    <w:p w14:paraId="5F6A07E0" w14:textId="1FCAAE1C" w:rsidR="00055797" w:rsidRDefault="00961A25" w:rsidP="00D44D01">
      <w:pPr>
        <w:jc w:val="both"/>
        <w:rPr>
          <w:rFonts w:ascii="Book Antiqua" w:hAnsi="Book Antiqua" w:cs="Book Antiqua"/>
          <w:sz w:val="24"/>
          <w:szCs w:val="24"/>
        </w:rPr>
      </w:pPr>
      <w:r>
        <w:rPr>
          <w:rFonts w:ascii="Book Antiqua" w:hAnsi="Book Antiqua" w:cs="Book Antiqua"/>
          <w:sz w:val="24"/>
          <w:szCs w:val="24"/>
        </w:rPr>
        <w:t xml:space="preserve">4.1. </w:t>
      </w:r>
      <w:r w:rsidR="00330016">
        <w:rPr>
          <w:rFonts w:ascii="Book Antiqua" w:hAnsi="Book Antiqua" w:cs="Book Antiqua"/>
          <w:sz w:val="24"/>
          <w:szCs w:val="24"/>
        </w:rPr>
        <w:t xml:space="preserve">Acatar lo dispuesto por el Consejo Superior en la sesión </w:t>
      </w:r>
      <w:r w:rsidR="00330016" w:rsidRPr="00330016">
        <w:rPr>
          <w:rFonts w:ascii="Book Antiqua" w:hAnsi="Book Antiqua" w:cs="Book Antiqua"/>
          <w:sz w:val="24"/>
          <w:szCs w:val="24"/>
        </w:rPr>
        <w:t xml:space="preserve">06-2023 del 24 de enero de 2023, artículo XXXV </w:t>
      </w:r>
      <w:r w:rsidR="00330016">
        <w:rPr>
          <w:rFonts w:ascii="Book Antiqua" w:hAnsi="Book Antiqua" w:cs="Book Antiqua"/>
          <w:sz w:val="24"/>
          <w:szCs w:val="24"/>
        </w:rPr>
        <w:t>e i</w:t>
      </w:r>
      <w:r w:rsidR="00F658FE">
        <w:rPr>
          <w:rFonts w:ascii="Book Antiqua" w:hAnsi="Book Antiqua" w:cs="Book Antiqua"/>
          <w:sz w:val="24"/>
          <w:szCs w:val="24"/>
        </w:rPr>
        <w:t xml:space="preserve">ncluir para el período de formulación presupuestaria 2024, una plaza técnica judicial categoría 1, para el Juzgado Contravencional de Acosta, el cual se solicitará bajo el programa 927 y quedará adscrito al Centro de Apoyo, Coordinación </w:t>
      </w:r>
      <w:r w:rsidR="0074783E">
        <w:rPr>
          <w:rFonts w:ascii="Book Antiqua" w:hAnsi="Book Antiqua" w:cs="Book Antiqua"/>
          <w:sz w:val="24"/>
          <w:szCs w:val="24"/>
        </w:rPr>
        <w:t xml:space="preserve">y Mejoramiento de la Función Jurisdiccional, quien otorgará el correspondiente seguimiento de actividades para garantizar la maximización en la utilización del recurso indicado. </w:t>
      </w:r>
      <w:r w:rsidR="006B126E">
        <w:rPr>
          <w:rFonts w:ascii="Book Antiqua" w:hAnsi="Book Antiqua" w:cs="Book Antiqua"/>
          <w:sz w:val="24"/>
          <w:szCs w:val="24"/>
        </w:rPr>
        <w:t>En el caso de que las limitaciones presupuestarias o per</w:t>
      </w:r>
      <w:r w:rsidR="009B408F">
        <w:rPr>
          <w:rFonts w:ascii="Book Antiqua" w:hAnsi="Book Antiqua" w:cs="Book Antiqua"/>
          <w:sz w:val="24"/>
          <w:szCs w:val="24"/>
        </w:rPr>
        <w:t xml:space="preserve">mitan. </w:t>
      </w:r>
    </w:p>
    <w:p w14:paraId="00F04CDC" w14:textId="1DC14D9E" w:rsidR="003C4676" w:rsidRDefault="003C4676" w:rsidP="00D44D01">
      <w:pPr>
        <w:jc w:val="both"/>
        <w:rPr>
          <w:rFonts w:ascii="Book Antiqua" w:hAnsi="Book Antiqua" w:cs="Book Antiqua"/>
          <w:sz w:val="24"/>
          <w:szCs w:val="24"/>
        </w:rPr>
      </w:pPr>
    </w:p>
    <w:p w14:paraId="1BCB7AFF" w14:textId="546F7122" w:rsidR="003C4676" w:rsidRDefault="003C4676" w:rsidP="00D44D01">
      <w:pPr>
        <w:jc w:val="both"/>
        <w:rPr>
          <w:rFonts w:ascii="Book Antiqua" w:hAnsi="Book Antiqua" w:cs="Book Antiqua"/>
          <w:sz w:val="24"/>
          <w:szCs w:val="24"/>
        </w:rPr>
      </w:pPr>
      <w:r>
        <w:rPr>
          <w:rFonts w:ascii="Book Antiqua" w:hAnsi="Book Antiqua" w:cs="Book Antiqua"/>
          <w:sz w:val="24"/>
          <w:szCs w:val="24"/>
        </w:rPr>
        <w:t>4.2. El Juzgado Contravencional de Acosta, acogerá las recomendaciones y disposiciones emitidas en el informe que se detalla en el anexo 1.</w:t>
      </w:r>
    </w:p>
    <w:p w14:paraId="525411EC" w14:textId="77777777" w:rsidR="003C4676" w:rsidRDefault="003C4676" w:rsidP="00D44D01">
      <w:pPr>
        <w:jc w:val="both"/>
        <w:rPr>
          <w:rFonts w:ascii="Book Antiqua" w:hAnsi="Book Antiqua" w:cs="Book Antiqua"/>
          <w:sz w:val="24"/>
          <w:szCs w:val="24"/>
        </w:rPr>
      </w:pPr>
    </w:p>
    <w:p w14:paraId="2BE3C7D9" w14:textId="77777777" w:rsidR="00795CF6" w:rsidRDefault="00795CF6" w:rsidP="00D44D01">
      <w:pPr>
        <w:jc w:val="both"/>
        <w:rPr>
          <w:rFonts w:ascii="Book Antiqua" w:hAnsi="Book Antiqua" w:cs="Book Antiqua"/>
          <w:sz w:val="24"/>
          <w:szCs w:val="24"/>
        </w:rPr>
      </w:pPr>
    </w:p>
    <w:p w14:paraId="5FBD5CDE" w14:textId="6646E878" w:rsidR="00DA4410" w:rsidRPr="00D6041E" w:rsidRDefault="005A777F" w:rsidP="005A777F">
      <w:pPr>
        <w:rPr>
          <w:rFonts w:ascii="Book Antiqua" w:hAnsi="Book Antiqua" w:cs="Book Antiqua"/>
          <w:snapToGrid w:val="0"/>
          <w:sz w:val="24"/>
          <w:szCs w:val="24"/>
          <w:lang w:val="pt-BR"/>
        </w:rPr>
      </w:pPr>
      <w:r w:rsidRPr="00D6041E">
        <w:rPr>
          <w:rFonts w:ascii="Book Antiqua" w:hAnsi="Book Antiqua" w:cs="Book Antiqua"/>
          <w:sz w:val="24"/>
          <w:szCs w:val="24"/>
        </w:rPr>
        <w:t xml:space="preserve">Cordialmente, </w:t>
      </w:r>
    </w:p>
    <w:p w14:paraId="7EA091AD" w14:textId="35BC67A6" w:rsidR="00DA4410" w:rsidRPr="00D6041E" w:rsidRDefault="00DA4410" w:rsidP="00DA4410">
      <w:pPr>
        <w:widowControl w:val="0"/>
        <w:jc w:val="center"/>
        <w:rPr>
          <w:rFonts w:ascii="Book Antiqua" w:hAnsi="Book Antiqua" w:cs="Book Antiqua"/>
          <w:b/>
          <w:bCs/>
          <w:snapToGrid w:val="0"/>
          <w:sz w:val="24"/>
          <w:szCs w:val="24"/>
          <w:lang w:val="pt-BR"/>
        </w:rPr>
      </w:pPr>
    </w:p>
    <w:p w14:paraId="17E11290" w14:textId="77777777" w:rsidR="00703BB6" w:rsidRPr="003B0517" w:rsidRDefault="00703BB6" w:rsidP="00DA4410">
      <w:pPr>
        <w:widowControl w:val="0"/>
        <w:jc w:val="center"/>
        <w:rPr>
          <w:rFonts w:ascii="Book Antiqua" w:hAnsi="Book Antiqua" w:cs="Book Antiqua"/>
          <w:b/>
          <w:bCs/>
          <w:snapToGrid w:val="0"/>
          <w:sz w:val="24"/>
          <w:szCs w:val="24"/>
          <w:lang w:val="pt-BR"/>
        </w:rPr>
      </w:pPr>
    </w:p>
    <w:p w14:paraId="3CEA473C" w14:textId="77777777" w:rsidR="00E904AC" w:rsidRDefault="00E904AC" w:rsidP="00DA4410">
      <w:pPr>
        <w:rPr>
          <w:rFonts w:ascii="Book Antiqua" w:hAnsi="Book Antiqua" w:cs="Book Antiqua"/>
          <w:snapToGrid w:val="0"/>
          <w:sz w:val="24"/>
          <w:szCs w:val="24"/>
          <w:lang w:val="pt-BR"/>
        </w:rPr>
      </w:pPr>
    </w:p>
    <w:p w14:paraId="696B730A" w14:textId="6FB2E439" w:rsidR="00DA4410" w:rsidRDefault="00A06FBA" w:rsidP="00DA4410">
      <w:pPr>
        <w:rPr>
          <w:rFonts w:ascii="Book Antiqua" w:hAnsi="Book Antiqua" w:cs="Book Antiqua"/>
          <w:snapToGrid w:val="0"/>
          <w:sz w:val="24"/>
          <w:szCs w:val="24"/>
          <w:lang w:val="pt-BR"/>
        </w:rPr>
      </w:pPr>
      <w:r>
        <w:rPr>
          <w:rFonts w:ascii="Book Antiqua" w:hAnsi="Book Antiqua" w:cs="Book Antiqua"/>
          <w:snapToGrid w:val="0"/>
          <w:sz w:val="24"/>
          <w:szCs w:val="24"/>
          <w:lang w:val="pt-BR"/>
        </w:rPr>
        <w:t>Ginethe Retana Ureña, Jefa</w:t>
      </w:r>
    </w:p>
    <w:p w14:paraId="348BC7F5" w14:textId="74BDBA8F" w:rsidR="00A06FBA" w:rsidRDefault="00A06FBA" w:rsidP="00DA4410">
      <w:pPr>
        <w:rPr>
          <w:rFonts w:ascii="Book Antiqua" w:hAnsi="Book Antiqua" w:cs="Book Antiqua"/>
          <w:snapToGrid w:val="0"/>
          <w:sz w:val="24"/>
          <w:szCs w:val="24"/>
          <w:lang w:val="pt-BR"/>
        </w:rPr>
      </w:pPr>
      <w:r>
        <w:rPr>
          <w:rFonts w:ascii="Book Antiqua" w:hAnsi="Book Antiqua" w:cs="Book Antiqua"/>
          <w:snapToGrid w:val="0"/>
          <w:sz w:val="24"/>
          <w:szCs w:val="24"/>
          <w:lang w:val="pt-BR"/>
        </w:rPr>
        <w:t>Subproceso Organización Institucional</w:t>
      </w:r>
    </w:p>
    <w:p w14:paraId="2DAAFBBB" w14:textId="13881179" w:rsidR="00A06FBA" w:rsidRDefault="00A06FBA" w:rsidP="00DA4410">
      <w:pPr>
        <w:rPr>
          <w:rFonts w:ascii="Book Antiqua" w:hAnsi="Book Antiqua" w:cs="Book Antiqua"/>
          <w:snapToGrid w:val="0"/>
          <w:sz w:val="24"/>
          <w:szCs w:val="24"/>
          <w:lang w:val="pt-BR"/>
        </w:rPr>
      </w:pPr>
    </w:p>
    <w:p w14:paraId="6F4D7CC4" w14:textId="77777777" w:rsidR="00A06FBA" w:rsidRDefault="00A06FBA" w:rsidP="00DA4410">
      <w:pPr>
        <w:rPr>
          <w:rFonts w:ascii="Book Antiqua" w:hAnsi="Book Antiqua" w:cs="Book Antiqua"/>
          <w:snapToGrid w:val="0"/>
          <w:sz w:val="24"/>
          <w:szCs w:val="24"/>
          <w:lang w:val="pt-BR"/>
        </w:rPr>
      </w:pPr>
    </w:p>
    <w:p w14:paraId="5AE9A4AD" w14:textId="31264A2E" w:rsidR="00E904AC" w:rsidRDefault="00E904AC">
      <w:pPr>
        <w:spacing w:after="160" w:line="259" w:lineRule="auto"/>
        <w:rPr>
          <w:rFonts w:ascii="Book Antiqua" w:hAnsi="Book Antiqua" w:cs="Book Antiqua"/>
          <w:sz w:val="18"/>
          <w:szCs w:val="18"/>
          <w:lang w:val="es-ES"/>
        </w:rPr>
      </w:pPr>
      <w:r>
        <w:rPr>
          <w:rFonts w:ascii="Book Antiqua" w:hAnsi="Book Antiqua" w:cs="Book Antiqua"/>
          <w:sz w:val="18"/>
          <w:szCs w:val="18"/>
          <w:lang w:val="es-ES"/>
        </w:rPr>
        <w:br w:type="page"/>
      </w:r>
    </w:p>
    <w:p w14:paraId="24F89683" w14:textId="77777777" w:rsidR="000320E7" w:rsidRDefault="000320E7" w:rsidP="00A31483">
      <w:pPr>
        <w:rPr>
          <w:rFonts w:ascii="Book Antiqua" w:hAnsi="Book Antiqua" w:cs="Book Antiqua"/>
          <w:sz w:val="18"/>
          <w:szCs w:val="18"/>
          <w:lang w:val="es-ES"/>
        </w:rPr>
      </w:pPr>
    </w:p>
    <w:p w14:paraId="36FBADC7" w14:textId="70468727" w:rsidR="000320E7" w:rsidRDefault="000320E7" w:rsidP="00A31483">
      <w:pPr>
        <w:rPr>
          <w:rFonts w:ascii="Book Antiqua" w:hAnsi="Book Antiqua" w:cs="Book Antiqua"/>
          <w:sz w:val="18"/>
          <w:szCs w:val="18"/>
          <w:lang w:val="es-ES"/>
        </w:rPr>
      </w:pPr>
    </w:p>
    <w:p w14:paraId="3FC3E3FD" w14:textId="40A418DD" w:rsidR="00A31483" w:rsidRDefault="00A31483" w:rsidP="00A31483">
      <w:pPr>
        <w:pStyle w:val="Prrafodelista"/>
        <w:jc w:val="center"/>
        <w:rPr>
          <w:rFonts w:ascii="Book Antiqua" w:hAnsi="Book Antiqua" w:cs="Book Antiqua"/>
          <w:sz w:val="18"/>
          <w:szCs w:val="18"/>
        </w:rPr>
      </w:pPr>
      <w:r w:rsidRPr="00D54E43">
        <w:rPr>
          <w:rFonts w:ascii="Book Antiqua" w:hAnsi="Book Antiqua" w:cs="Book Antiqua"/>
          <w:b/>
          <w:bCs/>
        </w:rPr>
        <w:t>Anexos</w:t>
      </w:r>
    </w:p>
    <w:p w14:paraId="55F855D7" w14:textId="3301EEE6" w:rsidR="00A31483" w:rsidRDefault="00A31483" w:rsidP="00A31483">
      <w:pPr>
        <w:ind w:left="720"/>
        <w:rPr>
          <w:rFonts w:ascii="Book Antiqua" w:hAnsi="Book Antiqua" w:cs="Book Antiqua"/>
          <w:sz w:val="18"/>
          <w:szCs w:val="18"/>
          <w:lang w:val="es-ES"/>
        </w:rPr>
      </w:pPr>
    </w:p>
    <w:tbl>
      <w:tblPr>
        <w:tblStyle w:val="Tablaconcuadrcula"/>
        <w:tblpPr w:leftFromText="141" w:rightFromText="141" w:vertAnchor="text" w:horzAnchor="margin" w:tblpXSpec="center" w:tblpY="3"/>
        <w:tblW w:w="0" w:type="auto"/>
        <w:tblLook w:val="04A0" w:firstRow="1" w:lastRow="0" w:firstColumn="1" w:lastColumn="0" w:noHBand="0" w:noVBand="1"/>
      </w:tblPr>
      <w:tblGrid>
        <w:gridCol w:w="1720"/>
        <w:gridCol w:w="3795"/>
        <w:gridCol w:w="3269"/>
      </w:tblGrid>
      <w:tr w:rsidR="00A31483" w:rsidRPr="00181D2A" w14:paraId="348A8C36" w14:textId="77777777" w:rsidTr="00687CF1">
        <w:tc>
          <w:tcPr>
            <w:tcW w:w="1720" w:type="dxa"/>
            <w:shd w:val="clear" w:color="auto" w:fill="B4C6E7" w:themeFill="accent1" w:themeFillTint="66"/>
            <w:vAlign w:val="center"/>
          </w:tcPr>
          <w:p w14:paraId="72FA3D83" w14:textId="77777777" w:rsidR="00A31483" w:rsidRPr="00D44D01" w:rsidRDefault="00A31483" w:rsidP="00A31483">
            <w:pPr>
              <w:jc w:val="center"/>
              <w:rPr>
                <w:rFonts w:ascii="Book Antiqua" w:hAnsi="Book Antiqua"/>
                <w:sz w:val="22"/>
                <w:szCs w:val="22"/>
              </w:rPr>
            </w:pPr>
            <w:r w:rsidRPr="00D44D01">
              <w:rPr>
                <w:rFonts w:ascii="Book Antiqua" w:hAnsi="Book Antiqua"/>
                <w:sz w:val="22"/>
                <w:szCs w:val="22"/>
              </w:rPr>
              <w:t>Anexo</w:t>
            </w:r>
          </w:p>
        </w:tc>
        <w:tc>
          <w:tcPr>
            <w:tcW w:w="3795" w:type="dxa"/>
            <w:shd w:val="clear" w:color="auto" w:fill="B4C6E7" w:themeFill="accent1" w:themeFillTint="66"/>
            <w:vAlign w:val="center"/>
          </w:tcPr>
          <w:p w14:paraId="0516AD46" w14:textId="77777777" w:rsidR="00A31483" w:rsidRPr="00D44D01" w:rsidRDefault="00A31483" w:rsidP="00A31483">
            <w:pPr>
              <w:jc w:val="center"/>
              <w:rPr>
                <w:rFonts w:ascii="Book Antiqua" w:hAnsi="Book Antiqua"/>
                <w:sz w:val="22"/>
                <w:szCs w:val="22"/>
              </w:rPr>
            </w:pPr>
            <w:r w:rsidRPr="00D44D01">
              <w:rPr>
                <w:rFonts w:ascii="Book Antiqua" w:hAnsi="Book Antiqua"/>
                <w:sz w:val="22"/>
                <w:szCs w:val="22"/>
              </w:rPr>
              <w:t>Nombre del Anexo</w:t>
            </w:r>
          </w:p>
        </w:tc>
        <w:tc>
          <w:tcPr>
            <w:tcW w:w="3269" w:type="dxa"/>
            <w:shd w:val="clear" w:color="auto" w:fill="B4C6E7" w:themeFill="accent1" w:themeFillTint="66"/>
            <w:vAlign w:val="center"/>
          </w:tcPr>
          <w:p w14:paraId="52021272" w14:textId="77777777" w:rsidR="00A31483" w:rsidRPr="00D44D01" w:rsidRDefault="00A31483" w:rsidP="00A31483">
            <w:pPr>
              <w:jc w:val="center"/>
              <w:rPr>
                <w:rFonts w:ascii="Book Antiqua" w:hAnsi="Book Antiqua"/>
                <w:sz w:val="22"/>
                <w:szCs w:val="22"/>
              </w:rPr>
            </w:pPr>
            <w:r w:rsidRPr="00D44D01">
              <w:rPr>
                <w:rFonts w:ascii="Book Antiqua" w:hAnsi="Book Antiqua"/>
                <w:sz w:val="22"/>
                <w:szCs w:val="22"/>
              </w:rPr>
              <w:t>Documento asociado</w:t>
            </w:r>
          </w:p>
        </w:tc>
      </w:tr>
      <w:tr w:rsidR="00A31483" w:rsidRPr="00181D2A" w14:paraId="29BF4C1F" w14:textId="77777777" w:rsidTr="00687CF1">
        <w:tc>
          <w:tcPr>
            <w:tcW w:w="1720" w:type="dxa"/>
            <w:vAlign w:val="center"/>
          </w:tcPr>
          <w:p w14:paraId="4231C391" w14:textId="77777777" w:rsidR="00A31483" w:rsidRPr="00D44D01" w:rsidRDefault="00A31483" w:rsidP="00A31483">
            <w:pPr>
              <w:jc w:val="center"/>
              <w:rPr>
                <w:rFonts w:ascii="Book Antiqua" w:hAnsi="Book Antiqua"/>
                <w:sz w:val="22"/>
                <w:szCs w:val="22"/>
              </w:rPr>
            </w:pPr>
            <w:r>
              <w:rPr>
                <w:rFonts w:ascii="Book Antiqua" w:hAnsi="Book Antiqua"/>
                <w:sz w:val="22"/>
                <w:szCs w:val="22"/>
              </w:rPr>
              <w:t>1</w:t>
            </w:r>
          </w:p>
        </w:tc>
        <w:tc>
          <w:tcPr>
            <w:tcW w:w="3795" w:type="dxa"/>
            <w:vAlign w:val="center"/>
          </w:tcPr>
          <w:p w14:paraId="0A286440" w14:textId="3827C5DF" w:rsidR="00A31483" w:rsidRPr="00D44D01" w:rsidRDefault="00F658FE" w:rsidP="00A31483">
            <w:pPr>
              <w:jc w:val="both"/>
              <w:rPr>
                <w:rFonts w:ascii="Book Antiqua" w:hAnsi="Book Antiqua"/>
                <w:sz w:val="22"/>
                <w:szCs w:val="22"/>
              </w:rPr>
            </w:pPr>
            <w:r>
              <w:rPr>
                <w:rFonts w:ascii="Book Antiqua" w:hAnsi="Book Antiqua"/>
                <w:sz w:val="22"/>
                <w:szCs w:val="22"/>
              </w:rPr>
              <w:t>Informe 1119-PLA-OI-2022</w:t>
            </w:r>
          </w:p>
        </w:tc>
        <w:tc>
          <w:tcPr>
            <w:tcW w:w="3269" w:type="dxa"/>
            <w:vAlign w:val="center"/>
          </w:tcPr>
          <w:p w14:paraId="4A9AA52B" w14:textId="5BEA2541" w:rsidR="00A31483" w:rsidRPr="00D44D01" w:rsidRDefault="00D67FA6" w:rsidP="00A31483">
            <w:pPr>
              <w:jc w:val="center"/>
              <w:rPr>
                <w:rFonts w:ascii="Book Antiqua" w:hAnsi="Book Antiqua"/>
                <w:sz w:val="22"/>
                <w:szCs w:val="22"/>
              </w:rPr>
            </w:pPr>
            <w:r>
              <w:rPr>
                <w:rFonts w:ascii="Book Antiqua" w:hAnsi="Book Antiqua"/>
                <w:sz w:val="22"/>
                <w:szCs w:val="22"/>
              </w:rPr>
              <w:object w:dxaOrig="1376" w:dyaOrig="899" w14:anchorId="28AA4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o:ole="">
                  <v:imagedata r:id="rId12" o:title=""/>
                </v:shape>
                <o:OLEObject Type="Embed" ProgID="Acrobat.Document.DC" ShapeID="_x0000_i1025" DrawAspect="Icon" ObjectID="_1745837332" r:id="rId13"/>
              </w:object>
            </w:r>
          </w:p>
        </w:tc>
      </w:tr>
    </w:tbl>
    <w:p w14:paraId="6C36C691" w14:textId="4397BCD0" w:rsidR="00A31483" w:rsidRDefault="00A31483" w:rsidP="00A31483">
      <w:pPr>
        <w:ind w:left="720"/>
        <w:rPr>
          <w:rFonts w:ascii="Book Antiqua" w:hAnsi="Book Antiqua"/>
          <w:b/>
          <w:bCs/>
          <w:sz w:val="24"/>
          <w:szCs w:val="24"/>
        </w:rPr>
      </w:pPr>
    </w:p>
    <w:p w14:paraId="2F334A82" w14:textId="5DBE39FC" w:rsidR="00D67FA6" w:rsidRDefault="00D67FA6" w:rsidP="00A31483">
      <w:pPr>
        <w:ind w:left="720"/>
        <w:rPr>
          <w:rFonts w:ascii="Book Antiqua" w:hAnsi="Book Antiqua"/>
          <w:b/>
          <w:bCs/>
          <w:sz w:val="24"/>
          <w:szCs w:val="24"/>
        </w:rPr>
      </w:pPr>
    </w:p>
    <w:p w14:paraId="11D566E5" w14:textId="77777777" w:rsidR="00D67FA6" w:rsidRPr="00D67FA6" w:rsidRDefault="00D67FA6" w:rsidP="00D67FA6">
      <w:pPr>
        <w:suppressAutoHyphens/>
        <w:jc w:val="both"/>
        <w:rPr>
          <w:rFonts w:ascii="Book Antiqua" w:hAnsi="Book Antiqua" w:cs="Book Antiqua"/>
          <w:sz w:val="24"/>
          <w:szCs w:val="24"/>
          <w:lang w:val="es-ES" w:eastAsia="ar-SA"/>
        </w:rPr>
      </w:pPr>
      <w:r w:rsidRPr="00D67FA6">
        <w:rPr>
          <w:rFonts w:ascii="Book Antiqua" w:hAnsi="Book Antiqua" w:cs="Book Antiqua"/>
          <w:i/>
          <w:iCs/>
          <w:sz w:val="24"/>
          <w:szCs w:val="24"/>
          <w:lang w:val="es-ES" w:eastAsia="ar-SA"/>
        </w:rPr>
        <w:t>Este informe cuenta con las revisiones y ajustes correspondientes de las jefaturas indicadas</w:t>
      </w:r>
      <w:r w:rsidRPr="00D67FA6">
        <w:rPr>
          <w:rFonts w:ascii="Book Antiqua" w:hAnsi="Book Antiqua" w:cs="Book Antiqua"/>
          <w:sz w:val="24"/>
          <w:szCs w:val="24"/>
          <w:lang w:val="es-ES" w:eastAsia="ar-SA"/>
        </w:rPr>
        <w:t>.</w:t>
      </w:r>
    </w:p>
    <w:p w14:paraId="42D91C1C" w14:textId="77777777" w:rsidR="00D67FA6" w:rsidRPr="00D67FA6" w:rsidRDefault="00D67FA6" w:rsidP="00D67FA6">
      <w:pPr>
        <w:suppressAutoHyphens/>
        <w:jc w:val="both"/>
        <w:rPr>
          <w:rFonts w:ascii="Book Antiqua" w:hAnsi="Book Antiqua" w:cs="Book Antiqua"/>
          <w:sz w:val="24"/>
          <w:szCs w:val="24"/>
          <w:lang w:val="es-ES" w:eastAsia="ar-SA"/>
        </w:rPr>
      </w:pPr>
    </w:p>
    <w:tbl>
      <w:tblPr>
        <w:tblW w:w="54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3682"/>
        <w:gridCol w:w="3682"/>
      </w:tblGrid>
      <w:tr w:rsidR="00D67FA6" w:rsidRPr="00D67FA6" w14:paraId="001959CD" w14:textId="77777777" w:rsidTr="00E904AC">
        <w:trPr>
          <w:trHeight w:val="300"/>
          <w:jc w:val="center"/>
        </w:trPr>
        <w:tc>
          <w:tcPr>
            <w:tcW w:w="1178" w:type="pct"/>
            <w:shd w:val="clear" w:color="auto" w:fill="2F5496" w:themeFill="accent1" w:themeFillShade="BF"/>
            <w:vAlign w:val="center"/>
          </w:tcPr>
          <w:p w14:paraId="1E182B80" w14:textId="77777777" w:rsidR="00D67FA6" w:rsidRPr="00D67FA6" w:rsidRDefault="00D67FA6" w:rsidP="00D67FA6">
            <w:pPr>
              <w:widowControl w:val="0"/>
              <w:autoSpaceDE w:val="0"/>
              <w:autoSpaceDN w:val="0"/>
              <w:adjustRightInd w:val="0"/>
              <w:spacing w:line="276" w:lineRule="auto"/>
              <w:jc w:val="center"/>
              <w:rPr>
                <w:rFonts w:ascii="Book Antiqua" w:hAnsi="Book Antiqua" w:cs="Arial"/>
                <w:b/>
                <w:color w:val="FFFFFF" w:themeColor="background1"/>
                <w:lang w:val="es-ES" w:eastAsia="es-CR"/>
              </w:rPr>
            </w:pPr>
            <w:r w:rsidRPr="00D67FA6">
              <w:rPr>
                <w:rFonts w:ascii="Book Antiqua" w:hAnsi="Book Antiqua" w:cs="Arial"/>
                <w:b/>
                <w:color w:val="FFFFFF" w:themeColor="background1"/>
                <w:lang w:val="es-ES" w:eastAsia="es-CR"/>
              </w:rPr>
              <w:t>INFORME</w:t>
            </w:r>
          </w:p>
        </w:tc>
        <w:tc>
          <w:tcPr>
            <w:tcW w:w="1911" w:type="pct"/>
            <w:shd w:val="clear" w:color="auto" w:fill="2F5496" w:themeFill="accent1" w:themeFillShade="BF"/>
            <w:vAlign w:val="center"/>
          </w:tcPr>
          <w:p w14:paraId="2049925D" w14:textId="77777777" w:rsidR="00D67FA6" w:rsidRPr="00D67FA6" w:rsidRDefault="00D67FA6" w:rsidP="00D67FA6">
            <w:pPr>
              <w:widowControl w:val="0"/>
              <w:autoSpaceDE w:val="0"/>
              <w:autoSpaceDN w:val="0"/>
              <w:adjustRightInd w:val="0"/>
              <w:spacing w:line="276" w:lineRule="auto"/>
              <w:jc w:val="center"/>
              <w:rPr>
                <w:rFonts w:ascii="Book Antiqua" w:hAnsi="Book Antiqua" w:cs="Arial"/>
                <w:b/>
                <w:color w:val="FFFFFF" w:themeColor="background1"/>
                <w:lang w:val="es-ES"/>
              </w:rPr>
            </w:pPr>
            <w:r w:rsidRPr="00D67FA6">
              <w:rPr>
                <w:rFonts w:ascii="Book Antiqua" w:hAnsi="Book Antiqua" w:cs="Arial"/>
                <w:b/>
                <w:color w:val="FFFFFF" w:themeColor="background1"/>
                <w:lang w:val="es-ES"/>
              </w:rPr>
              <w:t>NOMBRE</w:t>
            </w:r>
          </w:p>
        </w:tc>
        <w:tc>
          <w:tcPr>
            <w:tcW w:w="1911" w:type="pct"/>
            <w:shd w:val="clear" w:color="auto" w:fill="2F5496" w:themeFill="accent1" w:themeFillShade="BF"/>
            <w:vAlign w:val="center"/>
          </w:tcPr>
          <w:p w14:paraId="4180AA7D" w14:textId="77777777" w:rsidR="00D67FA6" w:rsidRPr="00D67FA6" w:rsidRDefault="00D67FA6" w:rsidP="00D67FA6">
            <w:pPr>
              <w:widowControl w:val="0"/>
              <w:autoSpaceDE w:val="0"/>
              <w:autoSpaceDN w:val="0"/>
              <w:adjustRightInd w:val="0"/>
              <w:spacing w:line="276" w:lineRule="auto"/>
              <w:jc w:val="center"/>
              <w:rPr>
                <w:rFonts w:ascii="Book Antiqua" w:hAnsi="Book Antiqua" w:cs="Arial"/>
                <w:b/>
                <w:color w:val="FFFFFF" w:themeColor="background1"/>
                <w:lang w:val="es-ES"/>
              </w:rPr>
            </w:pPr>
            <w:r w:rsidRPr="00D67FA6">
              <w:rPr>
                <w:rFonts w:ascii="Book Antiqua" w:hAnsi="Book Antiqua" w:cs="Arial"/>
                <w:b/>
                <w:color w:val="FFFFFF" w:themeColor="background1"/>
                <w:lang w:val="es-ES"/>
              </w:rPr>
              <w:t>PUESTO</w:t>
            </w:r>
          </w:p>
        </w:tc>
      </w:tr>
      <w:tr w:rsidR="00D67FA6" w:rsidRPr="00D67FA6" w14:paraId="52870CF5" w14:textId="77777777" w:rsidTr="00E904AC">
        <w:trPr>
          <w:trHeight w:val="632"/>
          <w:jc w:val="center"/>
        </w:trPr>
        <w:tc>
          <w:tcPr>
            <w:tcW w:w="1178" w:type="pct"/>
            <w:shd w:val="clear" w:color="auto" w:fill="F2F2F2"/>
            <w:vAlign w:val="center"/>
          </w:tcPr>
          <w:p w14:paraId="6796BF86" w14:textId="77777777" w:rsidR="00D67FA6" w:rsidRPr="00D67FA6" w:rsidRDefault="00D67FA6" w:rsidP="00D67FA6">
            <w:pPr>
              <w:widowControl w:val="0"/>
              <w:autoSpaceDE w:val="0"/>
              <w:autoSpaceDN w:val="0"/>
              <w:adjustRightInd w:val="0"/>
              <w:spacing w:line="276" w:lineRule="auto"/>
              <w:jc w:val="center"/>
              <w:rPr>
                <w:rFonts w:ascii="Book Antiqua" w:hAnsi="Book Antiqua" w:cs="Arial"/>
                <w:b/>
                <w:color w:val="000000"/>
                <w:sz w:val="22"/>
                <w:szCs w:val="22"/>
                <w:lang w:val="es-ES" w:eastAsia="es-CR"/>
              </w:rPr>
            </w:pPr>
            <w:r w:rsidRPr="00D67FA6">
              <w:rPr>
                <w:rFonts w:ascii="Book Antiqua" w:hAnsi="Book Antiqua" w:cs="Arial"/>
                <w:b/>
                <w:color w:val="000000"/>
                <w:sz w:val="22"/>
                <w:szCs w:val="22"/>
                <w:lang w:val="es-ES" w:eastAsia="es-CR"/>
              </w:rPr>
              <w:t>Elaborado por:</w:t>
            </w:r>
          </w:p>
        </w:tc>
        <w:tc>
          <w:tcPr>
            <w:tcW w:w="1911" w:type="pct"/>
            <w:vAlign w:val="center"/>
          </w:tcPr>
          <w:p w14:paraId="1D3E5E69" w14:textId="30543D21" w:rsidR="00D67FA6" w:rsidRPr="00D67FA6" w:rsidRDefault="00D67FA6" w:rsidP="00D67FA6">
            <w:pPr>
              <w:widowControl w:val="0"/>
              <w:autoSpaceDE w:val="0"/>
              <w:autoSpaceDN w:val="0"/>
              <w:adjustRightInd w:val="0"/>
              <w:spacing w:line="276" w:lineRule="auto"/>
              <w:rPr>
                <w:rFonts w:ascii="Book Antiqua" w:hAnsi="Book Antiqua" w:cs="Arial"/>
                <w:sz w:val="22"/>
                <w:szCs w:val="22"/>
                <w:lang w:val="es-ES"/>
              </w:rPr>
            </w:pPr>
            <w:r w:rsidRPr="00D67FA6">
              <w:rPr>
                <w:rFonts w:ascii="Book Antiqua" w:hAnsi="Book Antiqua" w:cs="Arial"/>
                <w:sz w:val="22"/>
                <w:szCs w:val="22"/>
                <w:lang w:val="es-ES"/>
              </w:rPr>
              <w:t>Lic</w:t>
            </w:r>
            <w:r>
              <w:rPr>
                <w:rFonts w:ascii="Book Antiqua" w:hAnsi="Book Antiqua" w:cs="Arial"/>
                <w:sz w:val="22"/>
                <w:szCs w:val="22"/>
                <w:lang w:val="es-ES"/>
              </w:rPr>
              <w:t>. Raúl Camacho Mora</w:t>
            </w:r>
          </w:p>
        </w:tc>
        <w:tc>
          <w:tcPr>
            <w:tcW w:w="1911" w:type="pct"/>
            <w:vAlign w:val="center"/>
          </w:tcPr>
          <w:p w14:paraId="7CB8A461" w14:textId="77777777" w:rsidR="00D67FA6" w:rsidRPr="00D67FA6" w:rsidRDefault="00D67FA6" w:rsidP="00D67FA6">
            <w:pPr>
              <w:widowControl w:val="0"/>
              <w:autoSpaceDE w:val="0"/>
              <w:autoSpaceDN w:val="0"/>
              <w:adjustRightInd w:val="0"/>
              <w:spacing w:line="276" w:lineRule="auto"/>
              <w:rPr>
                <w:rFonts w:ascii="Book Antiqua" w:hAnsi="Book Antiqua" w:cs="Arial"/>
                <w:sz w:val="22"/>
                <w:szCs w:val="22"/>
                <w:lang w:val="es-ES"/>
              </w:rPr>
            </w:pPr>
            <w:r w:rsidRPr="00D67FA6">
              <w:rPr>
                <w:rFonts w:ascii="Book Antiqua" w:hAnsi="Book Antiqua" w:cs="Arial"/>
                <w:sz w:val="22"/>
                <w:szCs w:val="22"/>
                <w:lang w:val="es-ES"/>
              </w:rPr>
              <w:t>Profesional 2</w:t>
            </w:r>
          </w:p>
        </w:tc>
      </w:tr>
      <w:tr w:rsidR="00D67FA6" w:rsidRPr="00D67FA6" w14:paraId="1C5EDD5C" w14:textId="77777777" w:rsidTr="00E904AC">
        <w:trPr>
          <w:trHeight w:val="632"/>
          <w:jc w:val="center"/>
        </w:trPr>
        <w:tc>
          <w:tcPr>
            <w:tcW w:w="1178" w:type="pct"/>
            <w:shd w:val="clear" w:color="auto" w:fill="F2F2F2"/>
            <w:vAlign w:val="center"/>
          </w:tcPr>
          <w:p w14:paraId="009E8A93" w14:textId="77777777" w:rsidR="00D67FA6" w:rsidRPr="00D67FA6" w:rsidRDefault="00D67FA6" w:rsidP="00D67FA6">
            <w:pPr>
              <w:widowControl w:val="0"/>
              <w:autoSpaceDE w:val="0"/>
              <w:autoSpaceDN w:val="0"/>
              <w:adjustRightInd w:val="0"/>
              <w:spacing w:line="276" w:lineRule="auto"/>
              <w:jc w:val="center"/>
              <w:rPr>
                <w:rFonts w:ascii="Book Antiqua" w:hAnsi="Book Antiqua" w:cs="Arial"/>
                <w:b/>
                <w:color w:val="000000"/>
                <w:sz w:val="22"/>
                <w:szCs w:val="22"/>
                <w:lang w:val="es-ES" w:eastAsia="es-CR"/>
              </w:rPr>
            </w:pPr>
            <w:r w:rsidRPr="00D67FA6">
              <w:rPr>
                <w:rFonts w:ascii="Book Antiqua" w:hAnsi="Book Antiqua" w:cs="Arial"/>
                <w:b/>
                <w:color w:val="000000"/>
                <w:sz w:val="22"/>
                <w:szCs w:val="22"/>
                <w:lang w:val="es-ES" w:eastAsia="es-CR"/>
              </w:rPr>
              <w:t>Aprobado por:</w:t>
            </w:r>
          </w:p>
        </w:tc>
        <w:tc>
          <w:tcPr>
            <w:tcW w:w="1911" w:type="pct"/>
            <w:vAlign w:val="center"/>
          </w:tcPr>
          <w:p w14:paraId="5D36D935" w14:textId="739E9855" w:rsidR="00D67FA6" w:rsidRPr="00D67FA6" w:rsidRDefault="00D67FA6" w:rsidP="00D67FA6">
            <w:pPr>
              <w:widowControl w:val="0"/>
              <w:autoSpaceDE w:val="0"/>
              <w:autoSpaceDN w:val="0"/>
              <w:adjustRightInd w:val="0"/>
              <w:spacing w:line="276" w:lineRule="auto"/>
              <w:rPr>
                <w:rFonts w:ascii="Book Antiqua" w:hAnsi="Book Antiqua" w:cs="Arial"/>
                <w:color w:val="000000"/>
                <w:sz w:val="22"/>
                <w:szCs w:val="22"/>
                <w:lang w:val="es-ES" w:eastAsia="es-CR"/>
              </w:rPr>
            </w:pPr>
            <w:r w:rsidRPr="00D67FA6">
              <w:rPr>
                <w:rFonts w:ascii="Book Antiqua" w:hAnsi="Book Antiqua" w:cs="Arial"/>
                <w:color w:val="000000"/>
                <w:sz w:val="22"/>
                <w:szCs w:val="22"/>
                <w:lang w:val="es-ES" w:eastAsia="es-CR"/>
              </w:rPr>
              <w:t>Lic</w:t>
            </w:r>
            <w:r>
              <w:rPr>
                <w:rFonts w:ascii="Book Antiqua" w:hAnsi="Book Antiqua" w:cs="Arial"/>
                <w:color w:val="000000"/>
                <w:sz w:val="22"/>
                <w:szCs w:val="22"/>
                <w:lang w:val="es-ES" w:eastAsia="es-CR"/>
              </w:rPr>
              <w:t>da. Ginethe Retana Ureña</w:t>
            </w:r>
            <w:r w:rsidRPr="00D67FA6">
              <w:rPr>
                <w:rFonts w:ascii="Book Antiqua" w:hAnsi="Book Antiqua" w:cs="Arial"/>
                <w:color w:val="000000"/>
                <w:sz w:val="22"/>
                <w:szCs w:val="22"/>
                <w:lang w:val="es-ES" w:eastAsia="es-CR"/>
              </w:rPr>
              <w:t xml:space="preserve"> </w:t>
            </w:r>
          </w:p>
        </w:tc>
        <w:tc>
          <w:tcPr>
            <w:tcW w:w="1911" w:type="pct"/>
            <w:vAlign w:val="center"/>
          </w:tcPr>
          <w:p w14:paraId="1C379BC0" w14:textId="3DE9C4DC" w:rsidR="00D67FA6" w:rsidRPr="00D67FA6" w:rsidRDefault="00D67FA6" w:rsidP="00D67FA6">
            <w:pPr>
              <w:widowControl w:val="0"/>
              <w:autoSpaceDE w:val="0"/>
              <w:autoSpaceDN w:val="0"/>
              <w:adjustRightInd w:val="0"/>
              <w:spacing w:line="276" w:lineRule="auto"/>
              <w:rPr>
                <w:rFonts w:ascii="Book Antiqua" w:hAnsi="Book Antiqua" w:cs="Arial"/>
                <w:color w:val="000000"/>
                <w:sz w:val="22"/>
                <w:szCs w:val="22"/>
                <w:lang w:val="es-ES" w:eastAsia="es-CR"/>
              </w:rPr>
            </w:pPr>
            <w:r w:rsidRPr="00D67FA6">
              <w:rPr>
                <w:rFonts w:ascii="Book Antiqua" w:hAnsi="Book Antiqua" w:cs="Arial"/>
                <w:color w:val="000000"/>
                <w:sz w:val="22"/>
                <w:szCs w:val="22"/>
                <w:lang w:val="es-ES" w:eastAsia="es-CR"/>
              </w:rPr>
              <w:t>Jef</w:t>
            </w:r>
            <w:r>
              <w:rPr>
                <w:rFonts w:ascii="Book Antiqua" w:hAnsi="Book Antiqua" w:cs="Arial"/>
                <w:color w:val="000000"/>
                <w:sz w:val="22"/>
                <w:szCs w:val="22"/>
                <w:lang w:val="es-ES" w:eastAsia="es-CR"/>
              </w:rPr>
              <w:t>a</w:t>
            </w:r>
            <w:r w:rsidRPr="00D67FA6">
              <w:rPr>
                <w:rFonts w:ascii="Book Antiqua" w:hAnsi="Book Antiqua" w:cs="Arial"/>
                <w:color w:val="000000"/>
                <w:sz w:val="22"/>
                <w:szCs w:val="22"/>
                <w:lang w:val="es-ES" w:eastAsia="es-CR"/>
              </w:rPr>
              <w:t xml:space="preserve"> Subproceso de</w:t>
            </w:r>
            <w:r>
              <w:rPr>
                <w:rFonts w:ascii="Book Antiqua" w:hAnsi="Book Antiqua" w:cs="Arial"/>
                <w:color w:val="000000"/>
                <w:sz w:val="22"/>
                <w:szCs w:val="22"/>
                <w:lang w:val="es-ES" w:eastAsia="es-CR"/>
              </w:rPr>
              <w:t xml:space="preserve"> Organización Institucional</w:t>
            </w:r>
            <w:r w:rsidRPr="00D67FA6">
              <w:rPr>
                <w:rFonts w:ascii="Book Antiqua" w:hAnsi="Book Antiqua" w:cs="Arial"/>
                <w:color w:val="000000"/>
                <w:sz w:val="22"/>
                <w:szCs w:val="22"/>
                <w:lang w:val="es-ES" w:eastAsia="es-CR"/>
              </w:rPr>
              <w:t xml:space="preserve"> </w:t>
            </w:r>
          </w:p>
        </w:tc>
      </w:tr>
      <w:tr w:rsidR="00D67FA6" w:rsidRPr="00D67FA6" w14:paraId="4DB539FA" w14:textId="77777777" w:rsidTr="00E904AC">
        <w:trPr>
          <w:trHeight w:val="510"/>
          <w:jc w:val="center"/>
        </w:trPr>
        <w:tc>
          <w:tcPr>
            <w:tcW w:w="1178" w:type="pct"/>
            <w:shd w:val="clear" w:color="auto" w:fill="F2F2F2"/>
            <w:vAlign w:val="center"/>
          </w:tcPr>
          <w:p w14:paraId="7E5EC645" w14:textId="77777777" w:rsidR="00D67FA6" w:rsidRPr="00D67FA6" w:rsidRDefault="00D67FA6" w:rsidP="00D67FA6">
            <w:pPr>
              <w:widowControl w:val="0"/>
              <w:autoSpaceDE w:val="0"/>
              <w:autoSpaceDN w:val="0"/>
              <w:adjustRightInd w:val="0"/>
              <w:spacing w:line="276" w:lineRule="auto"/>
              <w:jc w:val="center"/>
              <w:rPr>
                <w:rFonts w:ascii="Book Antiqua" w:hAnsi="Book Antiqua" w:cs="Arial"/>
                <w:b/>
                <w:color w:val="000000"/>
                <w:sz w:val="22"/>
                <w:szCs w:val="22"/>
                <w:lang w:val="es-ES" w:eastAsia="es-CR"/>
              </w:rPr>
            </w:pPr>
            <w:r w:rsidRPr="00D67FA6">
              <w:rPr>
                <w:rFonts w:ascii="Book Antiqua" w:hAnsi="Book Antiqua" w:cs="Arial"/>
                <w:b/>
                <w:color w:val="000000"/>
                <w:sz w:val="22"/>
                <w:szCs w:val="22"/>
                <w:lang w:val="es-ES" w:eastAsia="es-CR"/>
              </w:rPr>
              <w:t>Visto Bueno:</w:t>
            </w:r>
          </w:p>
        </w:tc>
        <w:tc>
          <w:tcPr>
            <w:tcW w:w="1911" w:type="pct"/>
            <w:vAlign w:val="center"/>
          </w:tcPr>
          <w:p w14:paraId="14E93995" w14:textId="690D0E95" w:rsidR="00D67FA6" w:rsidRPr="00D67FA6" w:rsidRDefault="00D67FA6" w:rsidP="00D67FA6">
            <w:pPr>
              <w:widowControl w:val="0"/>
              <w:autoSpaceDE w:val="0"/>
              <w:autoSpaceDN w:val="0"/>
              <w:adjustRightInd w:val="0"/>
              <w:spacing w:line="276" w:lineRule="auto"/>
              <w:rPr>
                <w:rFonts w:ascii="Book Antiqua" w:hAnsi="Book Antiqua" w:cs="Arial"/>
                <w:sz w:val="22"/>
                <w:szCs w:val="22"/>
                <w:lang w:val="es-ES" w:eastAsia="es-CR"/>
              </w:rPr>
            </w:pPr>
            <w:r>
              <w:rPr>
                <w:rFonts w:ascii="Book Antiqua" w:hAnsi="Book Antiqua" w:cs="Arial"/>
                <w:sz w:val="22"/>
                <w:szCs w:val="22"/>
                <w:lang w:val="es-ES" w:eastAsia="es-CR"/>
              </w:rPr>
              <w:t>Licda. Nacira Valverde Bermúdez</w:t>
            </w:r>
          </w:p>
        </w:tc>
        <w:tc>
          <w:tcPr>
            <w:tcW w:w="1911" w:type="pct"/>
            <w:vAlign w:val="center"/>
          </w:tcPr>
          <w:p w14:paraId="5252CDFD" w14:textId="3D746DF5" w:rsidR="00D67FA6" w:rsidRPr="00D67FA6" w:rsidRDefault="00D67FA6" w:rsidP="00D67FA6">
            <w:pPr>
              <w:widowControl w:val="0"/>
              <w:autoSpaceDE w:val="0"/>
              <w:autoSpaceDN w:val="0"/>
              <w:adjustRightInd w:val="0"/>
              <w:spacing w:line="276" w:lineRule="auto"/>
              <w:rPr>
                <w:rFonts w:ascii="Book Antiqua" w:hAnsi="Book Antiqua" w:cs="Arial"/>
                <w:color w:val="000000"/>
                <w:sz w:val="22"/>
                <w:szCs w:val="22"/>
                <w:lang w:val="es-ES" w:eastAsia="es-CR"/>
              </w:rPr>
            </w:pPr>
            <w:r>
              <w:rPr>
                <w:rFonts w:ascii="Book Antiqua" w:hAnsi="Book Antiqua" w:cs="Arial"/>
                <w:color w:val="000000"/>
                <w:sz w:val="22"/>
                <w:szCs w:val="22"/>
                <w:lang w:val="es-ES" w:eastAsia="es-CR"/>
              </w:rPr>
              <w:t>Directora a.i. de Planificación</w:t>
            </w:r>
          </w:p>
        </w:tc>
      </w:tr>
    </w:tbl>
    <w:p w14:paraId="65C373CD" w14:textId="02BB8B43" w:rsidR="00D67FA6" w:rsidRDefault="00D67FA6" w:rsidP="00A31483">
      <w:pPr>
        <w:ind w:left="720"/>
        <w:rPr>
          <w:rFonts w:ascii="Book Antiqua" w:hAnsi="Book Antiqua"/>
          <w:b/>
          <w:bCs/>
          <w:sz w:val="24"/>
          <w:szCs w:val="24"/>
        </w:rPr>
      </w:pPr>
    </w:p>
    <w:p w14:paraId="6FDA413C" w14:textId="373FA7F1" w:rsidR="00E904AC" w:rsidRPr="003D4D8A" w:rsidRDefault="00E904AC" w:rsidP="00A31483">
      <w:pPr>
        <w:ind w:left="720"/>
        <w:rPr>
          <w:rFonts w:ascii="Book Antiqua" w:hAnsi="Book Antiqua"/>
          <w:b/>
          <w:bCs/>
          <w:sz w:val="24"/>
          <w:szCs w:val="24"/>
        </w:rPr>
      </w:pPr>
      <w:r>
        <w:rPr>
          <w:rFonts w:ascii="Book Antiqua" w:hAnsi="Book Antiqua"/>
          <w:b/>
          <w:bCs/>
          <w:sz w:val="24"/>
          <w:szCs w:val="24"/>
        </w:rPr>
        <w:t>xba</w:t>
      </w:r>
    </w:p>
    <w:sectPr w:rsidR="00E904AC" w:rsidRPr="003D4D8A" w:rsidSect="00B06232">
      <w:headerReference w:type="default" r:id="rId14"/>
      <w:footerReference w:type="default" r:id="rId15"/>
      <w:pgSz w:w="12240" w:h="15840"/>
      <w:pgMar w:top="0" w:right="1701" w:bottom="1134" w:left="1701" w:header="709" w:footer="709"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7C57" w14:textId="77777777" w:rsidR="00C054CF" w:rsidRDefault="00C054CF" w:rsidP="002C60D8">
      <w:r>
        <w:separator/>
      </w:r>
    </w:p>
  </w:endnote>
  <w:endnote w:type="continuationSeparator" w:id="0">
    <w:p w14:paraId="2F04C6BF" w14:textId="77777777" w:rsidR="00C054CF" w:rsidRDefault="00C054CF" w:rsidP="002C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623785"/>
      <w:docPartObj>
        <w:docPartGallery w:val="Page Numbers (Bottom of Page)"/>
        <w:docPartUnique/>
      </w:docPartObj>
    </w:sdtPr>
    <w:sdtContent>
      <w:p w14:paraId="7182DEA4" w14:textId="686F6040" w:rsidR="0089760C" w:rsidRDefault="0089760C">
        <w:pPr>
          <w:pStyle w:val="Piedepgina"/>
          <w:jc w:val="right"/>
        </w:pPr>
        <w:r>
          <w:fldChar w:fldCharType="begin"/>
        </w:r>
        <w:r>
          <w:instrText>PAGE   \* MERGEFORMAT</w:instrText>
        </w:r>
        <w:r>
          <w:fldChar w:fldCharType="separate"/>
        </w:r>
        <w:r>
          <w:rPr>
            <w:lang w:val="es-ES"/>
          </w:rPr>
          <w:t>2</w:t>
        </w:r>
        <w:r>
          <w:fldChar w:fldCharType="end"/>
        </w:r>
      </w:p>
    </w:sdtContent>
  </w:sdt>
  <w:p w14:paraId="48750FFA" w14:textId="77777777" w:rsidR="0073275E" w:rsidRPr="0073275E" w:rsidRDefault="0073275E" w:rsidP="0073275E">
    <w:pPr>
      <w:pBdr>
        <w:top w:val="single" w:sz="4" w:space="1" w:color="auto"/>
      </w:pBdr>
      <w:ind w:right="360"/>
      <w:jc w:val="center"/>
      <w:rPr>
        <w:rFonts w:ascii="Book Antiqua" w:hAnsi="Book Antiqua"/>
        <w:b/>
        <w:bCs/>
        <w:color w:val="000000"/>
        <w:sz w:val="24"/>
        <w:szCs w:val="24"/>
      </w:rPr>
    </w:pPr>
    <w:r w:rsidRPr="0073275E">
      <w:rPr>
        <w:rFonts w:ascii="Book Antiqua" w:hAnsi="Book Antiqua"/>
        <w:b/>
        <w:bCs/>
        <w:color w:val="000000"/>
        <w:sz w:val="24"/>
        <w:szCs w:val="24"/>
      </w:rPr>
      <w:t>Trabajamos por el desarrollo de la administración de justicia                               con proyección e innovación</w:t>
    </w:r>
  </w:p>
  <w:p w14:paraId="0E713919" w14:textId="77777777" w:rsidR="0089760C" w:rsidRDefault="008976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E4A73" w14:textId="77777777" w:rsidR="00C054CF" w:rsidRDefault="00C054CF" w:rsidP="002C60D8">
      <w:r>
        <w:separator/>
      </w:r>
    </w:p>
  </w:footnote>
  <w:footnote w:type="continuationSeparator" w:id="0">
    <w:p w14:paraId="51D8BEC8" w14:textId="77777777" w:rsidR="00C054CF" w:rsidRDefault="00C054CF" w:rsidP="002C6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2975" w14:textId="428E646D" w:rsidR="0089760C" w:rsidRPr="009D4A83" w:rsidRDefault="0089760C" w:rsidP="009D4A83">
    <w:pPr>
      <w:tabs>
        <w:tab w:val="center" w:pos="8804"/>
        <w:tab w:val="right" w:pos="8875"/>
      </w:tabs>
      <w:jc w:val="center"/>
      <w:rPr>
        <w:rFonts w:ascii="Book Antiqua" w:hAnsi="Book Antiqua" w:cs="Book Antiqua"/>
        <w:i/>
        <w:iCs/>
        <w:sz w:val="18"/>
        <w:szCs w:val="18"/>
      </w:rPr>
    </w:pPr>
    <w:r w:rsidRPr="009D4A83">
      <w:rPr>
        <w:rFonts w:ascii="Book Antiqua" w:hAnsi="Book Antiqua" w:cs="Book Antiqua"/>
        <w:i/>
        <w:iCs/>
        <w:sz w:val="18"/>
        <w:szCs w:val="18"/>
      </w:rPr>
      <w:t>Dirección de Planificación</w:t>
    </w:r>
    <w:r w:rsidR="00000000">
      <w:rPr>
        <w:sz w:val="24"/>
        <w:szCs w:val="24"/>
      </w:rPr>
      <w:pict w14:anchorId="5EA4E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4pt;height:32.4pt" o:ole="">
          <v:imagedata r:id="rId1" o:title=""/>
        </v:shape>
      </w:pict>
    </w:r>
  </w:p>
  <w:p w14:paraId="00D95AC1" w14:textId="1F8FF360" w:rsidR="0089760C" w:rsidRPr="009D4A83" w:rsidRDefault="0089760C" w:rsidP="009D4A83">
    <w:pPr>
      <w:tabs>
        <w:tab w:val="center" w:pos="4252"/>
        <w:tab w:val="right" w:pos="8875"/>
      </w:tabs>
      <w:jc w:val="center"/>
      <w:rPr>
        <w:rFonts w:ascii="Book Antiqua" w:hAnsi="Book Antiqua" w:cs="Book Antiqua"/>
        <w:i/>
        <w:iCs/>
        <w:sz w:val="18"/>
        <w:szCs w:val="18"/>
      </w:rPr>
    </w:pPr>
    <w:r w:rsidRPr="009D4A83">
      <w:rPr>
        <w:rFonts w:ascii="Book Antiqua" w:hAnsi="Book Antiqua" w:cs="Book Antiqua"/>
        <w:i/>
        <w:iCs/>
        <w:sz w:val="18"/>
        <w:szCs w:val="18"/>
      </w:rPr>
      <w:t xml:space="preserve">San José </w:t>
    </w:r>
    <w:r>
      <w:rPr>
        <w:rFonts w:ascii="Book Antiqua" w:hAnsi="Book Antiqua" w:cs="Book Antiqua"/>
        <w:i/>
        <w:iCs/>
        <w:sz w:val="18"/>
        <w:szCs w:val="18"/>
      </w:rPr>
      <w:t>-</w:t>
    </w:r>
    <w:r w:rsidRPr="009D4A83">
      <w:rPr>
        <w:rFonts w:ascii="Book Antiqua" w:hAnsi="Book Antiqua" w:cs="Book Antiqua"/>
        <w:i/>
        <w:iCs/>
        <w:sz w:val="18"/>
        <w:szCs w:val="18"/>
      </w:rPr>
      <w:t xml:space="preserve"> Costa Rica</w:t>
    </w:r>
  </w:p>
  <w:p w14:paraId="2D7B4B4C" w14:textId="70786152" w:rsidR="0089760C" w:rsidRPr="009D4A83" w:rsidRDefault="0089760C" w:rsidP="009D4A83">
    <w:pPr>
      <w:tabs>
        <w:tab w:val="center" w:pos="4252"/>
        <w:tab w:val="right" w:pos="8504"/>
      </w:tabs>
      <w:jc w:val="center"/>
      <w:rPr>
        <w:lang w:val="en-US"/>
      </w:rPr>
    </w:pPr>
    <w:r w:rsidRPr="009D4A83">
      <w:rPr>
        <w:rFonts w:ascii="Book Antiqua" w:hAnsi="Book Antiqua" w:cs="Book Antiqua"/>
        <w:i/>
        <w:iCs/>
        <w:sz w:val="18"/>
        <w:szCs w:val="18"/>
        <w:lang w:val="en-US"/>
      </w:rPr>
      <w:t>Telf.   2295-3600 / 3599 / Apdo.  95-1003 / planificacion@poder-judicial.go.cr</w:t>
    </w:r>
  </w:p>
  <w:p w14:paraId="6E046A64" w14:textId="77777777" w:rsidR="0089760C" w:rsidRPr="009D4A83" w:rsidRDefault="0089760C" w:rsidP="009D4A83">
    <w:pPr>
      <w:pBdr>
        <w:bottom w:val="single" w:sz="6" w:space="0" w:color="auto"/>
      </w:pBdr>
      <w:spacing w:after="20"/>
      <w:jc w:val="center"/>
      <w:rPr>
        <w:lang w:val="en-US"/>
      </w:rPr>
    </w:pPr>
  </w:p>
  <w:p w14:paraId="18332301" w14:textId="77777777" w:rsidR="0089760C" w:rsidRDefault="008976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07669C"/>
    <w:multiLevelType w:val="hybridMultilevel"/>
    <w:tmpl w:val="17558A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3F9307"/>
    <w:multiLevelType w:val="hybridMultilevel"/>
    <w:tmpl w:val="D4758EB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DF5087"/>
    <w:multiLevelType w:val="hybridMultilevel"/>
    <w:tmpl w:val="698E13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08B507F"/>
    <w:multiLevelType w:val="hybridMultilevel"/>
    <w:tmpl w:val="096265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4BC3359"/>
    <w:multiLevelType w:val="hybridMultilevel"/>
    <w:tmpl w:val="134EE20E"/>
    <w:lvl w:ilvl="0" w:tplc="580A000B">
      <w:start w:val="1"/>
      <w:numFmt w:val="bullet"/>
      <w:lvlText w:val=""/>
      <w:lvlJc w:val="left"/>
      <w:pPr>
        <w:ind w:left="780" w:hanging="360"/>
      </w:pPr>
      <w:rPr>
        <w:rFonts w:ascii="Wingdings" w:hAnsi="Wingdings" w:hint="default"/>
      </w:rPr>
    </w:lvl>
    <w:lvl w:ilvl="1" w:tplc="580A0003" w:tentative="1">
      <w:start w:val="1"/>
      <w:numFmt w:val="bullet"/>
      <w:lvlText w:val="o"/>
      <w:lvlJc w:val="left"/>
      <w:pPr>
        <w:ind w:left="1500" w:hanging="360"/>
      </w:pPr>
      <w:rPr>
        <w:rFonts w:ascii="Courier New" w:hAnsi="Courier New" w:cs="Courier New" w:hint="default"/>
      </w:rPr>
    </w:lvl>
    <w:lvl w:ilvl="2" w:tplc="580A0005" w:tentative="1">
      <w:start w:val="1"/>
      <w:numFmt w:val="bullet"/>
      <w:lvlText w:val=""/>
      <w:lvlJc w:val="left"/>
      <w:pPr>
        <w:ind w:left="2220" w:hanging="360"/>
      </w:pPr>
      <w:rPr>
        <w:rFonts w:ascii="Wingdings" w:hAnsi="Wingdings" w:hint="default"/>
      </w:rPr>
    </w:lvl>
    <w:lvl w:ilvl="3" w:tplc="580A0001" w:tentative="1">
      <w:start w:val="1"/>
      <w:numFmt w:val="bullet"/>
      <w:lvlText w:val=""/>
      <w:lvlJc w:val="left"/>
      <w:pPr>
        <w:ind w:left="2940" w:hanging="360"/>
      </w:pPr>
      <w:rPr>
        <w:rFonts w:ascii="Symbol" w:hAnsi="Symbol" w:hint="default"/>
      </w:rPr>
    </w:lvl>
    <w:lvl w:ilvl="4" w:tplc="580A0003" w:tentative="1">
      <w:start w:val="1"/>
      <w:numFmt w:val="bullet"/>
      <w:lvlText w:val="o"/>
      <w:lvlJc w:val="left"/>
      <w:pPr>
        <w:ind w:left="3660" w:hanging="360"/>
      </w:pPr>
      <w:rPr>
        <w:rFonts w:ascii="Courier New" w:hAnsi="Courier New" w:cs="Courier New" w:hint="default"/>
      </w:rPr>
    </w:lvl>
    <w:lvl w:ilvl="5" w:tplc="580A0005" w:tentative="1">
      <w:start w:val="1"/>
      <w:numFmt w:val="bullet"/>
      <w:lvlText w:val=""/>
      <w:lvlJc w:val="left"/>
      <w:pPr>
        <w:ind w:left="4380" w:hanging="360"/>
      </w:pPr>
      <w:rPr>
        <w:rFonts w:ascii="Wingdings" w:hAnsi="Wingdings" w:hint="default"/>
      </w:rPr>
    </w:lvl>
    <w:lvl w:ilvl="6" w:tplc="580A0001" w:tentative="1">
      <w:start w:val="1"/>
      <w:numFmt w:val="bullet"/>
      <w:lvlText w:val=""/>
      <w:lvlJc w:val="left"/>
      <w:pPr>
        <w:ind w:left="5100" w:hanging="360"/>
      </w:pPr>
      <w:rPr>
        <w:rFonts w:ascii="Symbol" w:hAnsi="Symbol" w:hint="default"/>
      </w:rPr>
    </w:lvl>
    <w:lvl w:ilvl="7" w:tplc="580A0003" w:tentative="1">
      <w:start w:val="1"/>
      <w:numFmt w:val="bullet"/>
      <w:lvlText w:val="o"/>
      <w:lvlJc w:val="left"/>
      <w:pPr>
        <w:ind w:left="5820" w:hanging="360"/>
      </w:pPr>
      <w:rPr>
        <w:rFonts w:ascii="Courier New" w:hAnsi="Courier New" w:cs="Courier New" w:hint="default"/>
      </w:rPr>
    </w:lvl>
    <w:lvl w:ilvl="8" w:tplc="580A0005" w:tentative="1">
      <w:start w:val="1"/>
      <w:numFmt w:val="bullet"/>
      <w:lvlText w:val=""/>
      <w:lvlJc w:val="left"/>
      <w:pPr>
        <w:ind w:left="6540" w:hanging="360"/>
      </w:pPr>
      <w:rPr>
        <w:rFonts w:ascii="Wingdings" w:hAnsi="Wingdings" w:hint="default"/>
      </w:rPr>
    </w:lvl>
  </w:abstractNum>
  <w:abstractNum w:abstractNumId="6" w15:restartNumberingAfterBreak="0">
    <w:nsid w:val="14CF7894"/>
    <w:multiLevelType w:val="multilevel"/>
    <w:tmpl w:val="48B80D4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BC28FB"/>
    <w:multiLevelType w:val="hybridMultilevel"/>
    <w:tmpl w:val="046E4C6C"/>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1957453A"/>
    <w:multiLevelType w:val="hybridMultilevel"/>
    <w:tmpl w:val="C87E2C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F610BD4"/>
    <w:multiLevelType w:val="hybridMultilevel"/>
    <w:tmpl w:val="6980E7C8"/>
    <w:lvl w:ilvl="0" w:tplc="140A000F">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0E95336"/>
    <w:multiLevelType w:val="hybridMultilevel"/>
    <w:tmpl w:val="95402FF8"/>
    <w:lvl w:ilvl="0" w:tplc="140A000F">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743601C"/>
    <w:multiLevelType w:val="hybridMultilevel"/>
    <w:tmpl w:val="D3ECB5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7ED77BD"/>
    <w:multiLevelType w:val="hybridMultilevel"/>
    <w:tmpl w:val="95BCB19A"/>
    <w:lvl w:ilvl="0" w:tplc="3806B21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D31716A"/>
    <w:multiLevelType w:val="hybridMultilevel"/>
    <w:tmpl w:val="B66254D6"/>
    <w:lvl w:ilvl="0" w:tplc="8952946E">
      <w:start w:val="1"/>
      <w:numFmt w:val="lowerLetter"/>
      <w:lvlText w:val="%1."/>
      <w:lvlJc w:val="left"/>
      <w:pPr>
        <w:ind w:left="720" w:hanging="360"/>
      </w:pPr>
      <w:rPr>
        <w:rFonts w:ascii="Book Antiqua" w:hAnsi="Book Antiqua" w:cs="Book Antiqua" w:hint="default"/>
        <w:i w:val="0"/>
        <w:sz w:val="24"/>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43F26450"/>
    <w:multiLevelType w:val="hybridMultilevel"/>
    <w:tmpl w:val="5CEE94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75F4732"/>
    <w:multiLevelType w:val="hybridMultilevel"/>
    <w:tmpl w:val="340877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1873C8"/>
    <w:multiLevelType w:val="hybridMultilevel"/>
    <w:tmpl w:val="5C384624"/>
    <w:lvl w:ilvl="0" w:tplc="01BA9040">
      <w:start w:val="1"/>
      <w:numFmt w:val="decimal"/>
      <w:lvlText w:val="%1)"/>
      <w:lvlJc w:val="left"/>
      <w:pPr>
        <w:ind w:left="1080" w:hanging="360"/>
      </w:pPr>
      <w:rPr>
        <w:rFonts w:hint="default"/>
        <w:b/>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7" w15:restartNumberingAfterBreak="0">
    <w:nsid w:val="4B2B0101"/>
    <w:multiLevelType w:val="hybridMultilevel"/>
    <w:tmpl w:val="83DE81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3C765A0"/>
    <w:multiLevelType w:val="hybridMultilevel"/>
    <w:tmpl w:val="08BEBCA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5642F1D"/>
    <w:multiLevelType w:val="multilevel"/>
    <w:tmpl w:val="6734C35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75E6A79"/>
    <w:multiLevelType w:val="hybridMultilevel"/>
    <w:tmpl w:val="4CE2DC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8434911"/>
    <w:multiLevelType w:val="hybridMultilevel"/>
    <w:tmpl w:val="AE021F3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9A31CDF"/>
    <w:multiLevelType w:val="hybridMultilevel"/>
    <w:tmpl w:val="BAD4DC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C865D7C"/>
    <w:multiLevelType w:val="hybridMultilevel"/>
    <w:tmpl w:val="046E4C6C"/>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F3D7D41"/>
    <w:multiLevelType w:val="hybridMultilevel"/>
    <w:tmpl w:val="ED3A71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FEA59D5"/>
    <w:multiLevelType w:val="hybridMultilevel"/>
    <w:tmpl w:val="2F7E47AC"/>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D8671A8"/>
    <w:multiLevelType w:val="hybridMultilevel"/>
    <w:tmpl w:val="EF26288C"/>
    <w:lvl w:ilvl="0" w:tplc="E2D222CC">
      <w:start w:val="1"/>
      <w:numFmt w:val="lowerLetter"/>
      <w:lvlText w:val="%1."/>
      <w:lvlJc w:val="left"/>
      <w:pPr>
        <w:ind w:left="720" w:hanging="360"/>
      </w:pPr>
      <w:rPr>
        <w:rFonts w:cs="Times New Roman" w:hint="default"/>
        <w:sz w:val="24"/>
        <w:szCs w:val="24"/>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6DB578D1"/>
    <w:multiLevelType w:val="multilevel"/>
    <w:tmpl w:val="FC4A35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A67CD4"/>
    <w:multiLevelType w:val="hybridMultilevel"/>
    <w:tmpl w:val="B66254D6"/>
    <w:lvl w:ilvl="0" w:tplc="8952946E">
      <w:start w:val="1"/>
      <w:numFmt w:val="lowerLetter"/>
      <w:lvlText w:val="%1."/>
      <w:lvlJc w:val="left"/>
      <w:pPr>
        <w:ind w:left="720" w:hanging="360"/>
      </w:pPr>
      <w:rPr>
        <w:rFonts w:ascii="Book Antiqua" w:hAnsi="Book Antiqua" w:cs="Book Antiqua" w:hint="default"/>
        <w:i w:val="0"/>
        <w:sz w:val="24"/>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6FAA259F"/>
    <w:multiLevelType w:val="hybridMultilevel"/>
    <w:tmpl w:val="2061AD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0430A66"/>
    <w:multiLevelType w:val="multilevel"/>
    <w:tmpl w:val="27B4827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0C34466"/>
    <w:multiLevelType w:val="hybridMultilevel"/>
    <w:tmpl w:val="DD7432A2"/>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743D2268"/>
    <w:multiLevelType w:val="hybridMultilevel"/>
    <w:tmpl w:val="6C3CB40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BE67C36"/>
    <w:multiLevelType w:val="hybridMultilevel"/>
    <w:tmpl w:val="0D5C066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4" w15:restartNumberingAfterBreak="0">
    <w:nsid w:val="7F9E225E"/>
    <w:multiLevelType w:val="hybridMultilevel"/>
    <w:tmpl w:val="4AAC26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FD7218"/>
    <w:multiLevelType w:val="hybridMultilevel"/>
    <w:tmpl w:val="8E0A7B0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1109004878">
    <w:abstractNumId w:val="20"/>
  </w:num>
  <w:num w:numId="2" w16cid:durableId="596599009">
    <w:abstractNumId w:val="33"/>
  </w:num>
  <w:num w:numId="3" w16cid:durableId="185214267">
    <w:abstractNumId w:val="4"/>
  </w:num>
  <w:num w:numId="4" w16cid:durableId="1216547832">
    <w:abstractNumId w:val="8"/>
  </w:num>
  <w:num w:numId="5" w16cid:durableId="1837501919">
    <w:abstractNumId w:val="22"/>
  </w:num>
  <w:num w:numId="6" w16cid:durableId="1669209015">
    <w:abstractNumId w:val="11"/>
  </w:num>
  <w:num w:numId="7" w16cid:durableId="769395823">
    <w:abstractNumId w:val="19"/>
  </w:num>
  <w:num w:numId="8" w16cid:durableId="424348294">
    <w:abstractNumId w:val="17"/>
  </w:num>
  <w:num w:numId="9" w16cid:durableId="915751469">
    <w:abstractNumId w:val="21"/>
  </w:num>
  <w:num w:numId="10" w16cid:durableId="1799832092">
    <w:abstractNumId w:val="32"/>
  </w:num>
  <w:num w:numId="11" w16cid:durableId="692848160">
    <w:abstractNumId w:val="12"/>
  </w:num>
  <w:num w:numId="12" w16cid:durableId="603073603">
    <w:abstractNumId w:val="24"/>
  </w:num>
  <w:num w:numId="13" w16cid:durableId="1036584412">
    <w:abstractNumId w:val="14"/>
  </w:num>
  <w:num w:numId="14" w16cid:durableId="1406534289">
    <w:abstractNumId w:val="31"/>
  </w:num>
  <w:num w:numId="15" w16cid:durableId="2050832878">
    <w:abstractNumId w:val="26"/>
  </w:num>
  <w:num w:numId="16" w16cid:durableId="163478940">
    <w:abstractNumId w:val="16"/>
  </w:num>
  <w:num w:numId="17" w16cid:durableId="134029490">
    <w:abstractNumId w:val="35"/>
  </w:num>
  <w:num w:numId="18" w16cid:durableId="337315498">
    <w:abstractNumId w:val="28"/>
  </w:num>
  <w:num w:numId="19" w16cid:durableId="960646502">
    <w:abstractNumId w:val="27"/>
  </w:num>
  <w:num w:numId="20" w16cid:durableId="870612842">
    <w:abstractNumId w:val="34"/>
  </w:num>
  <w:num w:numId="21" w16cid:durableId="527066960">
    <w:abstractNumId w:val="15"/>
  </w:num>
  <w:num w:numId="22" w16cid:durableId="1409771794">
    <w:abstractNumId w:val="23"/>
  </w:num>
  <w:num w:numId="23" w16cid:durableId="1007830042">
    <w:abstractNumId w:val="7"/>
  </w:num>
  <w:num w:numId="24" w16cid:durableId="37631931">
    <w:abstractNumId w:val="13"/>
  </w:num>
  <w:num w:numId="25" w16cid:durableId="383215942">
    <w:abstractNumId w:val="5"/>
  </w:num>
  <w:num w:numId="26" w16cid:durableId="847643952">
    <w:abstractNumId w:val="30"/>
  </w:num>
  <w:num w:numId="27" w16cid:durableId="2054571479">
    <w:abstractNumId w:val="25"/>
  </w:num>
  <w:num w:numId="28" w16cid:durableId="84227036">
    <w:abstractNumId w:val="18"/>
  </w:num>
  <w:num w:numId="29" w16cid:durableId="1236476010">
    <w:abstractNumId w:val="29"/>
  </w:num>
  <w:num w:numId="30" w16cid:durableId="1262566797">
    <w:abstractNumId w:val="1"/>
  </w:num>
  <w:num w:numId="31" w16cid:durableId="1287813288">
    <w:abstractNumId w:val="0"/>
  </w:num>
  <w:num w:numId="32" w16cid:durableId="931552300">
    <w:abstractNumId w:val="2"/>
  </w:num>
  <w:num w:numId="33" w16cid:durableId="673535553">
    <w:abstractNumId w:val="6"/>
  </w:num>
  <w:num w:numId="34" w16cid:durableId="1009911548">
    <w:abstractNumId w:val="9"/>
  </w:num>
  <w:num w:numId="35" w16cid:durableId="371880882">
    <w:abstractNumId w:val="10"/>
  </w:num>
  <w:num w:numId="36" w16cid:durableId="7629902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0D8"/>
    <w:rsid w:val="000035F0"/>
    <w:rsid w:val="00004BB1"/>
    <w:rsid w:val="00011603"/>
    <w:rsid w:val="00013023"/>
    <w:rsid w:val="00016789"/>
    <w:rsid w:val="000230DF"/>
    <w:rsid w:val="000313B4"/>
    <w:rsid w:val="000320E7"/>
    <w:rsid w:val="000373BE"/>
    <w:rsid w:val="00040737"/>
    <w:rsid w:val="00041057"/>
    <w:rsid w:val="00041C37"/>
    <w:rsid w:val="00047F56"/>
    <w:rsid w:val="00050AFD"/>
    <w:rsid w:val="0005130D"/>
    <w:rsid w:val="00052564"/>
    <w:rsid w:val="00055797"/>
    <w:rsid w:val="00057110"/>
    <w:rsid w:val="00062A29"/>
    <w:rsid w:val="00063F03"/>
    <w:rsid w:val="00066FB3"/>
    <w:rsid w:val="00070417"/>
    <w:rsid w:val="00070D8B"/>
    <w:rsid w:val="00073068"/>
    <w:rsid w:val="00073649"/>
    <w:rsid w:val="00074AA2"/>
    <w:rsid w:val="00077047"/>
    <w:rsid w:val="0008359B"/>
    <w:rsid w:val="00084752"/>
    <w:rsid w:val="00086896"/>
    <w:rsid w:val="0008695B"/>
    <w:rsid w:val="000870F5"/>
    <w:rsid w:val="00087CE8"/>
    <w:rsid w:val="0009055F"/>
    <w:rsid w:val="00090D18"/>
    <w:rsid w:val="00090E3A"/>
    <w:rsid w:val="00091C33"/>
    <w:rsid w:val="00091D57"/>
    <w:rsid w:val="0009414C"/>
    <w:rsid w:val="00095F19"/>
    <w:rsid w:val="000A1830"/>
    <w:rsid w:val="000A39BD"/>
    <w:rsid w:val="000A3ACB"/>
    <w:rsid w:val="000A42EA"/>
    <w:rsid w:val="000A53EE"/>
    <w:rsid w:val="000A7304"/>
    <w:rsid w:val="000B072A"/>
    <w:rsid w:val="000B0C21"/>
    <w:rsid w:val="000B7399"/>
    <w:rsid w:val="000B79AA"/>
    <w:rsid w:val="000C4175"/>
    <w:rsid w:val="000C4741"/>
    <w:rsid w:val="000C663A"/>
    <w:rsid w:val="000D058F"/>
    <w:rsid w:val="000D0D15"/>
    <w:rsid w:val="000D2907"/>
    <w:rsid w:val="000D2A29"/>
    <w:rsid w:val="000D47BE"/>
    <w:rsid w:val="000D4A86"/>
    <w:rsid w:val="000D6453"/>
    <w:rsid w:val="000E0160"/>
    <w:rsid w:val="000E6FA7"/>
    <w:rsid w:val="000F4DF9"/>
    <w:rsid w:val="000F7E84"/>
    <w:rsid w:val="00100D47"/>
    <w:rsid w:val="00104EE9"/>
    <w:rsid w:val="00106210"/>
    <w:rsid w:val="0010783E"/>
    <w:rsid w:val="00111E78"/>
    <w:rsid w:val="00112119"/>
    <w:rsid w:val="00120196"/>
    <w:rsid w:val="00121CC3"/>
    <w:rsid w:val="00122950"/>
    <w:rsid w:val="00124309"/>
    <w:rsid w:val="00124665"/>
    <w:rsid w:val="001275D8"/>
    <w:rsid w:val="001309D2"/>
    <w:rsid w:val="001313B9"/>
    <w:rsid w:val="001318BF"/>
    <w:rsid w:val="001359CC"/>
    <w:rsid w:val="0013743E"/>
    <w:rsid w:val="00142E1D"/>
    <w:rsid w:val="00143612"/>
    <w:rsid w:val="00143DD1"/>
    <w:rsid w:val="00145D68"/>
    <w:rsid w:val="001462C2"/>
    <w:rsid w:val="00150091"/>
    <w:rsid w:val="001507F2"/>
    <w:rsid w:val="0015126C"/>
    <w:rsid w:val="00151538"/>
    <w:rsid w:val="001532F0"/>
    <w:rsid w:val="00153689"/>
    <w:rsid w:val="001600F6"/>
    <w:rsid w:val="0016299E"/>
    <w:rsid w:val="00162A18"/>
    <w:rsid w:val="001653AB"/>
    <w:rsid w:val="00171285"/>
    <w:rsid w:val="001726A8"/>
    <w:rsid w:val="001736DF"/>
    <w:rsid w:val="00177407"/>
    <w:rsid w:val="00181D2A"/>
    <w:rsid w:val="001820AB"/>
    <w:rsid w:val="00186A2F"/>
    <w:rsid w:val="00186D8C"/>
    <w:rsid w:val="0019478B"/>
    <w:rsid w:val="00194A0A"/>
    <w:rsid w:val="001A00BE"/>
    <w:rsid w:val="001A0314"/>
    <w:rsid w:val="001A0644"/>
    <w:rsid w:val="001A0982"/>
    <w:rsid w:val="001A209B"/>
    <w:rsid w:val="001A245B"/>
    <w:rsid w:val="001A2C04"/>
    <w:rsid w:val="001A55E2"/>
    <w:rsid w:val="001B4955"/>
    <w:rsid w:val="001B6F22"/>
    <w:rsid w:val="001B7723"/>
    <w:rsid w:val="001B7A5F"/>
    <w:rsid w:val="001B7AA7"/>
    <w:rsid w:val="001C0D61"/>
    <w:rsid w:val="001C2F2D"/>
    <w:rsid w:val="001C50FE"/>
    <w:rsid w:val="001C7F1A"/>
    <w:rsid w:val="001D2FA0"/>
    <w:rsid w:val="001D7E08"/>
    <w:rsid w:val="001E00B2"/>
    <w:rsid w:val="001E2BA9"/>
    <w:rsid w:val="001E50B2"/>
    <w:rsid w:val="001E783D"/>
    <w:rsid w:val="001E7939"/>
    <w:rsid w:val="001F1040"/>
    <w:rsid w:val="001F22FB"/>
    <w:rsid w:val="001F4C78"/>
    <w:rsid w:val="001F4E8C"/>
    <w:rsid w:val="001F5F44"/>
    <w:rsid w:val="001F6038"/>
    <w:rsid w:val="002013ED"/>
    <w:rsid w:val="0020195A"/>
    <w:rsid w:val="00201F89"/>
    <w:rsid w:val="00204C26"/>
    <w:rsid w:val="00205998"/>
    <w:rsid w:val="00211322"/>
    <w:rsid w:val="00215EE6"/>
    <w:rsid w:val="002172D4"/>
    <w:rsid w:val="0022244D"/>
    <w:rsid w:val="00224F45"/>
    <w:rsid w:val="00225CE5"/>
    <w:rsid w:val="00225D0A"/>
    <w:rsid w:val="00230443"/>
    <w:rsid w:val="00230844"/>
    <w:rsid w:val="002325B9"/>
    <w:rsid w:val="0023318F"/>
    <w:rsid w:val="00234A9A"/>
    <w:rsid w:val="00240EFA"/>
    <w:rsid w:val="00242E00"/>
    <w:rsid w:val="00243161"/>
    <w:rsid w:val="0024522B"/>
    <w:rsid w:val="00246197"/>
    <w:rsid w:val="0024711F"/>
    <w:rsid w:val="00250AC9"/>
    <w:rsid w:val="00252FB1"/>
    <w:rsid w:val="00253BE5"/>
    <w:rsid w:val="00253C98"/>
    <w:rsid w:val="0026195A"/>
    <w:rsid w:val="00265A17"/>
    <w:rsid w:val="00267256"/>
    <w:rsid w:val="0027086F"/>
    <w:rsid w:val="00272B84"/>
    <w:rsid w:val="002816B8"/>
    <w:rsid w:val="0029218B"/>
    <w:rsid w:val="00292EB7"/>
    <w:rsid w:val="00294478"/>
    <w:rsid w:val="002A0660"/>
    <w:rsid w:val="002A3E57"/>
    <w:rsid w:val="002A536C"/>
    <w:rsid w:val="002A5912"/>
    <w:rsid w:val="002B5621"/>
    <w:rsid w:val="002C0FFF"/>
    <w:rsid w:val="002C2196"/>
    <w:rsid w:val="002C3A22"/>
    <w:rsid w:val="002C3EA5"/>
    <w:rsid w:val="002C55FD"/>
    <w:rsid w:val="002C60D8"/>
    <w:rsid w:val="002C6918"/>
    <w:rsid w:val="002D2C20"/>
    <w:rsid w:val="002D4C44"/>
    <w:rsid w:val="002D6AA7"/>
    <w:rsid w:val="002D771F"/>
    <w:rsid w:val="002D7D30"/>
    <w:rsid w:val="002F2334"/>
    <w:rsid w:val="0030037E"/>
    <w:rsid w:val="0030203A"/>
    <w:rsid w:val="0030498B"/>
    <w:rsid w:val="00304AF2"/>
    <w:rsid w:val="00310867"/>
    <w:rsid w:val="003147D6"/>
    <w:rsid w:val="0032030F"/>
    <w:rsid w:val="003207BC"/>
    <w:rsid w:val="0032301E"/>
    <w:rsid w:val="003235A7"/>
    <w:rsid w:val="00323E3C"/>
    <w:rsid w:val="00324040"/>
    <w:rsid w:val="003262BF"/>
    <w:rsid w:val="00327475"/>
    <w:rsid w:val="00330016"/>
    <w:rsid w:val="003303AF"/>
    <w:rsid w:val="003317F3"/>
    <w:rsid w:val="00333C35"/>
    <w:rsid w:val="003355E6"/>
    <w:rsid w:val="00335B45"/>
    <w:rsid w:val="003365E8"/>
    <w:rsid w:val="003404D4"/>
    <w:rsid w:val="00340723"/>
    <w:rsid w:val="00354BA8"/>
    <w:rsid w:val="00355C30"/>
    <w:rsid w:val="003574BE"/>
    <w:rsid w:val="00360D04"/>
    <w:rsid w:val="00360D99"/>
    <w:rsid w:val="003623D1"/>
    <w:rsid w:val="0036478B"/>
    <w:rsid w:val="0037350A"/>
    <w:rsid w:val="00381470"/>
    <w:rsid w:val="0038241E"/>
    <w:rsid w:val="00384649"/>
    <w:rsid w:val="003848FA"/>
    <w:rsid w:val="003967FF"/>
    <w:rsid w:val="003A0E38"/>
    <w:rsid w:val="003A40CD"/>
    <w:rsid w:val="003A40FF"/>
    <w:rsid w:val="003B0517"/>
    <w:rsid w:val="003B2192"/>
    <w:rsid w:val="003B5E70"/>
    <w:rsid w:val="003B64B7"/>
    <w:rsid w:val="003B7DC0"/>
    <w:rsid w:val="003C028E"/>
    <w:rsid w:val="003C061D"/>
    <w:rsid w:val="003C3846"/>
    <w:rsid w:val="003C3D4B"/>
    <w:rsid w:val="003C4676"/>
    <w:rsid w:val="003C60D1"/>
    <w:rsid w:val="003C6ECF"/>
    <w:rsid w:val="003D4D8A"/>
    <w:rsid w:val="003D68F6"/>
    <w:rsid w:val="003D7387"/>
    <w:rsid w:val="003E78E7"/>
    <w:rsid w:val="003E7AAB"/>
    <w:rsid w:val="003F1BAC"/>
    <w:rsid w:val="003F2ACE"/>
    <w:rsid w:val="003F3048"/>
    <w:rsid w:val="003F40FA"/>
    <w:rsid w:val="003F46E2"/>
    <w:rsid w:val="003F4B51"/>
    <w:rsid w:val="00405562"/>
    <w:rsid w:val="00410526"/>
    <w:rsid w:val="00413538"/>
    <w:rsid w:val="00413E78"/>
    <w:rsid w:val="004145B1"/>
    <w:rsid w:val="00417ED6"/>
    <w:rsid w:val="0042468B"/>
    <w:rsid w:val="004275DF"/>
    <w:rsid w:val="004370B5"/>
    <w:rsid w:val="00442F62"/>
    <w:rsid w:val="004432D7"/>
    <w:rsid w:val="00443645"/>
    <w:rsid w:val="00447D9C"/>
    <w:rsid w:val="00453D9C"/>
    <w:rsid w:val="00455064"/>
    <w:rsid w:val="004550AD"/>
    <w:rsid w:val="0046240E"/>
    <w:rsid w:val="00465094"/>
    <w:rsid w:val="00475B09"/>
    <w:rsid w:val="00476FE9"/>
    <w:rsid w:val="0048292B"/>
    <w:rsid w:val="00483A0A"/>
    <w:rsid w:val="004852AE"/>
    <w:rsid w:val="0048598F"/>
    <w:rsid w:val="0048607D"/>
    <w:rsid w:val="00486513"/>
    <w:rsid w:val="004A0861"/>
    <w:rsid w:val="004A112E"/>
    <w:rsid w:val="004A1598"/>
    <w:rsid w:val="004A18AF"/>
    <w:rsid w:val="004A261F"/>
    <w:rsid w:val="004B733F"/>
    <w:rsid w:val="004C14BC"/>
    <w:rsid w:val="004D289D"/>
    <w:rsid w:val="004D2F14"/>
    <w:rsid w:val="004D3FF2"/>
    <w:rsid w:val="004E0BD7"/>
    <w:rsid w:val="004E0E84"/>
    <w:rsid w:val="004E40EB"/>
    <w:rsid w:val="004E4E41"/>
    <w:rsid w:val="004E6D81"/>
    <w:rsid w:val="004F2BC1"/>
    <w:rsid w:val="004F32FF"/>
    <w:rsid w:val="004F60E9"/>
    <w:rsid w:val="004F6CDF"/>
    <w:rsid w:val="00501AD5"/>
    <w:rsid w:val="00510007"/>
    <w:rsid w:val="00510A1D"/>
    <w:rsid w:val="00510B8D"/>
    <w:rsid w:val="00511082"/>
    <w:rsid w:val="00516DB6"/>
    <w:rsid w:val="00521C4C"/>
    <w:rsid w:val="0052339B"/>
    <w:rsid w:val="005275BB"/>
    <w:rsid w:val="00531462"/>
    <w:rsid w:val="00533DFF"/>
    <w:rsid w:val="00534ED3"/>
    <w:rsid w:val="00543712"/>
    <w:rsid w:val="00546DA2"/>
    <w:rsid w:val="0055035B"/>
    <w:rsid w:val="00553B7D"/>
    <w:rsid w:val="005554EB"/>
    <w:rsid w:val="0056456B"/>
    <w:rsid w:val="005661F1"/>
    <w:rsid w:val="00576D2B"/>
    <w:rsid w:val="00577A07"/>
    <w:rsid w:val="00577A37"/>
    <w:rsid w:val="00583524"/>
    <w:rsid w:val="00585825"/>
    <w:rsid w:val="00591709"/>
    <w:rsid w:val="00591A0C"/>
    <w:rsid w:val="0059264C"/>
    <w:rsid w:val="00596E0F"/>
    <w:rsid w:val="00597F8C"/>
    <w:rsid w:val="005A19E7"/>
    <w:rsid w:val="005A6A65"/>
    <w:rsid w:val="005A777F"/>
    <w:rsid w:val="005B1E87"/>
    <w:rsid w:val="005B2217"/>
    <w:rsid w:val="005B302A"/>
    <w:rsid w:val="005B67F9"/>
    <w:rsid w:val="005B6FEC"/>
    <w:rsid w:val="005B7DFA"/>
    <w:rsid w:val="005C0C7B"/>
    <w:rsid w:val="005C1D9B"/>
    <w:rsid w:val="005C2C51"/>
    <w:rsid w:val="005C3150"/>
    <w:rsid w:val="005C32A7"/>
    <w:rsid w:val="005C689A"/>
    <w:rsid w:val="005C7C5F"/>
    <w:rsid w:val="005D130D"/>
    <w:rsid w:val="005E3048"/>
    <w:rsid w:val="005E4237"/>
    <w:rsid w:val="005E4BFB"/>
    <w:rsid w:val="005E76BD"/>
    <w:rsid w:val="005F023A"/>
    <w:rsid w:val="005F36A1"/>
    <w:rsid w:val="005F5B99"/>
    <w:rsid w:val="005F795F"/>
    <w:rsid w:val="006013F9"/>
    <w:rsid w:val="00601E8A"/>
    <w:rsid w:val="006031C6"/>
    <w:rsid w:val="006067FD"/>
    <w:rsid w:val="00607E3D"/>
    <w:rsid w:val="006139D5"/>
    <w:rsid w:val="0061559D"/>
    <w:rsid w:val="006170BF"/>
    <w:rsid w:val="006205A5"/>
    <w:rsid w:val="00632B96"/>
    <w:rsid w:val="00632FE8"/>
    <w:rsid w:val="0063315B"/>
    <w:rsid w:val="00633264"/>
    <w:rsid w:val="00633EB7"/>
    <w:rsid w:val="00635298"/>
    <w:rsid w:val="00636D8E"/>
    <w:rsid w:val="00640BED"/>
    <w:rsid w:val="006505B1"/>
    <w:rsid w:val="00662E61"/>
    <w:rsid w:val="00665AEF"/>
    <w:rsid w:val="00672C5C"/>
    <w:rsid w:val="006769AC"/>
    <w:rsid w:val="00677C4E"/>
    <w:rsid w:val="00687631"/>
    <w:rsid w:val="0068792E"/>
    <w:rsid w:val="00687CF1"/>
    <w:rsid w:val="00690EC5"/>
    <w:rsid w:val="00694951"/>
    <w:rsid w:val="0069578D"/>
    <w:rsid w:val="0069653D"/>
    <w:rsid w:val="00696FA5"/>
    <w:rsid w:val="00697FC3"/>
    <w:rsid w:val="006B06A0"/>
    <w:rsid w:val="006B126E"/>
    <w:rsid w:val="006B22DF"/>
    <w:rsid w:val="006B35E6"/>
    <w:rsid w:val="006B4BCC"/>
    <w:rsid w:val="006B7056"/>
    <w:rsid w:val="006C1A02"/>
    <w:rsid w:val="006C70DF"/>
    <w:rsid w:val="006C731A"/>
    <w:rsid w:val="006D0318"/>
    <w:rsid w:val="006D4AFB"/>
    <w:rsid w:val="006E38D3"/>
    <w:rsid w:val="006E4762"/>
    <w:rsid w:val="006F1F3E"/>
    <w:rsid w:val="0070053F"/>
    <w:rsid w:val="00700E55"/>
    <w:rsid w:val="007018E0"/>
    <w:rsid w:val="00703BB6"/>
    <w:rsid w:val="00704DE4"/>
    <w:rsid w:val="00705383"/>
    <w:rsid w:val="00706506"/>
    <w:rsid w:val="00706CEE"/>
    <w:rsid w:val="00712B53"/>
    <w:rsid w:val="00716F0D"/>
    <w:rsid w:val="00717642"/>
    <w:rsid w:val="00720CA2"/>
    <w:rsid w:val="00723E49"/>
    <w:rsid w:val="0072518C"/>
    <w:rsid w:val="00727580"/>
    <w:rsid w:val="0073275E"/>
    <w:rsid w:val="007345ED"/>
    <w:rsid w:val="00740075"/>
    <w:rsid w:val="00740E5B"/>
    <w:rsid w:val="007412EC"/>
    <w:rsid w:val="007448E5"/>
    <w:rsid w:val="0074566F"/>
    <w:rsid w:val="0074783E"/>
    <w:rsid w:val="00750902"/>
    <w:rsid w:val="0075128E"/>
    <w:rsid w:val="00751B4B"/>
    <w:rsid w:val="0075463F"/>
    <w:rsid w:val="00755A62"/>
    <w:rsid w:val="0077093E"/>
    <w:rsid w:val="00774DEC"/>
    <w:rsid w:val="00775358"/>
    <w:rsid w:val="0077743C"/>
    <w:rsid w:val="0078380A"/>
    <w:rsid w:val="0078558C"/>
    <w:rsid w:val="00786731"/>
    <w:rsid w:val="00787A54"/>
    <w:rsid w:val="0079043C"/>
    <w:rsid w:val="00790B49"/>
    <w:rsid w:val="00791359"/>
    <w:rsid w:val="00793B33"/>
    <w:rsid w:val="00794699"/>
    <w:rsid w:val="00795CF6"/>
    <w:rsid w:val="00797E3D"/>
    <w:rsid w:val="007A09EF"/>
    <w:rsid w:val="007A1CA4"/>
    <w:rsid w:val="007A7A47"/>
    <w:rsid w:val="007A7C06"/>
    <w:rsid w:val="007B17D8"/>
    <w:rsid w:val="007B2290"/>
    <w:rsid w:val="007B26D3"/>
    <w:rsid w:val="007B2884"/>
    <w:rsid w:val="007B7E73"/>
    <w:rsid w:val="007C1DA8"/>
    <w:rsid w:val="007C249E"/>
    <w:rsid w:val="007C2774"/>
    <w:rsid w:val="007C5F43"/>
    <w:rsid w:val="007C7D03"/>
    <w:rsid w:val="007D0189"/>
    <w:rsid w:val="007D0D27"/>
    <w:rsid w:val="007D3932"/>
    <w:rsid w:val="007D5648"/>
    <w:rsid w:val="007D6FF7"/>
    <w:rsid w:val="007E05D7"/>
    <w:rsid w:val="007E0910"/>
    <w:rsid w:val="007E13FD"/>
    <w:rsid w:val="007E3755"/>
    <w:rsid w:val="007E4646"/>
    <w:rsid w:val="007F4E49"/>
    <w:rsid w:val="007F611F"/>
    <w:rsid w:val="007F7172"/>
    <w:rsid w:val="007F7D0F"/>
    <w:rsid w:val="007F7FE4"/>
    <w:rsid w:val="0081044E"/>
    <w:rsid w:val="00811063"/>
    <w:rsid w:val="0081722F"/>
    <w:rsid w:val="008266EB"/>
    <w:rsid w:val="00827769"/>
    <w:rsid w:val="00835521"/>
    <w:rsid w:val="008410AE"/>
    <w:rsid w:val="00841EAB"/>
    <w:rsid w:val="00843826"/>
    <w:rsid w:val="0084619E"/>
    <w:rsid w:val="008462AD"/>
    <w:rsid w:val="00866484"/>
    <w:rsid w:val="0087538D"/>
    <w:rsid w:val="00876BB3"/>
    <w:rsid w:val="00877674"/>
    <w:rsid w:val="0088048E"/>
    <w:rsid w:val="00881939"/>
    <w:rsid w:val="00882E49"/>
    <w:rsid w:val="008865EE"/>
    <w:rsid w:val="00890105"/>
    <w:rsid w:val="0089046B"/>
    <w:rsid w:val="008937C3"/>
    <w:rsid w:val="0089528A"/>
    <w:rsid w:val="00895BD6"/>
    <w:rsid w:val="00897175"/>
    <w:rsid w:val="0089760C"/>
    <w:rsid w:val="00897807"/>
    <w:rsid w:val="00897DBF"/>
    <w:rsid w:val="00897FED"/>
    <w:rsid w:val="008A650A"/>
    <w:rsid w:val="008A6DF8"/>
    <w:rsid w:val="008B113A"/>
    <w:rsid w:val="008B19AC"/>
    <w:rsid w:val="008B2FCA"/>
    <w:rsid w:val="008B6846"/>
    <w:rsid w:val="008B7EA0"/>
    <w:rsid w:val="008C2B0D"/>
    <w:rsid w:val="008C36D0"/>
    <w:rsid w:val="008C5CFA"/>
    <w:rsid w:val="008C730F"/>
    <w:rsid w:val="008D03FD"/>
    <w:rsid w:val="008D0DA1"/>
    <w:rsid w:val="008D1204"/>
    <w:rsid w:val="008D2CD7"/>
    <w:rsid w:val="008D6502"/>
    <w:rsid w:val="008D6AA0"/>
    <w:rsid w:val="008E4FBA"/>
    <w:rsid w:val="008E5E75"/>
    <w:rsid w:val="008F3F5B"/>
    <w:rsid w:val="008F69F8"/>
    <w:rsid w:val="009006A6"/>
    <w:rsid w:val="00900BF1"/>
    <w:rsid w:val="00901260"/>
    <w:rsid w:val="00901C54"/>
    <w:rsid w:val="009076F0"/>
    <w:rsid w:val="0091095A"/>
    <w:rsid w:val="00913129"/>
    <w:rsid w:val="00913C86"/>
    <w:rsid w:val="009140AF"/>
    <w:rsid w:val="00915936"/>
    <w:rsid w:val="0091694A"/>
    <w:rsid w:val="00917966"/>
    <w:rsid w:val="00930E40"/>
    <w:rsid w:val="00932D3D"/>
    <w:rsid w:val="00933D21"/>
    <w:rsid w:val="00936318"/>
    <w:rsid w:val="00936336"/>
    <w:rsid w:val="009377DD"/>
    <w:rsid w:val="00940CA4"/>
    <w:rsid w:val="00940E5F"/>
    <w:rsid w:val="0094423B"/>
    <w:rsid w:val="00945308"/>
    <w:rsid w:val="0094696D"/>
    <w:rsid w:val="0095102A"/>
    <w:rsid w:val="00951A8C"/>
    <w:rsid w:val="00961A25"/>
    <w:rsid w:val="009627D9"/>
    <w:rsid w:val="00963651"/>
    <w:rsid w:val="00963B27"/>
    <w:rsid w:val="00966100"/>
    <w:rsid w:val="009742D0"/>
    <w:rsid w:val="009818CC"/>
    <w:rsid w:val="009922A9"/>
    <w:rsid w:val="009927F6"/>
    <w:rsid w:val="00994B46"/>
    <w:rsid w:val="0099517E"/>
    <w:rsid w:val="00995931"/>
    <w:rsid w:val="00995D91"/>
    <w:rsid w:val="00996226"/>
    <w:rsid w:val="009A0D09"/>
    <w:rsid w:val="009A2851"/>
    <w:rsid w:val="009A3007"/>
    <w:rsid w:val="009A4D61"/>
    <w:rsid w:val="009A52D9"/>
    <w:rsid w:val="009A5C9B"/>
    <w:rsid w:val="009B164E"/>
    <w:rsid w:val="009B1ABF"/>
    <w:rsid w:val="009B3A57"/>
    <w:rsid w:val="009B3FE5"/>
    <w:rsid w:val="009B408F"/>
    <w:rsid w:val="009B4402"/>
    <w:rsid w:val="009B45B5"/>
    <w:rsid w:val="009C5289"/>
    <w:rsid w:val="009C6727"/>
    <w:rsid w:val="009D1900"/>
    <w:rsid w:val="009D1FD1"/>
    <w:rsid w:val="009D4A83"/>
    <w:rsid w:val="009D6322"/>
    <w:rsid w:val="009E30CB"/>
    <w:rsid w:val="009E3A9E"/>
    <w:rsid w:val="009E4052"/>
    <w:rsid w:val="009E48D4"/>
    <w:rsid w:val="009E5159"/>
    <w:rsid w:val="009E65ED"/>
    <w:rsid w:val="009E79B8"/>
    <w:rsid w:val="009F0002"/>
    <w:rsid w:val="009F25B7"/>
    <w:rsid w:val="009F3B32"/>
    <w:rsid w:val="00A00260"/>
    <w:rsid w:val="00A035E8"/>
    <w:rsid w:val="00A038A8"/>
    <w:rsid w:val="00A0527A"/>
    <w:rsid w:val="00A06FBA"/>
    <w:rsid w:val="00A204A2"/>
    <w:rsid w:val="00A31483"/>
    <w:rsid w:val="00A31E9F"/>
    <w:rsid w:val="00A31EC5"/>
    <w:rsid w:val="00A36500"/>
    <w:rsid w:val="00A42197"/>
    <w:rsid w:val="00A52295"/>
    <w:rsid w:val="00A546D9"/>
    <w:rsid w:val="00A54FBC"/>
    <w:rsid w:val="00A60B2D"/>
    <w:rsid w:val="00A65033"/>
    <w:rsid w:val="00A672C4"/>
    <w:rsid w:val="00A679E1"/>
    <w:rsid w:val="00A67EC7"/>
    <w:rsid w:val="00A705B4"/>
    <w:rsid w:val="00A729BD"/>
    <w:rsid w:val="00A74DC7"/>
    <w:rsid w:val="00A77AEF"/>
    <w:rsid w:val="00A93F07"/>
    <w:rsid w:val="00A93F9C"/>
    <w:rsid w:val="00AA223B"/>
    <w:rsid w:val="00AA4E5B"/>
    <w:rsid w:val="00AA5D18"/>
    <w:rsid w:val="00AB0891"/>
    <w:rsid w:val="00AB0DD5"/>
    <w:rsid w:val="00AB2A69"/>
    <w:rsid w:val="00AB5438"/>
    <w:rsid w:val="00AC0F8D"/>
    <w:rsid w:val="00AC1EA2"/>
    <w:rsid w:val="00AC2218"/>
    <w:rsid w:val="00AC2A19"/>
    <w:rsid w:val="00AC4190"/>
    <w:rsid w:val="00AC53D3"/>
    <w:rsid w:val="00AD765A"/>
    <w:rsid w:val="00AD7D21"/>
    <w:rsid w:val="00AE023E"/>
    <w:rsid w:val="00AE2C7D"/>
    <w:rsid w:val="00AE56D7"/>
    <w:rsid w:val="00AE5FCE"/>
    <w:rsid w:val="00AF1B71"/>
    <w:rsid w:val="00AF4EE9"/>
    <w:rsid w:val="00AF736B"/>
    <w:rsid w:val="00AF7FAD"/>
    <w:rsid w:val="00B01106"/>
    <w:rsid w:val="00B01443"/>
    <w:rsid w:val="00B04D7B"/>
    <w:rsid w:val="00B06232"/>
    <w:rsid w:val="00B1384D"/>
    <w:rsid w:val="00B14942"/>
    <w:rsid w:val="00B16048"/>
    <w:rsid w:val="00B23648"/>
    <w:rsid w:val="00B3340A"/>
    <w:rsid w:val="00B3672D"/>
    <w:rsid w:val="00B36919"/>
    <w:rsid w:val="00B40DE2"/>
    <w:rsid w:val="00B41647"/>
    <w:rsid w:val="00B44DF5"/>
    <w:rsid w:val="00B46FCF"/>
    <w:rsid w:val="00B50000"/>
    <w:rsid w:val="00B51A55"/>
    <w:rsid w:val="00B56EF4"/>
    <w:rsid w:val="00B6199D"/>
    <w:rsid w:val="00B64F9E"/>
    <w:rsid w:val="00B651F1"/>
    <w:rsid w:val="00B652F7"/>
    <w:rsid w:val="00B704FA"/>
    <w:rsid w:val="00B70E91"/>
    <w:rsid w:val="00B71789"/>
    <w:rsid w:val="00B72135"/>
    <w:rsid w:val="00B7229A"/>
    <w:rsid w:val="00B758D7"/>
    <w:rsid w:val="00B75E5B"/>
    <w:rsid w:val="00B76D07"/>
    <w:rsid w:val="00B77E22"/>
    <w:rsid w:val="00B8215B"/>
    <w:rsid w:val="00B8250E"/>
    <w:rsid w:val="00B83CAA"/>
    <w:rsid w:val="00B84D81"/>
    <w:rsid w:val="00B853BB"/>
    <w:rsid w:val="00B854D6"/>
    <w:rsid w:val="00B92707"/>
    <w:rsid w:val="00B956CC"/>
    <w:rsid w:val="00B967A6"/>
    <w:rsid w:val="00B972FA"/>
    <w:rsid w:val="00B97D60"/>
    <w:rsid w:val="00BA5B21"/>
    <w:rsid w:val="00BA6CD5"/>
    <w:rsid w:val="00BB0D54"/>
    <w:rsid w:val="00BB4400"/>
    <w:rsid w:val="00BB611A"/>
    <w:rsid w:val="00BB6401"/>
    <w:rsid w:val="00BB7B05"/>
    <w:rsid w:val="00BC127C"/>
    <w:rsid w:val="00BC3696"/>
    <w:rsid w:val="00BC4107"/>
    <w:rsid w:val="00BC5C6B"/>
    <w:rsid w:val="00BC62F6"/>
    <w:rsid w:val="00BD6ADC"/>
    <w:rsid w:val="00BE38CC"/>
    <w:rsid w:val="00BE442E"/>
    <w:rsid w:val="00BE44A4"/>
    <w:rsid w:val="00BE55B1"/>
    <w:rsid w:val="00BF08B7"/>
    <w:rsid w:val="00BF0A3A"/>
    <w:rsid w:val="00BF4FC1"/>
    <w:rsid w:val="00BF5294"/>
    <w:rsid w:val="00BF723E"/>
    <w:rsid w:val="00BF7A3E"/>
    <w:rsid w:val="00BF7BE6"/>
    <w:rsid w:val="00C01A55"/>
    <w:rsid w:val="00C01FED"/>
    <w:rsid w:val="00C054CF"/>
    <w:rsid w:val="00C072A7"/>
    <w:rsid w:val="00C2101D"/>
    <w:rsid w:val="00C233A8"/>
    <w:rsid w:val="00C30BD4"/>
    <w:rsid w:val="00C31735"/>
    <w:rsid w:val="00C338E5"/>
    <w:rsid w:val="00C34244"/>
    <w:rsid w:val="00C34B01"/>
    <w:rsid w:val="00C37B5A"/>
    <w:rsid w:val="00C411C9"/>
    <w:rsid w:val="00C45571"/>
    <w:rsid w:val="00C507D8"/>
    <w:rsid w:val="00C51DD9"/>
    <w:rsid w:val="00C53772"/>
    <w:rsid w:val="00C55EEC"/>
    <w:rsid w:val="00C56C40"/>
    <w:rsid w:val="00C625E5"/>
    <w:rsid w:val="00C62634"/>
    <w:rsid w:val="00C638D1"/>
    <w:rsid w:val="00C66BD0"/>
    <w:rsid w:val="00C67DA4"/>
    <w:rsid w:val="00C730D3"/>
    <w:rsid w:val="00C73F39"/>
    <w:rsid w:val="00C74C06"/>
    <w:rsid w:val="00C757C0"/>
    <w:rsid w:val="00C7663E"/>
    <w:rsid w:val="00C76FA3"/>
    <w:rsid w:val="00C82516"/>
    <w:rsid w:val="00C952CB"/>
    <w:rsid w:val="00C969BA"/>
    <w:rsid w:val="00CA01CC"/>
    <w:rsid w:val="00CA0A99"/>
    <w:rsid w:val="00CA21E2"/>
    <w:rsid w:val="00CA5619"/>
    <w:rsid w:val="00CA5E1B"/>
    <w:rsid w:val="00CB1DB6"/>
    <w:rsid w:val="00CB228F"/>
    <w:rsid w:val="00CB3CAC"/>
    <w:rsid w:val="00CB6FDC"/>
    <w:rsid w:val="00CB70CC"/>
    <w:rsid w:val="00CC002F"/>
    <w:rsid w:val="00CC31DB"/>
    <w:rsid w:val="00CC4359"/>
    <w:rsid w:val="00CC5047"/>
    <w:rsid w:val="00CD0B4B"/>
    <w:rsid w:val="00CD4063"/>
    <w:rsid w:val="00CD4B11"/>
    <w:rsid w:val="00CD67D6"/>
    <w:rsid w:val="00CE5F02"/>
    <w:rsid w:val="00CE6FF7"/>
    <w:rsid w:val="00CF1C10"/>
    <w:rsid w:val="00CF1EAC"/>
    <w:rsid w:val="00CF3C46"/>
    <w:rsid w:val="00CF5E7F"/>
    <w:rsid w:val="00D00682"/>
    <w:rsid w:val="00D07EAC"/>
    <w:rsid w:val="00D14A36"/>
    <w:rsid w:val="00D158A8"/>
    <w:rsid w:val="00D166BB"/>
    <w:rsid w:val="00D20539"/>
    <w:rsid w:val="00D21877"/>
    <w:rsid w:val="00D3069C"/>
    <w:rsid w:val="00D336E1"/>
    <w:rsid w:val="00D33748"/>
    <w:rsid w:val="00D33E72"/>
    <w:rsid w:val="00D35DC5"/>
    <w:rsid w:val="00D37F99"/>
    <w:rsid w:val="00D41894"/>
    <w:rsid w:val="00D41AF8"/>
    <w:rsid w:val="00D44D01"/>
    <w:rsid w:val="00D4726C"/>
    <w:rsid w:val="00D50CDC"/>
    <w:rsid w:val="00D524A5"/>
    <w:rsid w:val="00D54E43"/>
    <w:rsid w:val="00D6041E"/>
    <w:rsid w:val="00D644F5"/>
    <w:rsid w:val="00D67FA6"/>
    <w:rsid w:val="00D70743"/>
    <w:rsid w:val="00D827D4"/>
    <w:rsid w:val="00D82FC7"/>
    <w:rsid w:val="00D854E3"/>
    <w:rsid w:val="00D85E98"/>
    <w:rsid w:val="00D86197"/>
    <w:rsid w:val="00D9394C"/>
    <w:rsid w:val="00D93EC4"/>
    <w:rsid w:val="00D9487C"/>
    <w:rsid w:val="00D9556C"/>
    <w:rsid w:val="00D95C38"/>
    <w:rsid w:val="00D977F4"/>
    <w:rsid w:val="00DA0124"/>
    <w:rsid w:val="00DA0F69"/>
    <w:rsid w:val="00DA167F"/>
    <w:rsid w:val="00DA4410"/>
    <w:rsid w:val="00DA7194"/>
    <w:rsid w:val="00DA7B24"/>
    <w:rsid w:val="00DB2767"/>
    <w:rsid w:val="00DB51C4"/>
    <w:rsid w:val="00DB5499"/>
    <w:rsid w:val="00DC3517"/>
    <w:rsid w:val="00DC411D"/>
    <w:rsid w:val="00DD228C"/>
    <w:rsid w:val="00DE034A"/>
    <w:rsid w:val="00DE3529"/>
    <w:rsid w:val="00DE3700"/>
    <w:rsid w:val="00DE56EA"/>
    <w:rsid w:val="00DE7FE9"/>
    <w:rsid w:val="00DF0B38"/>
    <w:rsid w:val="00DF2125"/>
    <w:rsid w:val="00DF2EAC"/>
    <w:rsid w:val="00DF3525"/>
    <w:rsid w:val="00DF36AA"/>
    <w:rsid w:val="00DF4E74"/>
    <w:rsid w:val="00E006F6"/>
    <w:rsid w:val="00E122A3"/>
    <w:rsid w:val="00E1574B"/>
    <w:rsid w:val="00E217D0"/>
    <w:rsid w:val="00E217E0"/>
    <w:rsid w:val="00E218D9"/>
    <w:rsid w:val="00E261D2"/>
    <w:rsid w:val="00E267E8"/>
    <w:rsid w:val="00E2722D"/>
    <w:rsid w:val="00E30CFA"/>
    <w:rsid w:val="00E31B87"/>
    <w:rsid w:val="00E328B7"/>
    <w:rsid w:val="00E33634"/>
    <w:rsid w:val="00E3482A"/>
    <w:rsid w:val="00E35BB4"/>
    <w:rsid w:val="00E41924"/>
    <w:rsid w:val="00E46F4A"/>
    <w:rsid w:val="00E5328E"/>
    <w:rsid w:val="00E54A63"/>
    <w:rsid w:val="00E55DE9"/>
    <w:rsid w:val="00E626F1"/>
    <w:rsid w:val="00E66A52"/>
    <w:rsid w:val="00E70C6F"/>
    <w:rsid w:val="00E743BF"/>
    <w:rsid w:val="00E75DAF"/>
    <w:rsid w:val="00E770E1"/>
    <w:rsid w:val="00E8004B"/>
    <w:rsid w:val="00E80623"/>
    <w:rsid w:val="00E80A01"/>
    <w:rsid w:val="00E85642"/>
    <w:rsid w:val="00E904AC"/>
    <w:rsid w:val="00E91773"/>
    <w:rsid w:val="00E91E22"/>
    <w:rsid w:val="00E93C3F"/>
    <w:rsid w:val="00EA0E71"/>
    <w:rsid w:val="00EA1308"/>
    <w:rsid w:val="00EA2DB9"/>
    <w:rsid w:val="00EA4768"/>
    <w:rsid w:val="00EA6A60"/>
    <w:rsid w:val="00EB3B99"/>
    <w:rsid w:val="00EB4E9B"/>
    <w:rsid w:val="00EB53D5"/>
    <w:rsid w:val="00EB62B3"/>
    <w:rsid w:val="00EC5BE8"/>
    <w:rsid w:val="00EC6A8F"/>
    <w:rsid w:val="00EC732A"/>
    <w:rsid w:val="00EC7D3A"/>
    <w:rsid w:val="00ED0ECF"/>
    <w:rsid w:val="00ED58A6"/>
    <w:rsid w:val="00ED6736"/>
    <w:rsid w:val="00ED7750"/>
    <w:rsid w:val="00EE2D9B"/>
    <w:rsid w:val="00EE2F23"/>
    <w:rsid w:val="00EE309C"/>
    <w:rsid w:val="00EE33D5"/>
    <w:rsid w:val="00EE48C5"/>
    <w:rsid w:val="00EF0DFE"/>
    <w:rsid w:val="00EF1752"/>
    <w:rsid w:val="00EF185D"/>
    <w:rsid w:val="00EF1F68"/>
    <w:rsid w:val="00EF64F7"/>
    <w:rsid w:val="00EF71F3"/>
    <w:rsid w:val="00EF7CA5"/>
    <w:rsid w:val="00EF7D06"/>
    <w:rsid w:val="00F028AC"/>
    <w:rsid w:val="00F02FB8"/>
    <w:rsid w:val="00F03238"/>
    <w:rsid w:val="00F03D71"/>
    <w:rsid w:val="00F057E7"/>
    <w:rsid w:val="00F0789F"/>
    <w:rsid w:val="00F13CC2"/>
    <w:rsid w:val="00F3444D"/>
    <w:rsid w:val="00F41EE3"/>
    <w:rsid w:val="00F43DB9"/>
    <w:rsid w:val="00F44BC7"/>
    <w:rsid w:val="00F4526D"/>
    <w:rsid w:val="00F465DA"/>
    <w:rsid w:val="00F50141"/>
    <w:rsid w:val="00F53A3A"/>
    <w:rsid w:val="00F54426"/>
    <w:rsid w:val="00F546B4"/>
    <w:rsid w:val="00F55A53"/>
    <w:rsid w:val="00F604A9"/>
    <w:rsid w:val="00F60850"/>
    <w:rsid w:val="00F634CA"/>
    <w:rsid w:val="00F63DCA"/>
    <w:rsid w:val="00F64A03"/>
    <w:rsid w:val="00F658FE"/>
    <w:rsid w:val="00F67EC5"/>
    <w:rsid w:val="00F71B5E"/>
    <w:rsid w:val="00F778F1"/>
    <w:rsid w:val="00F81CC0"/>
    <w:rsid w:val="00F837C9"/>
    <w:rsid w:val="00F83A13"/>
    <w:rsid w:val="00F86011"/>
    <w:rsid w:val="00F875A0"/>
    <w:rsid w:val="00F938B0"/>
    <w:rsid w:val="00F949CC"/>
    <w:rsid w:val="00FA25BD"/>
    <w:rsid w:val="00FA387F"/>
    <w:rsid w:val="00FA5E49"/>
    <w:rsid w:val="00FA6994"/>
    <w:rsid w:val="00FA6E78"/>
    <w:rsid w:val="00FB24DC"/>
    <w:rsid w:val="00FB2D64"/>
    <w:rsid w:val="00FB4C0C"/>
    <w:rsid w:val="00FB4EFC"/>
    <w:rsid w:val="00FB6990"/>
    <w:rsid w:val="00FC24AE"/>
    <w:rsid w:val="00FC24C3"/>
    <w:rsid w:val="00FC32BA"/>
    <w:rsid w:val="00FD0C91"/>
    <w:rsid w:val="00FD525D"/>
    <w:rsid w:val="00FD7B3C"/>
    <w:rsid w:val="00FE00BE"/>
    <w:rsid w:val="00FE3378"/>
    <w:rsid w:val="00FE3E1D"/>
    <w:rsid w:val="00FE5057"/>
    <w:rsid w:val="00FE562E"/>
    <w:rsid w:val="00FF1079"/>
    <w:rsid w:val="00FF18F9"/>
    <w:rsid w:val="00FF4584"/>
    <w:rsid w:val="00FF7B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960BB"/>
  <w15:chartTrackingRefBased/>
  <w15:docId w15:val="{C96F6C4B-9718-4643-8F63-CB70155B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AFD"/>
    <w:pPr>
      <w:spacing w:after="0" w:line="240" w:lineRule="auto"/>
    </w:pPr>
    <w:rPr>
      <w:rFonts w:ascii="Times New Roman" w:eastAsia="Times New Roman" w:hAnsi="Times New Roman" w:cs="Times New Roman"/>
      <w:sz w:val="20"/>
      <w:szCs w:val="20"/>
      <w:lang w:val="es-CR" w:eastAsia="es-ES"/>
    </w:rPr>
  </w:style>
  <w:style w:type="paragraph" w:styleId="Ttulo7">
    <w:name w:val="heading 7"/>
    <w:basedOn w:val="Normal"/>
    <w:link w:val="Ttulo7Car1"/>
    <w:uiPriority w:val="99"/>
    <w:semiHidden/>
    <w:unhideWhenUsed/>
    <w:qFormat/>
    <w:rsid w:val="0095102A"/>
    <w:pPr>
      <w:keepNext/>
      <w:numPr>
        <w:ilvl w:val="6"/>
        <w:numId w:val="36"/>
      </w:numPr>
      <w:shd w:val="clear" w:color="auto" w:fill="FFFFFF"/>
      <w:autoSpaceDE w:val="0"/>
      <w:jc w:val="right"/>
      <w:outlineLvl w:val="6"/>
    </w:pPr>
    <w:rPr>
      <w:rFonts w:ascii="Arial" w:eastAsiaTheme="minorHAnsi" w:hAnsi="Arial" w:cs="Arial"/>
      <w:b/>
      <w:bCs/>
      <w:sz w:val="24"/>
      <w:szCs w:val="24"/>
      <w:u w:val="single"/>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link w:val="NormalWebCar"/>
    <w:uiPriority w:val="99"/>
    <w:qFormat/>
    <w:rsid w:val="002C60D8"/>
    <w:pPr>
      <w:widowControl w:val="0"/>
      <w:autoSpaceDE w:val="0"/>
      <w:autoSpaceDN w:val="0"/>
      <w:adjustRightInd w:val="0"/>
    </w:pPr>
    <w:rPr>
      <w:rFonts w:ascii="Arial Unicode MS" w:eastAsia="Arial Unicode MS" w:hAnsi="Arial"/>
      <w:color w:val="000000"/>
      <w:sz w:val="24"/>
      <w:szCs w:val="24"/>
      <w:u w:color="000000"/>
      <w:lang w:val="es-ES"/>
    </w:rPr>
  </w:style>
  <w:style w:type="paragraph" w:styleId="Textoindependiente">
    <w:name w:val="Body Text"/>
    <w:basedOn w:val="Normal"/>
    <w:link w:val="TextoindependienteCar"/>
    <w:rsid w:val="002C60D8"/>
    <w:pPr>
      <w:spacing w:after="120"/>
    </w:pPr>
  </w:style>
  <w:style w:type="character" w:customStyle="1" w:styleId="TextoindependienteCar">
    <w:name w:val="Texto independiente Car"/>
    <w:basedOn w:val="Fuentedeprrafopredeter"/>
    <w:link w:val="Textoindependiente"/>
    <w:rsid w:val="002C60D8"/>
    <w:rPr>
      <w:rFonts w:ascii="Times New Roman" w:eastAsia="Times New Roman" w:hAnsi="Times New Roman" w:cs="Times New Roman"/>
      <w:sz w:val="20"/>
      <w:szCs w:val="20"/>
      <w:lang w:val="es-CR" w:eastAsia="es-ES"/>
    </w:rPr>
  </w:style>
  <w:style w:type="paragraph" w:styleId="Textonotapie">
    <w:name w:val="footnote text"/>
    <w:basedOn w:val="Normal"/>
    <w:link w:val="TextonotapieCar"/>
    <w:uiPriority w:val="99"/>
    <w:rsid w:val="002C60D8"/>
    <w:rPr>
      <w:lang w:val="es-ES"/>
    </w:rPr>
  </w:style>
  <w:style w:type="character" w:customStyle="1" w:styleId="TextonotapieCar">
    <w:name w:val="Texto nota pie Car"/>
    <w:basedOn w:val="Fuentedeprrafopredeter"/>
    <w:link w:val="Textonotapie"/>
    <w:uiPriority w:val="99"/>
    <w:rsid w:val="002C60D8"/>
    <w:rPr>
      <w:rFonts w:ascii="Times New Roman" w:eastAsia="Times New Roman" w:hAnsi="Times New Roman" w:cs="Times New Roman"/>
      <w:sz w:val="20"/>
      <w:szCs w:val="20"/>
      <w:lang w:eastAsia="es-ES"/>
    </w:rPr>
  </w:style>
  <w:style w:type="character" w:styleId="Refdenotaalpie">
    <w:name w:val="footnote reference"/>
    <w:uiPriority w:val="99"/>
    <w:rsid w:val="002C60D8"/>
    <w:rPr>
      <w:rFonts w:cs="Times New Roman"/>
      <w:vertAlign w:val="superscript"/>
    </w:rPr>
  </w:style>
  <w:style w:type="character" w:styleId="nfasis">
    <w:name w:val="Emphasis"/>
    <w:uiPriority w:val="20"/>
    <w:qFormat/>
    <w:rsid w:val="002C60D8"/>
    <w:rPr>
      <w:rFonts w:cs="Times New Roman"/>
      <w:i/>
      <w:iCs/>
    </w:rPr>
  </w:style>
  <w:style w:type="character" w:customStyle="1" w:styleId="NormalWebCar">
    <w:name w:val="Normal (Web) Car"/>
    <w:link w:val="NormalWeb"/>
    <w:uiPriority w:val="99"/>
    <w:locked/>
    <w:rsid w:val="002C60D8"/>
    <w:rPr>
      <w:rFonts w:ascii="Arial Unicode MS" w:eastAsia="Arial Unicode MS" w:hAnsi="Arial" w:cs="Times New Roman"/>
      <w:color w:val="000000"/>
      <w:sz w:val="24"/>
      <w:szCs w:val="24"/>
      <w:u w:color="000000"/>
      <w:lang w:eastAsia="es-ES"/>
    </w:rPr>
  </w:style>
  <w:style w:type="paragraph" w:customStyle="1" w:styleId="ecxmsonormal">
    <w:name w:val="ecxmsonormal"/>
    <w:basedOn w:val="Normal"/>
    <w:uiPriority w:val="99"/>
    <w:rsid w:val="002C60D8"/>
    <w:pPr>
      <w:spacing w:before="100" w:beforeAutospacing="1" w:after="100" w:afterAutospacing="1"/>
    </w:pPr>
    <w:rPr>
      <w:rFonts w:ascii="Arial" w:hAnsi="Arial" w:cs="Arial"/>
      <w:sz w:val="24"/>
      <w:szCs w:val="24"/>
      <w:lang w:val="en-US" w:eastAsia="en-US"/>
    </w:rPr>
  </w:style>
  <w:style w:type="paragraph" w:styleId="HTMLconformatoprevio">
    <w:name w:val="HTML Preformatted"/>
    <w:basedOn w:val="Normal"/>
    <w:link w:val="HTMLconformatoprevioCar"/>
    <w:uiPriority w:val="99"/>
    <w:unhideWhenUsed/>
    <w:rsid w:val="002C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lang w:val="x-none" w:eastAsia="x-none"/>
    </w:rPr>
  </w:style>
  <w:style w:type="character" w:customStyle="1" w:styleId="HTMLconformatoprevioCar">
    <w:name w:val="HTML con formato previo Car"/>
    <w:basedOn w:val="Fuentedeprrafopredeter"/>
    <w:link w:val="HTMLconformatoprevio"/>
    <w:uiPriority w:val="99"/>
    <w:rsid w:val="002C60D8"/>
    <w:rPr>
      <w:rFonts w:ascii="Courier New" w:eastAsia="Calibri" w:hAnsi="Courier New" w:cs="Times New Roman"/>
      <w:color w:val="000000"/>
      <w:sz w:val="20"/>
      <w:szCs w:val="20"/>
      <w:lang w:val="x-none" w:eastAsia="x-none"/>
    </w:rPr>
  </w:style>
  <w:style w:type="table" w:styleId="Tablaconcuadrcula">
    <w:name w:val="Table Grid"/>
    <w:basedOn w:val="Tablanormal"/>
    <w:uiPriority w:val="39"/>
    <w:rsid w:val="00443645"/>
    <w:pPr>
      <w:spacing w:after="0" w:line="240" w:lineRule="auto"/>
    </w:pPr>
    <w:rPr>
      <w:rFonts w:ascii="Times New Roman" w:eastAsia="Times New Roman" w:hAnsi="Times New Roman" w:cs="Times New Roman"/>
      <w:sz w:val="20"/>
      <w:szCs w:val="20"/>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1,Use Case List Paragraph,Lista vistosa - Énfasis 11,Párrafo de lista Car Car Car,3,Informe"/>
    <w:basedOn w:val="Normal"/>
    <w:link w:val="PrrafodelistaCar"/>
    <w:uiPriority w:val="34"/>
    <w:qFormat/>
    <w:rsid w:val="00443645"/>
    <w:pPr>
      <w:ind w:left="720"/>
      <w:contextualSpacing/>
    </w:pPr>
    <w:rPr>
      <w:sz w:val="24"/>
      <w:szCs w:val="24"/>
      <w:lang w:val="es-ES"/>
    </w:rPr>
  </w:style>
  <w:style w:type="paragraph" w:styleId="Textodeglobo">
    <w:name w:val="Balloon Text"/>
    <w:basedOn w:val="Normal"/>
    <w:link w:val="TextodegloboCar"/>
    <w:uiPriority w:val="99"/>
    <w:semiHidden/>
    <w:unhideWhenUsed/>
    <w:rsid w:val="005554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4EB"/>
    <w:rPr>
      <w:rFonts w:ascii="Segoe UI" w:eastAsia="Times New Roman" w:hAnsi="Segoe UI" w:cs="Segoe UI"/>
      <w:sz w:val="18"/>
      <w:szCs w:val="18"/>
      <w:lang w:val="es-CR" w:eastAsia="es-ES"/>
    </w:rPr>
  </w:style>
  <w:style w:type="paragraph" w:styleId="Descripcin">
    <w:name w:val="caption"/>
    <w:basedOn w:val="Normal"/>
    <w:next w:val="Normal"/>
    <w:uiPriority w:val="35"/>
    <w:unhideWhenUsed/>
    <w:qFormat/>
    <w:rsid w:val="00483A0A"/>
    <w:pPr>
      <w:spacing w:after="200"/>
    </w:pPr>
    <w:rPr>
      <w:i/>
      <w:iCs/>
      <w:color w:val="44546A" w:themeColor="text2"/>
      <w:sz w:val="18"/>
      <w:szCs w:val="18"/>
    </w:rPr>
  </w:style>
  <w:style w:type="paragraph" w:customStyle="1" w:styleId="xmsonormal">
    <w:name w:val="x_msonormal"/>
    <w:basedOn w:val="Normal"/>
    <w:rsid w:val="00ED7750"/>
    <w:rPr>
      <w:rFonts w:ascii="Calibri" w:eastAsiaTheme="minorHAnsi" w:hAnsi="Calibri" w:cs="Calibri"/>
      <w:sz w:val="22"/>
      <w:szCs w:val="22"/>
      <w:lang w:eastAsia="es-CR"/>
    </w:rPr>
  </w:style>
  <w:style w:type="paragraph" w:styleId="Encabezado">
    <w:name w:val="header"/>
    <w:basedOn w:val="Normal"/>
    <w:link w:val="EncabezadoCar"/>
    <w:uiPriority w:val="99"/>
    <w:unhideWhenUsed/>
    <w:rsid w:val="009D4A83"/>
    <w:pPr>
      <w:tabs>
        <w:tab w:val="center" w:pos="4419"/>
        <w:tab w:val="right" w:pos="8838"/>
      </w:tabs>
    </w:pPr>
  </w:style>
  <w:style w:type="character" w:customStyle="1" w:styleId="EncabezadoCar">
    <w:name w:val="Encabezado Car"/>
    <w:basedOn w:val="Fuentedeprrafopredeter"/>
    <w:link w:val="Encabezado"/>
    <w:uiPriority w:val="99"/>
    <w:rsid w:val="009D4A83"/>
    <w:rPr>
      <w:rFonts w:ascii="Times New Roman" w:eastAsia="Times New Roman" w:hAnsi="Times New Roman" w:cs="Times New Roman"/>
      <w:sz w:val="20"/>
      <w:szCs w:val="20"/>
      <w:lang w:val="es-CR" w:eastAsia="es-ES"/>
    </w:rPr>
  </w:style>
  <w:style w:type="paragraph" w:styleId="Piedepgina">
    <w:name w:val="footer"/>
    <w:basedOn w:val="Normal"/>
    <w:link w:val="PiedepginaCar"/>
    <w:uiPriority w:val="99"/>
    <w:unhideWhenUsed/>
    <w:rsid w:val="009D4A83"/>
    <w:pPr>
      <w:tabs>
        <w:tab w:val="center" w:pos="4419"/>
        <w:tab w:val="right" w:pos="8838"/>
      </w:tabs>
    </w:pPr>
  </w:style>
  <w:style w:type="character" w:customStyle="1" w:styleId="PiedepginaCar">
    <w:name w:val="Pie de página Car"/>
    <w:basedOn w:val="Fuentedeprrafopredeter"/>
    <w:link w:val="Piedepgina"/>
    <w:uiPriority w:val="99"/>
    <w:rsid w:val="009D4A83"/>
    <w:rPr>
      <w:rFonts w:ascii="Times New Roman" w:eastAsia="Times New Roman" w:hAnsi="Times New Roman" w:cs="Times New Roman"/>
      <w:sz w:val="20"/>
      <w:szCs w:val="20"/>
      <w:lang w:val="es-CR" w:eastAsia="es-ES"/>
    </w:rPr>
  </w:style>
  <w:style w:type="paragraph" w:customStyle="1" w:styleId="wordsection1">
    <w:name w:val="wordsection1"/>
    <w:basedOn w:val="Normal"/>
    <w:uiPriority w:val="99"/>
    <w:rsid w:val="009D1900"/>
    <w:rPr>
      <w:rFonts w:eastAsiaTheme="minorHAnsi"/>
      <w:sz w:val="24"/>
      <w:szCs w:val="24"/>
      <w:lang w:val="es-419" w:eastAsia="es-CR"/>
    </w:rPr>
  </w:style>
  <w:style w:type="character" w:customStyle="1" w:styleId="PrrafodelistaCar">
    <w:name w:val="Párrafo de lista Car"/>
    <w:aliases w:val="Bullet 1 Car,Use Case List Paragraph Car,Lista vistosa - Énfasis 11 Car,Párrafo de lista Car Car Car Car,3 Car,Informe Car"/>
    <w:basedOn w:val="Fuentedeprrafopredeter"/>
    <w:link w:val="Prrafodelista"/>
    <w:uiPriority w:val="34"/>
    <w:locked/>
    <w:rsid w:val="00122950"/>
    <w:rPr>
      <w:rFonts w:ascii="Times New Roman" w:eastAsia="Times New Roman" w:hAnsi="Times New Roman" w:cs="Times New Roman"/>
      <w:sz w:val="24"/>
      <w:szCs w:val="24"/>
      <w:lang w:eastAsia="es-ES"/>
    </w:rPr>
  </w:style>
  <w:style w:type="paragraph" w:styleId="Revisin">
    <w:name w:val="Revision"/>
    <w:hidden/>
    <w:uiPriority w:val="99"/>
    <w:semiHidden/>
    <w:rsid w:val="00181D2A"/>
    <w:pPr>
      <w:spacing w:after="0" w:line="240" w:lineRule="auto"/>
    </w:pPr>
    <w:rPr>
      <w:rFonts w:ascii="Times New Roman" w:eastAsia="Times New Roman" w:hAnsi="Times New Roman" w:cs="Times New Roman"/>
      <w:sz w:val="20"/>
      <w:szCs w:val="20"/>
      <w:lang w:val="es-CR" w:eastAsia="es-ES"/>
    </w:rPr>
  </w:style>
  <w:style w:type="character" w:styleId="Hipervnculo">
    <w:name w:val="Hyperlink"/>
    <w:basedOn w:val="Fuentedeprrafopredeter"/>
    <w:uiPriority w:val="99"/>
    <w:unhideWhenUsed/>
    <w:rsid w:val="00A31483"/>
    <w:rPr>
      <w:color w:val="0563C1" w:themeColor="hyperlink"/>
      <w:u w:val="single"/>
    </w:rPr>
  </w:style>
  <w:style w:type="character" w:styleId="Mencinsinresolver">
    <w:name w:val="Unresolved Mention"/>
    <w:basedOn w:val="Fuentedeprrafopredeter"/>
    <w:uiPriority w:val="99"/>
    <w:semiHidden/>
    <w:unhideWhenUsed/>
    <w:rsid w:val="00A31483"/>
    <w:rPr>
      <w:color w:val="605E5C"/>
      <w:shd w:val="clear" w:color="auto" w:fill="E1DFDD"/>
    </w:rPr>
  </w:style>
  <w:style w:type="paragraph" w:customStyle="1" w:styleId="Default">
    <w:name w:val="Default"/>
    <w:rsid w:val="009A4D61"/>
    <w:pPr>
      <w:autoSpaceDE w:val="0"/>
      <w:autoSpaceDN w:val="0"/>
      <w:adjustRightInd w:val="0"/>
      <w:spacing w:after="0" w:line="240" w:lineRule="auto"/>
    </w:pPr>
    <w:rPr>
      <w:rFonts w:ascii="Calibri" w:hAnsi="Calibri" w:cs="Calibri"/>
      <w:color w:val="000000"/>
      <w:sz w:val="24"/>
      <w:szCs w:val="24"/>
      <w:lang w:val="es-CR"/>
    </w:rPr>
  </w:style>
  <w:style w:type="paragraph" w:styleId="Textoindependiente2">
    <w:name w:val="Body Text 2"/>
    <w:basedOn w:val="Normal"/>
    <w:link w:val="Textoindependiente2Car"/>
    <w:uiPriority w:val="99"/>
    <w:semiHidden/>
    <w:unhideWhenUsed/>
    <w:rsid w:val="00230443"/>
    <w:pPr>
      <w:spacing w:after="120" w:line="480" w:lineRule="auto"/>
    </w:pPr>
  </w:style>
  <w:style w:type="character" w:customStyle="1" w:styleId="Textoindependiente2Car">
    <w:name w:val="Texto independiente 2 Car"/>
    <w:basedOn w:val="Fuentedeprrafopredeter"/>
    <w:link w:val="Textoindependiente2"/>
    <w:uiPriority w:val="99"/>
    <w:semiHidden/>
    <w:rsid w:val="00230443"/>
    <w:rPr>
      <w:rFonts w:ascii="Times New Roman" w:eastAsia="Times New Roman" w:hAnsi="Times New Roman" w:cs="Times New Roman"/>
      <w:sz w:val="20"/>
      <w:szCs w:val="20"/>
      <w:lang w:val="es-CR" w:eastAsia="es-ES"/>
    </w:rPr>
  </w:style>
  <w:style w:type="character" w:customStyle="1" w:styleId="Ttulo7Car">
    <w:name w:val="Título 7 Car"/>
    <w:basedOn w:val="Fuentedeprrafopredeter"/>
    <w:uiPriority w:val="9"/>
    <w:semiHidden/>
    <w:rsid w:val="0095102A"/>
    <w:rPr>
      <w:rFonts w:asciiTheme="majorHAnsi" w:eastAsiaTheme="majorEastAsia" w:hAnsiTheme="majorHAnsi" w:cstheme="majorBidi"/>
      <w:i/>
      <w:iCs/>
      <w:color w:val="1F3763" w:themeColor="accent1" w:themeShade="7F"/>
      <w:sz w:val="20"/>
      <w:szCs w:val="20"/>
      <w:lang w:val="es-CR" w:eastAsia="es-ES"/>
    </w:rPr>
  </w:style>
  <w:style w:type="paragraph" w:customStyle="1" w:styleId="Ttulo31">
    <w:name w:val="Título 31"/>
    <w:basedOn w:val="Normal"/>
    <w:uiPriority w:val="99"/>
    <w:rsid w:val="0095102A"/>
    <w:pPr>
      <w:numPr>
        <w:ilvl w:val="2"/>
        <w:numId w:val="36"/>
      </w:numPr>
      <w:shd w:val="clear" w:color="auto" w:fill="FFFFFF"/>
    </w:pPr>
    <w:rPr>
      <w:rFonts w:eastAsiaTheme="minorHAnsi"/>
      <w:sz w:val="24"/>
      <w:szCs w:val="24"/>
      <w:u w:val="single"/>
    </w:rPr>
  </w:style>
  <w:style w:type="paragraph" w:customStyle="1" w:styleId="SUBPROGRAMA">
    <w:name w:val="SUBPROGRAMA"/>
    <w:basedOn w:val="Normal"/>
    <w:uiPriority w:val="99"/>
    <w:rsid w:val="0095102A"/>
    <w:pPr>
      <w:keepNext/>
      <w:numPr>
        <w:numId w:val="36"/>
      </w:numPr>
      <w:spacing w:before="240" w:after="60"/>
      <w:jc w:val="both"/>
    </w:pPr>
    <w:rPr>
      <w:rFonts w:ascii="Bookman Old Style" w:eastAsiaTheme="minorHAnsi" w:hAnsi="Bookman Old Style" w:cs="Calibri"/>
      <w:b/>
      <w:bCs/>
      <w:smallCaps/>
      <w:color w:val="000080"/>
      <w:sz w:val="28"/>
      <w:szCs w:val="28"/>
      <w:u w:val="single"/>
    </w:rPr>
  </w:style>
  <w:style w:type="character" w:customStyle="1" w:styleId="Ttulo7Car1">
    <w:name w:val="Título 7 Car1"/>
    <w:basedOn w:val="Fuentedeprrafopredeter"/>
    <w:link w:val="Ttulo7"/>
    <w:uiPriority w:val="99"/>
    <w:semiHidden/>
    <w:locked/>
    <w:rsid w:val="0095102A"/>
    <w:rPr>
      <w:rFonts w:ascii="Arial" w:hAnsi="Arial" w:cs="Arial"/>
      <w:b/>
      <w:bCs/>
      <w:sz w:val="24"/>
      <w:szCs w:val="24"/>
      <w:u w:val="single"/>
      <w:shd w:val="clear" w:color="auto" w:fill="FFFFFF"/>
      <w:lang w:val="es-C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420">
      <w:bodyDiv w:val="1"/>
      <w:marLeft w:val="0"/>
      <w:marRight w:val="0"/>
      <w:marTop w:val="0"/>
      <w:marBottom w:val="0"/>
      <w:divBdr>
        <w:top w:val="none" w:sz="0" w:space="0" w:color="auto"/>
        <w:left w:val="none" w:sz="0" w:space="0" w:color="auto"/>
        <w:bottom w:val="none" w:sz="0" w:space="0" w:color="auto"/>
        <w:right w:val="none" w:sz="0" w:space="0" w:color="auto"/>
      </w:divBdr>
    </w:div>
    <w:div w:id="21908219">
      <w:bodyDiv w:val="1"/>
      <w:marLeft w:val="0"/>
      <w:marRight w:val="0"/>
      <w:marTop w:val="0"/>
      <w:marBottom w:val="0"/>
      <w:divBdr>
        <w:top w:val="none" w:sz="0" w:space="0" w:color="auto"/>
        <w:left w:val="none" w:sz="0" w:space="0" w:color="auto"/>
        <w:bottom w:val="none" w:sz="0" w:space="0" w:color="auto"/>
        <w:right w:val="none" w:sz="0" w:space="0" w:color="auto"/>
      </w:divBdr>
      <w:divsChild>
        <w:div w:id="885529552">
          <w:marLeft w:val="0"/>
          <w:marRight w:val="0"/>
          <w:marTop w:val="0"/>
          <w:marBottom w:val="0"/>
          <w:divBdr>
            <w:top w:val="none" w:sz="0" w:space="0" w:color="auto"/>
            <w:left w:val="none" w:sz="0" w:space="0" w:color="auto"/>
            <w:bottom w:val="none" w:sz="0" w:space="0" w:color="auto"/>
            <w:right w:val="none" w:sz="0" w:space="0" w:color="auto"/>
          </w:divBdr>
          <w:divsChild>
            <w:div w:id="902712485">
              <w:marLeft w:val="0"/>
              <w:marRight w:val="0"/>
              <w:marTop w:val="0"/>
              <w:marBottom w:val="0"/>
              <w:divBdr>
                <w:top w:val="none" w:sz="0" w:space="0" w:color="auto"/>
                <w:left w:val="none" w:sz="0" w:space="0" w:color="auto"/>
                <w:bottom w:val="none" w:sz="0" w:space="0" w:color="auto"/>
                <w:right w:val="none" w:sz="0" w:space="0" w:color="auto"/>
              </w:divBdr>
              <w:divsChild>
                <w:div w:id="120269281">
                  <w:marLeft w:val="0"/>
                  <w:marRight w:val="0"/>
                  <w:marTop w:val="0"/>
                  <w:marBottom w:val="0"/>
                  <w:divBdr>
                    <w:top w:val="none" w:sz="0" w:space="0" w:color="auto"/>
                    <w:left w:val="none" w:sz="0" w:space="0" w:color="auto"/>
                    <w:bottom w:val="none" w:sz="0" w:space="0" w:color="auto"/>
                    <w:right w:val="none" w:sz="0" w:space="0" w:color="auto"/>
                  </w:divBdr>
                  <w:divsChild>
                    <w:div w:id="837427823">
                      <w:marLeft w:val="0"/>
                      <w:marRight w:val="0"/>
                      <w:marTop w:val="0"/>
                      <w:marBottom w:val="0"/>
                      <w:divBdr>
                        <w:top w:val="none" w:sz="0" w:space="0" w:color="auto"/>
                        <w:left w:val="none" w:sz="0" w:space="0" w:color="auto"/>
                        <w:bottom w:val="none" w:sz="0" w:space="0" w:color="auto"/>
                        <w:right w:val="none" w:sz="0" w:space="0" w:color="auto"/>
                      </w:divBdr>
                      <w:divsChild>
                        <w:div w:id="926310681">
                          <w:marLeft w:val="0"/>
                          <w:marRight w:val="0"/>
                          <w:marTop w:val="0"/>
                          <w:marBottom w:val="0"/>
                          <w:divBdr>
                            <w:top w:val="none" w:sz="0" w:space="0" w:color="auto"/>
                            <w:left w:val="none" w:sz="0" w:space="0" w:color="auto"/>
                            <w:bottom w:val="none" w:sz="0" w:space="0" w:color="auto"/>
                            <w:right w:val="none" w:sz="0" w:space="0" w:color="auto"/>
                          </w:divBdr>
                          <w:divsChild>
                            <w:div w:id="1945258487">
                              <w:marLeft w:val="0"/>
                              <w:marRight w:val="0"/>
                              <w:marTop w:val="0"/>
                              <w:marBottom w:val="0"/>
                              <w:divBdr>
                                <w:top w:val="none" w:sz="0" w:space="0" w:color="auto"/>
                                <w:left w:val="none" w:sz="0" w:space="0" w:color="auto"/>
                                <w:bottom w:val="none" w:sz="0" w:space="0" w:color="auto"/>
                                <w:right w:val="none" w:sz="0" w:space="0" w:color="auto"/>
                              </w:divBdr>
                              <w:divsChild>
                                <w:div w:id="13598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405371">
              <w:marLeft w:val="0"/>
              <w:marRight w:val="0"/>
              <w:marTop w:val="0"/>
              <w:marBottom w:val="0"/>
              <w:divBdr>
                <w:top w:val="none" w:sz="0" w:space="0" w:color="auto"/>
                <w:left w:val="none" w:sz="0" w:space="0" w:color="auto"/>
                <w:bottom w:val="none" w:sz="0" w:space="0" w:color="auto"/>
                <w:right w:val="none" w:sz="0" w:space="0" w:color="auto"/>
              </w:divBdr>
            </w:div>
            <w:div w:id="1589344796">
              <w:marLeft w:val="0"/>
              <w:marRight w:val="0"/>
              <w:marTop w:val="0"/>
              <w:marBottom w:val="0"/>
              <w:divBdr>
                <w:top w:val="none" w:sz="0" w:space="0" w:color="auto"/>
                <w:left w:val="none" w:sz="0" w:space="0" w:color="auto"/>
                <w:bottom w:val="none" w:sz="0" w:space="0" w:color="auto"/>
                <w:right w:val="none" w:sz="0" w:space="0" w:color="auto"/>
              </w:divBdr>
              <w:divsChild>
                <w:div w:id="924918912">
                  <w:marLeft w:val="0"/>
                  <w:marRight w:val="0"/>
                  <w:marTop w:val="0"/>
                  <w:marBottom w:val="0"/>
                  <w:divBdr>
                    <w:top w:val="none" w:sz="0" w:space="0" w:color="auto"/>
                    <w:left w:val="none" w:sz="0" w:space="0" w:color="auto"/>
                    <w:bottom w:val="none" w:sz="0" w:space="0" w:color="auto"/>
                    <w:right w:val="none" w:sz="0" w:space="0" w:color="auto"/>
                  </w:divBdr>
                  <w:divsChild>
                    <w:div w:id="1046103096">
                      <w:marLeft w:val="0"/>
                      <w:marRight w:val="0"/>
                      <w:marTop w:val="0"/>
                      <w:marBottom w:val="0"/>
                      <w:divBdr>
                        <w:top w:val="none" w:sz="0" w:space="0" w:color="auto"/>
                        <w:left w:val="none" w:sz="0" w:space="0" w:color="auto"/>
                        <w:bottom w:val="none" w:sz="0" w:space="0" w:color="auto"/>
                        <w:right w:val="none" w:sz="0" w:space="0" w:color="auto"/>
                      </w:divBdr>
                      <w:divsChild>
                        <w:div w:id="1351951007">
                          <w:marLeft w:val="0"/>
                          <w:marRight w:val="0"/>
                          <w:marTop w:val="0"/>
                          <w:marBottom w:val="0"/>
                          <w:divBdr>
                            <w:top w:val="none" w:sz="0" w:space="0" w:color="auto"/>
                            <w:left w:val="none" w:sz="0" w:space="0" w:color="auto"/>
                            <w:bottom w:val="none" w:sz="0" w:space="0" w:color="auto"/>
                            <w:right w:val="none" w:sz="0" w:space="0" w:color="auto"/>
                          </w:divBdr>
                          <w:divsChild>
                            <w:div w:id="1200894097">
                              <w:marLeft w:val="0"/>
                              <w:marRight w:val="0"/>
                              <w:marTop w:val="0"/>
                              <w:marBottom w:val="0"/>
                              <w:divBdr>
                                <w:top w:val="none" w:sz="0" w:space="0" w:color="auto"/>
                                <w:left w:val="none" w:sz="0" w:space="0" w:color="auto"/>
                                <w:bottom w:val="none" w:sz="0" w:space="0" w:color="auto"/>
                                <w:right w:val="none" w:sz="0" w:space="0" w:color="auto"/>
                              </w:divBdr>
                              <w:divsChild>
                                <w:div w:id="1459376632">
                                  <w:marLeft w:val="0"/>
                                  <w:marRight w:val="0"/>
                                  <w:marTop w:val="0"/>
                                  <w:marBottom w:val="0"/>
                                  <w:divBdr>
                                    <w:top w:val="none" w:sz="0" w:space="0" w:color="auto"/>
                                    <w:left w:val="none" w:sz="0" w:space="0" w:color="auto"/>
                                    <w:bottom w:val="none" w:sz="0" w:space="0" w:color="auto"/>
                                    <w:right w:val="none" w:sz="0" w:space="0" w:color="auto"/>
                                  </w:divBdr>
                                  <w:divsChild>
                                    <w:div w:id="11492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64050">
      <w:bodyDiv w:val="1"/>
      <w:marLeft w:val="0"/>
      <w:marRight w:val="0"/>
      <w:marTop w:val="0"/>
      <w:marBottom w:val="0"/>
      <w:divBdr>
        <w:top w:val="none" w:sz="0" w:space="0" w:color="auto"/>
        <w:left w:val="none" w:sz="0" w:space="0" w:color="auto"/>
        <w:bottom w:val="none" w:sz="0" w:space="0" w:color="auto"/>
        <w:right w:val="none" w:sz="0" w:space="0" w:color="auto"/>
      </w:divBdr>
    </w:div>
    <w:div w:id="269551518">
      <w:bodyDiv w:val="1"/>
      <w:marLeft w:val="0"/>
      <w:marRight w:val="0"/>
      <w:marTop w:val="0"/>
      <w:marBottom w:val="0"/>
      <w:divBdr>
        <w:top w:val="none" w:sz="0" w:space="0" w:color="auto"/>
        <w:left w:val="none" w:sz="0" w:space="0" w:color="auto"/>
        <w:bottom w:val="none" w:sz="0" w:space="0" w:color="auto"/>
        <w:right w:val="none" w:sz="0" w:space="0" w:color="auto"/>
      </w:divBdr>
    </w:div>
    <w:div w:id="321396929">
      <w:bodyDiv w:val="1"/>
      <w:marLeft w:val="0"/>
      <w:marRight w:val="0"/>
      <w:marTop w:val="0"/>
      <w:marBottom w:val="0"/>
      <w:divBdr>
        <w:top w:val="none" w:sz="0" w:space="0" w:color="auto"/>
        <w:left w:val="none" w:sz="0" w:space="0" w:color="auto"/>
        <w:bottom w:val="none" w:sz="0" w:space="0" w:color="auto"/>
        <w:right w:val="none" w:sz="0" w:space="0" w:color="auto"/>
      </w:divBdr>
    </w:div>
    <w:div w:id="584875012">
      <w:bodyDiv w:val="1"/>
      <w:marLeft w:val="0"/>
      <w:marRight w:val="0"/>
      <w:marTop w:val="0"/>
      <w:marBottom w:val="0"/>
      <w:divBdr>
        <w:top w:val="none" w:sz="0" w:space="0" w:color="auto"/>
        <w:left w:val="none" w:sz="0" w:space="0" w:color="auto"/>
        <w:bottom w:val="none" w:sz="0" w:space="0" w:color="auto"/>
        <w:right w:val="none" w:sz="0" w:space="0" w:color="auto"/>
      </w:divBdr>
    </w:div>
    <w:div w:id="862136962">
      <w:bodyDiv w:val="1"/>
      <w:marLeft w:val="0"/>
      <w:marRight w:val="0"/>
      <w:marTop w:val="0"/>
      <w:marBottom w:val="0"/>
      <w:divBdr>
        <w:top w:val="none" w:sz="0" w:space="0" w:color="auto"/>
        <w:left w:val="none" w:sz="0" w:space="0" w:color="auto"/>
        <w:bottom w:val="none" w:sz="0" w:space="0" w:color="auto"/>
        <w:right w:val="none" w:sz="0" w:space="0" w:color="auto"/>
      </w:divBdr>
    </w:div>
    <w:div w:id="1205874299">
      <w:bodyDiv w:val="1"/>
      <w:marLeft w:val="0"/>
      <w:marRight w:val="0"/>
      <w:marTop w:val="0"/>
      <w:marBottom w:val="0"/>
      <w:divBdr>
        <w:top w:val="none" w:sz="0" w:space="0" w:color="auto"/>
        <w:left w:val="none" w:sz="0" w:space="0" w:color="auto"/>
        <w:bottom w:val="none" w:sz="0" w:space="0" w:color="auto"/>
        <w:right w:val="none" w:sz="0" w:space="0" w:color="auto"/>
      </w:divBdr>
    </w:div>
    <w:div w:id="1266423544">
      <w:bodyDiv w:val="1"/>
      <w:marLeft w:val="0"/>
      <w:marRight w:val="0"/>
      <w:marTop w:val="0"/>
      <w:marBottom w:val="0"/>
      <w:divBdr>
        <w:top w:val="none" w:sz="0" w:space="0" w:color="auto"/>
        <w:left w:val="none" w:sz="0" w:space="0" w:color="auto"/>
        <w:bottom w:val="none" w:sz="0" w:space="0" w:color="auto"/>
        <w:right w:val="none" w:sz="0" w:space="0" w:color="auto"/>
      </w:divBdr>
    </w:div>
    <w:div w:id="1746218675">
      <w:bodyDiv w:val="1"/>
      <w:marLeft w:val="0"/>
      <w:marRight w:val="0"/>
      <w:marTop w:val="0"/>
      <w:marBottom w:val="0"/>
      <w:divBdr>
        <w:top w:val="none" w:sz="0" w:space="0" w:color="auto"/>
        <w:left w:val="none" w:sz="0" w:space="0" w:color="auto"/>
        <w:bottom w:val="none" w:sz="0" w:space="0" w:color="auto"/>
        <w:right w:val="none" w:sz="0" w:space="0" w:color="auto"/>
      </w:divBdr>
    </w:div>
    <w:div w:id="211000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DCFCCEAE351DB45BAE9B3DE15E4FE3F" ma:contentTypeVersion="16" ma:contentTypeDescription="Crear nuevo documento." ma:contentTypeScope="" ma:versionID="903f65fad9147b2bb511ace58c0bcb55">
  <xsd:schema xmlns:xsd="http://www.w3.org/2001/XMLSchema" xmlns:xs="http://www.w3.org/2001/XMLSchema" xmlns:p="http://schemas.microsoft.com/office/2006/metadata/properties" xmlns:ns3="edd0e9e5-5057-42a5-900c-97ed157dcc7d" xmlns:ns4="3b8248ea-1d6b-4e5a-a195-4cdabc45d763" targetNamespace="http://schemas.microsoft.com/office/2006/metadata/properties" ma:root="true" ma:fieldsID="3b30f4cc21337d484cf335afbbc2b330" ns3:_="" ns4:_="">
    <xsd:import namespace="edd0e9e5-5057-42a5-900c-97ed157dcc7d"/>
    <xsd:import namespace="3b8248ea-1d6b-4e5a-a195-4cdabc45d7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0e9e5-5057-42a5-900c-97ed157dcc7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248ea-1d6b-4e5a-a195-4cdabc45d7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b8248ea-1d6b-4e5a-a195-4cdabc45d763" xsi:nil="true"/>
  </documentManagement>
</p:properties>
</file>

<file path=customXml/itemProps1.xml><?xml version="1.0" encoding="utf-8"?>
<ds:datastoreItem xmlns:ds="http://schemas.openxmlformats.org/officeDocument/2006/customXml" ds:itemID="{607BD831-2033-4DF6-9DE3-6837D2A4EB4B}">
  <ds:schemaRefs>
    <ds:schemaRef ds:uri="http://schemas.openxmlformats.org/officeDocument/2006/bibliography"/>
  </ds:schemaRefs>
</ds:datastoreItem>
</file>

<file path=customXml/itemProps2.xml><?xml version="1.0" encoding="utf-8"?>
<ds:datastoreItem xmlns:ds="http://schemas.openxmlformats.org/officeDocument/2006/customXml" ds:itemID="{01CC627A-8CB6-4A14-B24E-A2BDF9EBC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0e9e5-5057-42a5-900c-97ed157dcc7d"/>
    <ds:schemaRef ds:uri="3b8248ea-1d6b-4e5a-a195-4cdabc45d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083DC-FC6A-4DA1-B736-1CAFACC1D38F}">
  <ds:schemaRefs>
    <ds:schemaRef ds:uri="http://schemas.microsoft.com/sharepoint/v3/contenttype/forms"/>
  </ds:schemaRefs>
</ds:datastoreItem>
</file>

<file path=customXml/itemProps4.xml><?xml version="1.0" encoding="utf-8"?>
<ds:datastoreItem xmlns:ds="http://schemas.openxmlformats.org/officeDocument/2006/customXml" ds:itemID="{D7C637CD-7B74-42BD-82B6-F63AEBC74D30}">
  <ds:schemaRefs>
    <ds:schemaRef ds:uri="http://schemas.microsoft.com/office/2006/metadata/properties"/>
    <ds:schemaRef ds:uri="http://schemas.microsoft.com/office/infopath/2007/PartnerControls"/>
    <ds:schemaRef ds:uri="3b8248ea-1d6b-4e5a-a195-4cdabc45d7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3067</Words>
  <Characters>16872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Tenorio Campos</dc:creator>
  <cp:keywords/>
  <dc:description/>
  <cp:lastModifiedBy>Laura Sánchez Cordoba</cp:lastModifiedBy>
  <cp:revision>2</cp:revision>
  <dcterms:created xsi:type="dcterms:W3CDTF">2023-05-17T20:02:00Z</dcterms:created>
  <dcterms:modified xsi:type="dcterms:W3CDTF">2023-05-17T20:02:00Z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0x010100DDCFCCEAE351DB45BAE9B3DE15E4FE3F</vt:lpwstr>
  </property>
</Properties>
</file>