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7A7E" w14:textId="72FE831D" w:rsidR="00A727CF" w:rsidRPr="005149C4" w:rsidRDefault="006E3B21" w:rsidP="00055CFC">
      <w:pPr>
        <w:spacing w:before="0" w:after="0"/>
        <w:jc w:val="left"/>
        <w:rPr>
          <w:rFonts w:eastAsia="Times New Roman" w:cs="Arial"/>
          <w:sz w:val="16"/>
          <w:szCs w:val="14"/>
          <w:lang w:eastAsia="es-ES"/>
        </w:rPr>
      </w:pPr>
      <w:bookmarkStart w:id="0" w:name="_Hlk127455561"/>
      <w:r w:rsidRPr="005149C4">
        <w:rPr>
          <w:rFonts w:cs="Arial"/>
          <w:noProof/>
          <w:lang w:val="es-ES" w:eastAsia="es-ES"/>
        </w:rPr>
        <w:drawing>
          <wp:anchor distT="0" distB="0" distL="114300" distR="114300" simplePos="0" relativeHeight="251658240" behindDoc="0" locked="0" layoutInCell="1" allowOverlap="1" wp14:anchorId="1DE8AB1F" wp14:editId="28F8F6DB">
            <wp:simplePos x="0" y="0"/>
            <wp:positionH relativeFrom="column">
              <wp:posOffset>41003</wp:posOffset>
            </wp:positionH>
            <wp:positionV relativeFrom="paragraph">
              <wp:posOffset>141514</wp:posOffset>
            </wp:positionV>
            <wp:extent cx="1852295" cy="819150"/>
            <wp:effectExtent l="0" t="0" r="0" b="0"/>
            <wp:wrapSquare wrapText="bothSides"/>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CF" w:rsidRPr="005149C4">
        <w:rPr>
          <w:rFonts w:cs="Arial"/>
        </w:rPr>
        <w:tab/>
      </w:r>
      <w:r w:rsidR="00A727CF" w:rsidRPr="005149C4">
        <w:rPr>
          <w:rFonts w:cs="Arial"/>
        </w:rPr>
        <w:tab/>
      </w:r>
      <w:r w:rsidR="00B32019" w:rsidRPr="005149C4">
        <w:rPr>
          <w:rFonts w:cs="Arial"/>
        </w:rPr>
        <w:tab/>
      </w:r>
      <w:r w:rsidR="00A727CF" w:rsidRPr="005149C4">
        <w:rPr>
          <w:rFonts w:cs="Arial"/>
        </w:rPr>
        <w:tab/>
      </w:r>
      <w:r w:rsidR="00A727CF" w:rsidRPr="005149C4">
        <w:rPr>
          <w:rFonts w:cs="Arial"/>
        </w:rPr>
        <w:tab/>
      </w:r>
    </w:p>
    <w:p w14:paraId="6BE931D0" w14:textId="63E6BA35" w:rsidR="00B32019" w:rsidRPr="005149C4" w:rsidRDefault="00291CD2" w:rsidP="00055CFC">
      <w:pPr>
        <w:spacing w:before="0" w:after="0"/>
        <w:jc w:val="center"/>
        <w:rPr>
          <w:rFonts w:eastAsia="Arial" w:cs="Arial"/>
          <w:sz w:val="16"/>
          <w:szCs w:val="16"/>
        </w:rPr>
      </w:pPr>
      <w:r w:rsidRPr="005149C4">
        <w:rPr>
          <w:rFonts w:eastAsia="Arial" w:cs="Arial"/>
          <w:sz w:val="16"/>
          <w:szCs w:val="16"/>
        </w:rPr>
        <w:t xml:space="preserve">                                                        </w:t>
      </w:r>
      <w:r w:rsidRPr="005149C4">
        <w:rPr>
          <w:rFonts w:eastAsia="Arial" w:cs="Arial"/>
          <w:b/>
          <w:bCs/>
          <w:i/>
          <w:iCs/>
          <w:noProof/>
          <w:color w:val="0070C0"/>
          <w:sz w:val="36"/>
          <w:szCs w:val="36"/>
        </w:rPr>
        <w:drawing>
          <wp:inline distT="0" distB="0" distL="0" distR="0" wp14:anchorId="073D0FB9" wp14:editId="52875840">
            <wp:extent cx="1746856" cy="818986"/>
            <wp:effectExtent l="0" t="0" r="6350" b="63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770328" cy="829990"/>
                    </a:xfrm>
                    <a:prstGeom prst="rect">
                      <a:avLst/>
                    </a:prstGeom>
                  </pic:spPr>
                </pic:pic>
              </a:graphicData>
            </a:graphic>
          </wp:inline>
        </w:drawing>
      </w:r>
    </w:p>
    <w:p w14:paraId="2448E275" w14:textId="1A7F097E" w:rsidR="00A727CF" w:rsidRPr="005149C4" w:rsidRDefault="00714397" w:rsidP="00714397">
      <w:pPr>
        <w:spacing w:before="0" w:after="0"/>
        <w:rPr>
          <w:rFonts w:eastAsia="Arial" w:cs="Arial"/>
          <w:b/>
          <w:bCs/>
          <w:i/>
          <w:iCs/>
          <w:color w:val="0070C0"/>
          <w:sz w:val="36"/>
          <w:szCs w:val="36"/>
        </w:rPr>
      </w:pPr>
      <w:r w:rsidRPr="005149C4">
        <w:rPr>
          <w:rFonts w:eastAsia="Arial" w:cs="Arial"/>
          <w:b/>
          <w:bCs/>
          <w:i/>
          <w:iCs/>
          <w:color w:val="0070C0"/>
          <w:sz w:val="36"/>
          <w:szCs w:val="36"/>
        </w:rPr>
        <w:t xml:space="preserve">        </w:t>
      </w:r>
      <w:r w:rsidR="00A727CF" w:rsidRPr="005149C4">
        <w:rPr>
          <w:rFonts w:eastAsia="Arial" w:cs="Arial"/>
          <w:b/>
          <w:bCs/>
          <w:i/>
          <w:iCs/>
          <w:color w:val="0070C0"/>
          <w:sz w:val="36"/>
          <w:szCs w:val="36"/>
        </w:rPr>
        <w:t>Subproceso de Modernización Institucional</w:t>
      </w:r>
    </w:p>
    <w:p w14:paraId="1AD97814" w14:textId="6DBC0198" w:rsidR="00A727CF" w:rsidRPr="005149C4" w:rsidRDefault="00A727CF" w:rsidP="00055CFC">
      <w:pPr>
        <w:spacing w:before="0" w:after="0"/>
        <w:jc w:val="center"/>
        <w:rPr>
          <w:rFonts w:eastAsia="Arial" w:cs="Arial"/>
          <w:b/>
          <w:bCs/>
          <w:i/>
          <w:iCs/>
          <w:color w:val="0070C0"/>
          <w:sz w:val="36"/>
          <w:szCs w:val="36"/>
        </w:rPr>
      </w:pPr>
      <w:r w:rsidRPr="005149C4">
        <w:rPr>
          <w:rFonts w:eastAsia="Arial" w:cs="Arial"/>
          <w:b/>
          <w:bCs/>
          <w:i/>
          <w:iCs/>
          <w:color w:val="0070C0"/>
          <w:sz w:val="36"/>
          <w:szCs w:val="36"/>
        </w:rPr>
        <w:t>Proceso de Ejecución de las Operaciones</w:t>
      </w:r>
    </w:p>
    <w:p w14:paraId="5CF1FC1F" w14:textId="77777777" w:rsidR="00A727CF" w:rsidRPr="005149C4" w:rsidRDefault="00A727CF" w:rsidP="00055CFC">
      <w:pPr>
        <w:spacing w:before="0" w:after="0"/>
        <w:jc w:val="center"/>
        <w:rPr>
          <w:rFonts w:eastAsia="Arial" w:cs="Arial"/>
          <w:b/>
          <w:bCs/>
          <w:i/>
          <w:iCs/>
          <w:color w:val="0070C0"/>
          <w:sz w:val="36"/>
          <w:szCs w:val="36"/>
        </w:rPr>
      </w:pPr>
      <w:r w:rsidRPr="005149C4">
        <w:rPr>
          <w:rFonts w:eastAsia="Arial" w:cs="Arial"/>
          <w:b/>
          <w:bCs/>
          <w:i/>
          <w:iCs/>
          <w:color w:val="0070C0"/>
          <w:sz w:val="36"/>
          <w:szCs w:val="36"/>
        </w:rPr>
        <w:t xml:space="preserve"> Dirección de Planificación</w:t>
      </w:r>
    </w:p>
    <w:p w14:paraId="246FDB09" w14:textId="7232AC14" w:rsidR="00AF3DDB" w:rsidRPr="005149C4" w:rsidRDefault="00AF3DDB" w:rsidP="00055CFC">
      <w:pPr>
        <w:spacing w:before="0" w:after="0"/>
        <w:jc w:val="center"/>
        <w:rPr>
          <w:rFonts w:eastAsia="Arial" w:cs="Arial"/>
          <w:sz w:val="16"/>
          <w:szCs w:val="16"/>
        </w:rPr>
      </w:pPr>
    </w:p>
    <w:p w14:paraId="6F28D383" w14:textId="77777777" w:rsidR="00AF3DDB" w:rsidRPr="005149C4" w:rsidRDefault="00AF3DDB" w:rsidP="00AF3DDB">
      <w:pPr>
        <w:spacing w:after="200" w:line="276" w:lineRule="auto"/>
        <w:jc w:val="center"/>
        <w:rPr>
          <w:rFonts w:cs="Calibri"/>
          <w:sz w:val="40"/>
          <w:szCs w:val="40"/>
        </w:rPr>
      </w:pPr>
      <w:r w:rsidRPr="005149C4">
        <w:rPr>
          <w:rFonts w:cs="Calibri"/>
          <w:b/>
          <w:sz w:val="40"/>
          <w:szCs w:val="40"/>
        </w:rPr>
        <w:t xml:space="preserve">Informe de presupuesto </w:t>
      </w:r>
      <w:bookmarkStart w:id="1" w:name="_Hlk63169619"/>
      <w:r w:rsidRPr="005149C4">
        <w:rPr>
          <w:rFonts w:cs="Calibri"/>
          <w:b/>
          <w:sz w:val="40"/>
          <w:szCs w:val="40"/>
        </w:rPr>
        <w:t>Impacto de Ley 9582 Justicia Restaurativa</w:t>
      </w:r>
      <w:bookmarkEnd w:id="1"/>
    </w:p>
    <w:p w14:paraId="1E6609E1" w14:textId="5F360F91" w:rsidR="00AF3DDB" w:rsidRPr="005149C4" w:rsidRDefault="00AF3DDB" w:rsidP="00714397">
      <w:pPr>
        <w:spacing w:before="0" w:after="0"/>
        <w:rPr>
          <w:rFonts w:eastAsia="Arial" w:cs="Arial"/>
          <w:sz w:val="16"/>
          <w:szCs w:val="16"/>
        </w:rPr>
      </w:pPr>
    </w:p>
    <w:p w14:paraId="38002650" w14:textId="78CA8F78" w:rsidR="00AF3DDB" w:rsidRPr="005149C4" w:rsidRDefault="00AF3DDB" w:rsidP="00055CFC">
      <w:pPr>
        <w:spacing w:before="0" w:after="0"/>
        <w:jc w:val="center"/>
        <w:rPr>
          <w:rFonts w:eastAsia="Arial" w:cs="Arial"/>
          <w:sz w:val="16"/>
          <w:szCs w:val="16"/>
        </w:rPr>
      </w:pPr>
    </w:p>
    <w:p w14:paraId="0DEEE895" w14:textId="4957EF13" w:rsidR="00AF3DDB" w:rsidRPr="005149C4" w:rsidRDefault="00D13440" w:rsidP="00346DA1">
      <w:pPr>
        <w:spacing w:after="200" w:line="276" w:lineRule="auto"/>
        <w:jc w:val="center"/>
        <w:rPr>
          <w:rFonts w:cs="Calibri"/>
          <w:b/>
          <w:sz w:val="40"/>
          <w:szCs w:val="40"/>
        </w:rPr>
      </w:pPr>
      <w:r>
        <w:rPr>
          <w:rFonts w:cs="Calibri"/>
          <w:b/>
          <w:sz w:val="40"/>
          <w:szCs w:val="40"/>
        </w:rPr>
        <w:t>275</w:t>
      </w:r>
      <w:r w:rsidR="00346DA1" w:rsidRPr="005149C4">
        <w:rPr>
          <w:rFonts w:cs="Calibri"/>
          <w:b/>
          <w:sz w:val="40"/>
          <w:szCs w:val="40"/>
        </w:rPr>
        <w:t>-PLA-</w:t>
      </w:r>
      <w:r w:rsidRPr="005149C4">
        <w:rPr>
          <w:rFonts w:cs="Calibri"/>
          <w:b/>
          <w:sz w:val="40"/>
          <w:szCs w:val="40"/>
        </w:rPr>
        <w:t>RH</w:t>
      </w:r>
      <w:r>
        <w:rPr>
          <w:rFonts w:cs="Calibri"/>
          <w:b/>
          <w:sz w:val="40"/>
          <w:szCs w:val="40"/>
        </w:rPr>
        <w:t>-</w:t>
      </w:r>
      <w:r w:rsidR="00E22248" w:rsidRPr="005149C4">
        <w:rPr>
          <w:rFonts w:cs="Calibri"/>
          <w:b/>
          <w:sz w:val="40"/>
          <w:szCs w:val="40"/>
        </w:rPr>
        <w:t>MI</w:t>
      </w:r>
      <w:r>
        <w:rPr>
          <w:rFonts w:cs="Calibri"/>
          <w:b/>
          <w:sz w:val="40"/>
          <w:szCs w:val="40"/>
        </w:rPr>
        <w:t>(PL)</w:t>
      </w:r>
      <w:r w:rsidR="00346DA1" w:rsidRPr="005149C4">
        <w:rPr>
          <w:rFonts w:cs="Calibri"/>
          <w:b/>
          <w:sz w:val="40"/>
          <w:szCs w:val="40"/>
        </w:rPr>
        <w:t>-202</w:t>
      </w:r>
      <w:r w:rsidR="00A80967" w:rsidRPr="005149C4">
        <w:rPr>
          <w:rFonts w:cs="Calibri"/>
          <w:b/>
          <w:sz w:val="40"/>
          <w:szCs w:val="40"/>
        </w:rPr>
        <w:t>3</w:t>
      </w:r>
    </w:p>
    <w:p w14:paraId="01A56A6E" w14:textId="77777777" w:rsidR="00AF3DDB" w:rsidRPr="005149C4" w:rsidRDefault="00AF3DDB" w:rsidP="00714397">
      <w:pPr>
        <w:spacing w:before="0" w:after="0"/>
        <w:rPr>
          <w:rFonts w:eastAsia="Arial" w:cs="Arial"/>
          <w:sz w:val="16"/>
          <w:szCs w:val="16"/>
        </w:rPr>
      </w:pPr>
    </w:p>
    <w:p w14:paraId="44C7D9E4" w14:textId="77777777" w:rsidR="00A727CF" w:rsidRPr="005149C4" w:rsidRDefault="00A727CF" w:rsidP="00055CFC">
      <w:pPr>
        <w:spacing w:before="0" w:after="0"/>
        <w:jc w:val="center"/>
        <w:rPr>
          <w:rFonts w:eastAsia="Arial" w:cs="Arial"/>
          <w:b/>
          <w:bCs/>
          <w:i/>
          <w:iCs/>
          <w:sz w:val="32"/>
          <w:szCs w:val="32"/>
        </w:rPr>
      </w:pPr>
      <w:r w:rsidRPr="005149C4">
        <w:rPr>
          <w:rFonts w:eastAsia="Arial" w:cs="Arial"/>
          <w:b/>
          <w:bCs/>
          <w:i/>
          <w:iCs/>
          <w:sz w:val="32"/>
          <w:szCs w:val="32"/>
        </w:rPr>
        <w:t>Elaborado por:</w:t>
      </w:r>
    </w:p>
    <w:p w14:paraId="6AEB3007" w14:textId="6ACB7251" w:rsidR="00555131" w:rsidRPr="005149C4" w:rsidRDefault="00C60343" w:rsidP="00AF3DDB">
      <w:pPr>
        <w:spacing w:before="0" w:after="0"/>
        <w:jc w:val="center"/>
        <w:rPr>
          <w:rFonts w:eastAsia="Arial" w:cs="Arial"/>
          <w:i/>
          <w:iCs/>
          <w:sz w:val="32"/>
          <w:szCs w:val="32"/>
        </w:rPr>
      </w:pPr>
      <w:r w:rsidRPr="005149C4">
        <w:rPr>
          <w:rFonts w:eastAsia="Arial" w:cs="Arial"/>
          <w:i/>
          <w:iCs/>
          <w:sz w:val="32"/>
          <w:szCs w:val="32"/>
        </w:rPr>
        <w:t>Ing</w:t>
      </w:r>
      <w:r w:rsidR="00AF3DDB" w:rsidRPr="005149C4">
        <w:rPr>
          <w:rFonts w:eastAsia="Arial" w:cs="Arial"/>
          <w:i/>
          <w:iCs/>
          <w:sz w:val="32"/>
          <w:szCs w:val="32"/>
        </w:rPr>
        <w:t xml:space="preserve">. </w:t>
      </w:r>
      <w:r w:rsidR="00A80967" w:rsidRPr="005149C4">
        <w:rPr>
          <w:rFonts w:eastAsia="Arial" w:cs="Arial"/>
          <w:i/>
          <w:iCs/>
          <w:sz w:val="32"/>
          <w:szCs w:val="32"/>
        </w:rPr>
        <w:t>Leda Arias Jiménez</w:t>
      </w:r>
    </w:p>
    <w:p w14:paraId="427D626F" w14:textId="77777777" w:rsidR="00AF3DDB" w:rsidRPr="005149C4" w:rsidRDefault="00AF3DDB" w:rsidP="00055CFC">
      <w:pPr>
        <w:spacing w:before="0" w:after="0"/>
        <w:jc w:val="center"/>
        <w:rPr>
          <w:rFonts w:eastAsia="Arial" w:cs="Arial"/>
          <w:i/>
          <w:iCs/>
          <w:sz w:val="32"/>
          <w:szCs w:val="32"/>
        </w:rPr>
      </w:pPr>
    </w:p>
    <w:p w14:paraId="17C609F7" w14:textId="5C46CEA6" w:rsidR="00A727CF" w:rsidRPr="005149C4" w:rsidRDefault="00492F3B" w:rsidP="00346DA1">
      <w:pPr>
        <w:spacing w:before="0" w:after="0"/>
        <w:jc w:val="center"/>
        <w:rPr>
          <w:rFonts w:eastAsia="Arial" w:cs="Arial"/>
          <w:sz w:val="40"/>
          <w:szCs w:val="40"/>
        </w:rPr>
      </w:pPr>
      <w:r>
        <w:rPr>
          <w:rFonts w:eastAsia="Arial" w:cs="Arial"/>
          <w:sz w:val="40"/>
          <w:szCs w:val="40"/>
        </w:rPr>
        <w:t xml:space="preserve"> Abril</w:t>
      </w:r>
      <w:r w:rsidR="00A80967" w:rsidRPr="005149C4">
        <w:rPr>
          <w:rFonts w:eastAsia="Arial" w:cs="Arial"/>
          <w:sz w:val="40"/>
          <w:szCs w:val="40"/>
        </w:rPr>
        <w:t xml:space="preserve"> </w:t>
      </w:r>
      <w:r w:rsidR="00A727CF" w:rsidRPr="005149C4">
        <w:rPr>
          <w:rFonts w:eastAsia="Arial" w:cs="Arial"/>
          <w:sz w:val="40"/>
          <w:szCs w:val="40"/>
        </w:rPr>
        <w:t>20</w:t>
      </w:r>
      <w:r w:rsidR="00555131" w:rsidRPr="005149C4">
        <w:rPr>
          <w:rFonts w:eastAsia="Arial" w:cs="Arial"/>
          <w:sz w:val="40"/>
          <w:szCs w:val="40"/>
        </w:rPr>
        <w:t>2</w:t>
      </w:r>
      <w:r w:rsidR="00A80967" w:rsidRPr="005149C4">
        <w:rPr>
          <w:rFonts w:eastAsia="Arial" w:cs="Arial"/>
          <w:sz w:val="40"/>
          <w:szCs w:val="40"/>
        </w:rPr>
        <w:t>3</w:t>
      </w:r>
    </w:p>
    <w:p w14:paraId="45123CB1" w14:textId="67AF3128" w:rsidR="00A80967" w:rsidRPr="005149C4" w:rsidRDefault="00A80967" w:rsidP="00346DA1">
      <w:pPr>
        <w:spacing w:before="0" w:after="0"/>
        <w:jc w:val="center"/>
        <w:rPr>
          <w:rFonts w:eastAsia="Arial" w:cs="Arial"/>
          <w:sz w:val="40"/>
          <w:szCs w:val="40"/>
        </w:rPr>
      </w:pPr>
    </w:p>
    <w:p w14:paraId="46FDCA16" w14:textId="77777777" w:rsidR="00A80967" w:rsidRPr="005149C4" w:rsidRDefault="00A80967" w:rsidP="00346DA1">
      <w:pPr>
        <w:spacing w:before="0" w:after="0"/>
        <w:jc w:val="center"/>
        <w:rPr>
          <w:rFonts w:eastAsia="Arial" w:cs="Arial"/>
          <w:sz w:val="40"/>
          <w:szCs w:val="40"/>
        </w:rPr>
      </w:pPr>
    </w:p>
    <w:p w14:paraId="4FA28A17" w14:textId="6BFB046A" w:rsidR="580834A0" w:rsidRPr="005149C4" w:rsidRDefault="580834A0" w:rsidP="00AA10C8">
      <w:pPr>
        <w:pStyle w:val="Ttulo1"/>
      </w:pPr>
      <w:r w:rsidRPr="005149C4">
        <w:rPr>
          <w:rStyle w:val="Ttulo1Car"/>
          <w:b/>
          <w:bCs/>
        </w:rPr>
        <w:lastRenderedPageBreak/>
        <w:t>Oficios y referencias</w:t>
      </w:r>
    </w:p>
    <w:p w14:paraId="245F5F4A" w14:textId="39546768" w:rsidR="4E1EE335" w:rsidRPr="005149C4" w:rsidRDefault="4E1EE335" w:rsidP="00377565">
      <w:pPr>
        <w:spacing w:line="240" w:lineRule="auto"/>
      </w:pPr>
      <w:r w:rsidRPr="005149C4">
        <w:t>En el siguiente cuadro se detalla</w:t>
      </w:r>
      <w:r w:rsidR="005C6D4A" w:rsidRPr="005149C4">
        <w:t>n</w:t>
      </w:r>
      <w:r w:rsidRPr="005149C4">
        <w:t xml:space="preserve"> los números de oficios de la Secretaría General de la Corte que corresponden a las referencias internas de la Dirección de Planificación: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78"/>
        <w:gridCol w:w="5270"/>
      </w:tblGrid>
      <w:tr w:rsidR="00A35818" w:rsidRPr="005149C4" w14:paraId="738B3B74" w14:textId="77777777" w:rsidTr="00AF1C61">
        <w:trPr>
          <w:trHeight w:val="637"/>
          <w:jc w:val="center"/>
        </w:trPr>
        <w:tc>
          <w:tcPr>
            <w:tcW w:w="1121" w:type="pct"/>
            <w:shd w:val="clear" w:color="auto" w:fill="1F3864" w:themeFill="accent1" w:themeFillShade="80"/>
            <w:vAlign w:val="center"/>
          </w:tcPr>
          <w:p w14:paraId="164B988B" w14:textId="503B25DC" w:rsidR="00A35818" w:rsidRPr="005149C4" w:rsidRDefault="00260F7A" w:rsidP="7A68C36A">
            <w:pPr>
              <w:spacing w:before="0" w:after="0" w:line="240" w:lineRule="auto"/>
              <w:jc w:val="center"/>
              <w:rPr>
                <w:rFonts w:ascii="Times New Roman" w:eastAsia="Times New Roman" w:hAnsi="Times New Roman"/>
                <w:b/>
                <w:lang w:eastAsia="es-CR"/>
              </w:rPr>
            </w:pPr>
            <w:r w:rsidRPr="005149C4">
              <w:rPr>
                <w:rFonts w:ascii="Times New Roman" w:eastAsia="Times New Roman" w:hAnsi="Times New Roman"/>
                <w:b/>
                <w:lang w:eastAsia="es-CR"/>
              </w:rPr>
              <w:t>Oficio</w:t>
            </w:r>
          </w:p>
        </w:tc>
        <w:tc>
          <w:tcPr>
            <w:tcW w:w="894" w:type="pct"/>
            <w:shd w:val="clear" w:color="auto" w:fill="1F3864" w:themeFill="accent1" w:themeFillShade="80"/>
            <w:vAlign w:val="center"/>
          </w:tcPr>
          <w:p w14:paraId="466081C3" w14:textId="53E51460" w:rsidR="00A35818" w:rsidRPr="005149C4" w:rsidRDefault="00A35818" w:rsidP="7A68C36A">
            <w:pPr>
              <w:spacing w:before="0" w:after="0" w:line="240" w:lineRule="auto"/>
              <w:jc w:val="center"/>
              <w:rPr>
                <w:rFonts w:ascii="Times New Roman" w:eastAsia="Times New Roman" w:hAnsi="Times New Roman"/>
                <w:b/>
                <w:lang w:eastAsia="es-CR"/>
              </w:rPr>
            </w:pPr>
            <w:r w:rsidRPr="005149C4">
              <w:rPr>
                <w:rFonts w:ascii="Times New Roman" w:eastAsia="Times New Roman" w:hAnsi="Times New Roman"/>
                <w:b/>
                <w:lang w:eastAsia="es-CR"/>
              </w:rPr>
              <w:t>No. Referencia Interna</w:t>
            </w:r>
          </w:p>
        </w:tc>
        <w:tc>
          <w:tcPr>
            <w:tcW w:w="2984" w:type="pct"/>
            <w:shd w:val="clear" w:color="auto" w:fill="1F3864" w:themeFill="accent1" w:themeFillShade="80"/>
            <w:vAlign w:val="center"/>
          </w:tcPr>
          <w:p w14:paraId="2EAD2C15" w14:textId="0D1F33A4" w:rsidR="00A35818" w:rsidRPr="005149C4" w:rsidRDefault="00A35818" w:rsidP="7A68C36A">
            <w:pPr>
              <w:spacing w:before="0" w:after="0" w:line="240" w:lineRule="auto"/>
              <w:jc w:val="center"/>
              <w:rPr>
                <w:rFonts w:ascii="Times New Roman" w:eastAsia="Times New Roman" w:hAnsi="Times New Roman"/>
                <w:b/>
                <w:lang w:eastAsia="es-CR"/>
              </w:rPr>
            </w:pPr>
            <w:r w:rsidRPr="005149C4">
              <w:rPr>
                <w:rFonts w:ascii="Times New Roman" w:eastAsia="Times New Roman" w:hAnsi="Times New Roman"/>
                <w:b/>
                <w:lang w:eastAsia="es-CR"/>
              </w:rPr>
              <w:t>Descripción</w:t>
            </w:r>
          </w:p>
        </w:tc>
      </w:tr>
      <w:tr w:rsidR="00A35818" w:rsidRPr="005149C4" w14:paraId="5CE0A702" w14:textId="77777777" w:rsidTr="00AF1C61">
        <w:trPr>
          <w:trHeight w:val="420"/>
          <w:jc w:val="center"/>
        </w:trPr>
        <w:tc>
          <w:tcPr>
            <w:tcW w:w="1121" w:type="pct"/>
            <w:vAlign w:val="center"/>
          </w:tcPr>
          <w:p w14:paraId="0AF06C51" w14:textId="5584906C" w:rsidR="00A35818" w:rsidRPr="005149C4" w:rsidRDefault="00284C83" w:rsidP="7A68C36A">
            <w:pPr>
              <w:spacing w:before="0" w:after="0" w:line="240" w:lineRule="auto"/>
              <w:jc w:val="center"/>
            </w:pPr>
            <w:r w:rsidRPr="005149C4">
              <w:t>---</w:t>
            </w:r>
          </w:p>
        </w:tc>
        <w:tc>
          <w:tcPr>
            <w:tcW w:w="894" w:type="pct"/>
            <w:shd w:val="clear" w:color="auto" w:fill="auto"/>
            <w:vAlign w:val="center"/>
          </w:tcPr>
          <w:p w14:paraId="351A8E41" w14:textId="05D657BC" w:rsidR="00A35818" w:rsidRPr="005149C4" w:rsidRDefault="00A35818" w:rsidP="7A68C36A">
            <w:pPr>
              <w:spacing w:before="0" w:after="0" w:line="240" w:lineRule="auto"/>
              <w:jc w:val="center"/>
            </w:pPr>
            <w:r w:rsidRPr="005149C4">
              <w:t>73-2022</w:t>
            </w:r>
          </w:p>
        </w:tc>
        <w:tc>
          <w:tcPr>
            <w:tcW w:w="2984" w:type="pct"/>
            <w:vAlign w:val="center"/>
          </w:tcPr>
          <w:p w14:paraId="154EA183" w14:textId="7D011E0E" w:rsidR="00A35818" w:rsidRPr="005149C4" w:rsidRDefault="00A35818" w:rsidP="00050861">
            <w:pPr>
              <w:spacing w:before="0" w:after="0" w:line="240" w:lineRule="auto"/>
            </w:pPr>
            <w:r w:rsidRPr="005149C4">
              <w:t>(Informe de presupuesto Impacto de Ley 9582 Justicia Restaurativa / Presupuesto 2023</w:t>
            </w:r>
          </w:p>
        </w:tc>
      </w:tr>
      <w:tr w:rsidR="00A35818" w:rsidRPr="005149C4" w14:paraId="2CAAD097" w14:textId="77777777" w:rsidTr="00AF1C61">
        <w:trPr>
          <w:trHeight w:val="420"/>
          <w:jc w:val="center"/>
        </w:trPr>
        <w:tc>
          <w:tcPr>
            <w:tcW w:w="1121" w:type="pct"/>
            <w:vAlign w:val="center"/>
          </w:tcPr>
          <w:p w14:paraId="1C8BD622" w14:textId="0C287EF7" w:rsidR="00A35818" w:rsidRPr="005149C4" w:rsidRDefault="00920218" w:rsidP="00AF1C61">
            <w:pPr>
              <w:spacing w:before="0" w:after="0" w:line="240" w:lineRule="auto"/>
              <w:jc w:val="center"/>
            </w:pPr>
            <w:r w:rsidRPr="005149C4">
              <w:t>53</w:t>
            </w:r>
            <w:r w:rsidR="000136EB" w:rsidRPr="005149C4">
              <w:t>8</w:t>
            </w:r>
            <w:r w:rsidRPr="005149C4">
              <w:t>-2022</w:t>
            </w:r>
          </w:p>
        </w:tc>
        <w:tc>
          <w:tcPr>
            <w:tcW w:w="894" w:type="pct"/>
            <w:shd w:val="clear" w:color="auto" w:fill="auto"/>
            <w:vAlign w:val="center"/>
          </w:tcPr>
          <w:p w14:paraId="3E902962" w14:textId="068A6348" w:rsidR="00A35818" w:rsidRPr="005149C4" w:rsidRDefault="00425F9D" w:rsidP="7A68C36A">
            <w:pPr>
              <w:spacing w:before="0" w:after="0" w:line="240" w:lineRule="auto"/>
              <w:jc w:val="center"/>
            </w:pPr>
            <w:r w:rsidRPr="005149C4">
              <w:t>148-2022</w:t>
            </w:r>
          </w:p>
        </w:tc>
        <w:tc>
          <w:tcPr>
            <w:tcW w:w="2984" w:type="pct"/>
            <w:vAlign w:val="center"/>
          </w:tcPr>
          <w:p w14:paraId="3B905F75" w14:textId="4CAC6247" w:rsidR="00A35818" w:rsidRPr="005149C4" w:rsidRDefault="00050861" w:rsidP="00050861">
            <w:pPr>
              <w:spacing w:before="0" w:after="0" w:line="240" w:lineRule="auto"/>
            </w:pPr>
            <w:r w:rsidRPr="005149C4">
              <w:t>Riesgo de Denegación del servicio de Justicia Restaurativa a nivel nacional que se materializará el 20 de enero del 2022</w:t>
            </w:r>
          </w:p>
        </w:tc>
      </w:tr>
      <w:tr w:rsidR="002B30C5" w:rsidRPr="005149C4" w14:paraId="17C70658" w14:textId="77777777" w:rsidTr="00AF1C61">
        <w:trPr>
          <w:trHeight w:val="420"/>
          <w:jc w:val="center"/>
        </w:trPr>
        <w:tc>
          <w:tcPr>
            <w:tcW w:w="1121" w:type="pct"/>
            <w:vAlign w:val="center"/>
          </w:tcPr>
          <w:p w14:paraId="443B4BB9" w14:textId="078807EF" w:rsidR="002B30C5" w:rsidRPr="005149C4" w:rsidRDefault="002B30C5" w:rsidP="00AF1C61">
            <w:pPr>
              <w:spacing w:before="0" w:after="0" w:line="240" w:lineRule="auto"/>
              <w:jc w:val="center"/>
            </w:pPr>
            <w:r w:rsidRPr="005149C4">
              <w:t>42-ORJR-2022</w:t>
            </w:r>
          </w:p>
        </w:tc>
        <w:tc>
          <w:tcPr>
            <w:tcW w:w="894" w:type="pct"/>
            <w:shd w:val="clear" w:color="auto" w:fill="auto"/>
            <w:vAlign w:val="center"/>
          </w:tcPr>
          <w:p w14:paraId="31D4CF46" w14:textId="5934EB2F" w:rsidR="002B30C5" w:rsidRPr="005149C4" w:rsidRDefault="002B30C5" w:rsidP="7A68C36A">
            <w:pPr>
              <w:spacing w:before="0" w:after="0" w:line="240" w:lineRule="auto"/>
              <w:jc w:val="center"/>
            </w:pPr>
            <w:r w:rsidRPr="005149C4">
              <w:t>456-2022</w:t>
            </w:r>
          </w:p>
        </w:tc>
        <w:tc>
          <w:tcPr>
            <w:tcW w:w="2984" w:type="pct"/>
            <w:vAlign w:val="center"/>
          </w:tcPr>
          <w:p w14:paraId="4C208CD1" w14:textId="3AF070E0" w:rsidR="002B30C5" w:rsidRPr="005149C4" w:rsidRDefault="002B30C5" w:rsidP="00050861">
            <w:pPr>
              <w:spacing w:before="0" w:after="0" w:line="240" w:lineRule="auto"/>
            </w:pPr>
            <w:r w:rsidRPr="005149C4">
              <w:t>Solicitud de recursos de presupuestos para el 2023 por parte de la Oficina Rectora de Justicia Restaurativa</w:t>
            </w:r>
          </w:p>
        </w:tc>
      </w:tr>
      <w:tr w:rsidR="00773FAC" w:rsidRPr="005149C4" w14:paraId="78D49FDE" w14:textId="77777777" w:rsidTr="00AF1C61">
        <w:trPr>
          <w:trHeight w:val="420"/>
          <w:jc w:val="center"/>
        </w:trPr>
        <w:tc>
          <w:tcPr>
            <w:tcW w:w="1121" w:type="pct"/>
            <w:vAlign w:val="center"/>
          </w:tcPr>
          <w:p w14:paraId="613B8BDE" w14:textId="18F2F84B" w:rsidR="00773FAC" w:rsidRPr="005149C4" w:rsidRDefault="00773FAC" w:rsidP="00AF1C61">
            <w:pPr>
              <w:spacing w:before="0" w:after="0" w:line="240" w:lineRule="auto"/>
              <w:jc w:val="center"/>
            </w:pPr>
            <w:r w:rsidRPr="005149C4">
              <w:t>038</w:t>
            </w:r>
            <w:r w:rsidR="00AF1C61" w:rsidRPr="005149C4">
              <w:t>-</w:t>
            </w:r>
            <w:r w:rsidRPr="005149C4">
              <w:t>ORJR-2023</w:t>
            </w:r>
          </w:p>
        </w:tc>
        <w:tc>
          <w:tcPr>
            <w:tcW w:w="894" w:type="pct"/>
            <w:shd w:val="clear" w:color="auto" w:fill="auto"/>
            <w:vAlign w:val="center"/>
          </w:tcPr>
          <w:p w14:paraId="4471AEB9" w14:textId="7B792CDF" w:rsidR="00773FAC" w:rsidRPr="005149C4" w:rsidRDefault="00D7031D" w:rsidP="7A68C36A">
            <w:pPr>
              <w:spacing w:before="0" w:after="0" w:line="240" w:lineRule="auto"/>
              <w:jc w:val="center"/>
            </w:pPr>
            <w:r w:rsidRPr="005149C4">
              <w:rPr>
                <w:rStyle w:val="ui-provider"/>
              </w:rPr>
              <w:t>291-2023</w:t>
            </w:r>
          </w:p>
        </w:tc>
        <w:tc>
          <w:tcPr>
            <w:tcW w:w="2984" w:type="pct"/>
            <w:vAlign w:val="center"/>
          </w:tcPr>
          <w:p w14:paraId="5848B856" w14:textId="1093ACF9" w:rsidR="00773FAC" w:rsidRPr="005149C4" w:rsidRDefault="00AF1C61" w:rsidP="00050861">
            <w:pPr>
              <w:spacing w:before="0" w:after="0" w:line="240" w:lineRule="auto"/>
            </w:pPr>
            <w:r w:rsidRPr="005149C4">
              <w:t>Solicitud de recursos de presupuestos para el 2024 por parte de la Oficina Rectora de Justicia Restaurativa</w:t>
            </w:r>
          </w:p>
        </w:tc>
      </w:tr>
    </w:tbl>
    <w:p w14:paraId="6F5CBF08" w14:textId="1139BFF0" w:rsidR="0AA38E64" w:rsidRPr="005149C4" w:rsidRDefault="0AA38E64" w:rsidP="00055CFC">
      <w:pPr>
        <w:spacing w:before="0" w:after="0"/>
        <w:rPr>
          <w:rFonts w:eastAsia="Arial" w:cs="Arial"/>
        </w:rPr>
      </w:pPr>
    </w:p>
    <w:p w14:paraId="4F02F073" w14:textId="752272A6" w:rsidR="0A67FD50" w:rsidRPr="005149C4" w:rsidRDefault="0A67FD50" w:rsidP="00AA10C8">
      <w:pPr>
        <w:pStyle w:val="Ttulo1"/>
      </w:pPr>
      <w:r w:rsidRPr="005149C4">
        <w:t>P</w:t>
      </w:r>
      <w:r w:rsidR="001A5575" w:rsidRPr="005149C4">
        <w:t>royecto u oficinas analizadas</w:t>
      </w:r>
    </w:p>
    <w:p w14:paraId="0FBB782E" w14:textId="679A8DFC" w:rsidR="0A67FD50" w:rsidRPr="005149C4" w:rsidRDefault="0A67FD50" w:rsidP="00377565">
      <w:pPr>
        <w:spacing w:line="240" w:lineRule="auto"/>
      </w:pPr>
      <w:r w:rsidRPr="005149C4">
        <w:t xml:space="preserve">Impacto organizacional y presupuestario en el Poder Judicial a partir de la promulgación de la Ley </w:t>
      </w:r>
      <w:r w:rsidR="00CD5BD2" w:rsidRPr="005149C4">
        <w:t>9582 Justicia Restaurativa</w:t>
      </w:r>
      <w:r w:rsidR="0FE08F79" w:rsidRPr="005149C4">
        <w:t>.</w:t>
      </w:r>
    </w:p>
    <w:p w14:paraId="529DDD22" w14:textId="5443B945" w:rsidR="0A67FD50" w:rsidRPr="005149C4" w:rsidRDefault="001A5575" w:rsidP="00AA10C8">
      <w:pPr>
        <w:pStyle w:val="Ttulo1"/>
      </w:pPr>
      <w:r w:rsidRPr="005149C4">
        <w:br w:type="page"/>
      </w:r>
      <w:r w:rsidR="0A67FD50" w:rsidRPr="005149C4">
        <w:lastRenderedPageBreak/>
        <w:t>Antecedentes</w:t>
      </w:r>
    </w:p>
    <w:p w14:paraId="6BE39A30" w14:textId="2962CF77" w:rsidR="00D83CD9" w:rsidRPr="00500A7B" w:rsidRDefault="00D32661" w:rsidP="002D74EB">
      <w:pPr>
        <w:pStyle w:val="Prrafodelista"/>
        <w:numPr>
          <w:ilvl w:val="1"/>
          <w:numId w:val="30"/>
        </w:numPr>
        <w:spacing w:before="0"/>
        <w:ind w:left="709"/>
        <w:rPr>
          <w:rFonts w:eastAsia="Book Antiqua" w:cs="Book Antiqua"/>
        </w:rPr>
      </w:pPr>
      <w:r w:rsidRPr="00500A7B">
        <w:rPr>
          <w:rFonts w:eastAsia="Book Antiqua" w:cs="Book Antiqua"/>
        </w:rPr>
        <w:t xml:space="preserve">El 20 de enero de 2019 </w:t>
      </w:r>
      <w:proofErr w:type="gramStart"/>
      <w:r w:rsidRPr="00500A7B">
        <w:rPr>
          <w:rFonts w:eastAsia="Book Antiqua" w:cs="Book Antiqua"/>
        </w:rPr>
        <w:t>entró en vigencia</w:t>
      </w:r>
      <w:proofErr w:type="gramEnd"/>
      <w:r w:rsidRPr="00500A7B">
        <w:rPr>
          <w:rFonts w:eastAsia="Book Antiqua" w:cs="Book Antiqua"/>
        </w:rPr>
        <w:t xml:space="preserve"> la Ley de Justicia Restaurativa 9582, que conforme al artículo 1 establece su objetivo bajo el siguiente enunciado: </w:t>
      </w:r>
    </w:p>
    <w:p w14:paraId="1BC51828" w14:textId="77777777" w:rsidR="00500A7B" w:rsidRDefault="00D32661" w:rsidP="00500A7B">
      <w:pPr>
        <w:spacing w:before="0"/>
        <w:ind w:left="1134" w:right="900"/>
        <w:rPr>
          <w:rFonts w:eastAsia="Book Antiqua" w:cs="Book Antiqua"/>
        </w:rPr>
      </w:pPr>
      <w:r w:rsidRPr="005149C4">
        <w:rPr>
          <w:rFonts w:eastAsia="Book Antiqua" w:cs="Book Antiqua"/>
          <w:i/>
          <w:iCs/>
        </w:rPr>
        <w:t xml:space="preserve">“… definir un marco conceptual y procedimental para instaurar la justicia restaurativa en el ordenamiento jurídico costarricense, como un instrumento que contribuya a resolver los conflictos jurídicos generados por los hechos delictivos, con la </w:t>
      </w:r>
      <w:r w:rsidR="000A2DD3" w:rsidRPr="005149C4">
        <w:rPr>
          <w:rFonts w:eastAsia="Book Antiqua" w:cs="Book Antiqua"/>
          <w:i/>
          <w:iCs/>
        </w:rPr>
        <w:t>participación</w:t>
      </w:r>
      <w:r w:rsidRPr="005149C4">
        <w:rPr>
          <w:rFonts w:eastAsia="Book Antiqua" w:cs="Book Antiqua"/>
          <w:i/>
          <w:iCs/>
        </w:rPr>
        <w:t xml:space="preserve"> de las partes intervinientes, a fin de restaurar los daños a la víctima, procurar la inserción social de la persona ofensora, con soluciones integrales y promover la paz social.”</w:t>
      </w:r>
      <w:r w:rsidR="005C6D4A" w:rsidRPr="005149C4">
        <w:rPr>
          <w:rFonts w:eastAsia="Book Antiqua" w:cs="Book Antiqua"/>
          <w:i/>
          <w:iCs/>
        </w:rPr>
        <w:t>.</w:t>
      </w:r>
    </w:p>
    <w:p w14:paraId="039BB365" w14:textId="073DDE4B" w:rsidR="002D74EB" w:rsidRDefault="00D32661" w:rsidP="002D74EB">
      <w:pPr>
        <w:pStyle w:val="Prrafodelista"/>
        <w:numPr>
          <w:ilvl w:val="1"/>
          <w:numId w:val="30"/>
        </w:numPr>
        <w:spacing w:before="0"/>
        <w:ind w:right="900"/>
        <w:rPr>
          <w:rFonts w:eastAsia="Book Antiqua" w:cs="Book Antiqua"/>
        </w:rPr>
      </w:pPr>
      <w:r w:rsidRPr="00500A7B">
        <w:rPr>
          <w:rFonts w:eastAsia="Book Antiqua" w:cs="Book Antiqua"/>
        </w:rPr>
        <w:t xml:space="preserve">Su ámbito de aplicación se extiende a la materia Penal, Penal Juvenil y Contravencional, en todas sus etapas, en atención al artículo 2, por medio de un equipo interdisciplinario integrado por </w:t>
      </w:r>
      <w:r w:rsidR="000A2DD3" w:rsidRPr="00500A7B">
        <w:rPr>
          <w:rFonts w:eastAsia="Book Antiqua" w:cs="Book Antiqua"/>
        </w:rPr>
        <w:t xml:space="preserve">personal funcionario </w:t>
      </w:r>
      <w:r w:rsidRPr="00500A7B">
        <w:rPr>
          <w:rFonts w:eastAsia="Book Antiqua" w:cs="Book Antiqua"/>
        </w:rPr>
        <w:t xml:space="preserve">del Ministerio Público, Defensa Pública y el Equipo Psicosocial, este último conformado al menos por una plaza en trabajo social y otra en psicología. Las personas juzgadoras se integrarán en cada Circuito Judicial según su competencia (incisos i) y j) del artículo 3 de la Ley de Justicia Restaurativa. </w:t>
      </w:r>
    </w:p>
    <w:p w14:paraId="6B85AA5A" w14:textId="77777777" w:rsidR="002D74EB" w:rsidRDefault="002D74EB" w:rsidP="002D74EB">
      <w:pPr>
        <w:pStyle w:val="Prrafodelista"/>
        <w:spacing w:before="0"/>
        <w:ind w:left="720" w:right="900"/>
        <w:rPr>
          <w:rFonts w:eastAsia="Book Antiqua" w:cs="Book Antiqua"/>
        </w:rPr>
      </w:pPr>
    </w:p>
    <w:p w14:paraId="23E39927" w14:textId="77777777" w:rsidR="002D74EB" w:rsidRDefault="00D32661" w:rsidP="002D74EB">
      <w:pPr>
        <w:pStyle w:val="Prrafodelista"/>
        <w:numPr>
          <w:ilvl w:val="1"/>
          <w:numId w:val="30"/>
        </w:numPr>
        <w:spacing w:before="0"/>
        <w:ind w:right="900"/>
        <w:rPr>
          <w:rFonts w:eastAsia="Book Antiqua" w:cs="Book Antiqua"/>
        </w:rPr>
      </w:pPr>
      <w:r w:rsidRPr="002D74EB">
        <w:rPr>
          <w:rFonts w:eastAsia="Book Antiqua" w:cs="Book Antiqua"/>
        </w:rPr>
        <w:t xml:space="preserve">El artículo 14 de la Ley de referencia establece en </w:t>
      </w:r>
      <w:r w:rsidR="00754B10" w:rsidRPr="002D74EB">
        <w:rPr>
          <w:rFonts w:eastAsia="Book Antiqua" w:cs="Book Antiqua"/>
        </w:rPr>
        <w:t>M</w:t>
      </w:r>
      <w:r w:rsidRPr="002D74EB">
        <w:rPr>
          <w:rFonts w:eastAsia="Book Antiqua" w:cs="Book Antiqua"/>
        </w:rPr>
        <w:t xml:space="preserve">ateria </w:t>
      </w:r>
      <w:r w:rsidR="00754B10" w:rsidRPr="002D74EB">
        <w:rPr>
          <w:rFonts w:eastAsia="Book Antiqua" w:cs="Book Antiqua"/>
        </w:rPr>
        <w:t>P</w:t>
      </w:r>
      <w:r w:rsidRPr="002D74EB">
        <w:rPr>
          <w:rFonts w:eastAsia="Book Antiqua" w:cs="Book Antiqua"/>
        </w:rPr>
        <w:t>enal de adultos, que el procedimiento de Justicia Restaurativa procederá a solicitud del Ministerio Público, Defensa Técnica, autoridades jurisdiccionales, víctima y persona ofensora entre otros, en cualquier etapa del proceso, co</w:t>
      </w:r>
      <w:r w:rsidR="00754B10" w:rsidRPr="002D74EB">
        <w:rPr>
          <w:rFonts w:eastAsia="Book Antiqua" w:cs="Book Antiqua"/>
        </w:rPr>
        <w:t>nforme</w:t>
      </w:r>
      <w:r w:rsidRPr="002D74EB">
        <w:rPr>
          <w:rFonts w:eastAsia="Book Antiqua" w:cs="Book Antiqua"/>
        </w:rPr>
        <w:t xml:space="preserve"> a los criterios</w:t>
      </w:r>
      <w:r w:rsidR="00754B10" w:rsidRPr="002D74EB">
        <w:rPr>
          <w:rFonts w:eastAsia="Book Antiqua" w:cs="Book Antiqua"/>
        </w:rPr>
        <w:t xml:space="preserve"> establecidos. </w:t>
      </w:r>
      <w:r w:rsidRPr="002D74EB">
        <w:rPr>
          <w:rFonts w:eastAsia="Book Antiqua" w:cs="Book Antiqua"/>
        </w:rPr>
        <w:t>Asimismo, el artículo 29 establece la procedencia del procedimiento juvenil restaurativo</w:t>
      </w:r>
      <w:r w:rsidR="00754B10" w:rsidRPr="002D74EB">
        <w:rPr>
          <w:rFonts w:eastAsia="Book Antiqua" w:cs="Book Antiqua"/>
        </w:rPr>
        <w:t>.</w:t>
      </w:r>
    </w:p>
    <w:p w14:paraId="6D772A75" w14:textId="77777777" w:rsidR="002D74EB" w:rsidRPr="002D74EB" w:rsidRDefault="002D74EB" w:rsidP="002D74EB">
      <w:pPr>
        <w:pStyle w:val="Prrafodelista"/>
        <w:rPr>
          <w:rFonts w:eastAsia="Book Antiqua" w:cs="Book Antiqua"/>
        </w:rPr>
      </w:pPr>
    </w:p>
    <w:p w14:paraId="5D2E9CD6" w14:textId="116D29A7" w:rsidR="00BD1F3D" w:rsidRPr="002D74EB" w:rsidRDefault="00BD1F3D" w:rsidP="002D74EB">
      <w:pPr>
        <w:pStyle w:val="Prrafodelista"/>
        <w:numPr>
          <w:ilvl w:val="1"/>
          <w:numId w:val="30"/>
        </w:numPr>
        <w:spacing w:before="0"/>
        <w:ind w:right="900"/>
        <w:rPr>
          <w:rFonts w:eastAsia="Book Antiqua" w:cs="Book Antiqua"/>
        </w:rPr>
      </w:pPr>
      <w:r w:rsidRPr="002D74EB">
        <w:rPr>
          <w:rFonts w:eastAsia="Book Antiqua" w:cs="Book Antiqua"/>
        </w:rPr>
        <w:t>A continuación, se describen informes relevantes que sustentan el presente informe.</w:t>
      </w:r>
    </w:p>
    <w:tbl>
      <w:tblPr>
        <w:tblStyle w:val="Tablaconcuadrcula"/>
        <w:tblW w:w="5000" w:type="pct"/>
        <w:tblLook w:val="04A0" w:firstRow="1" w:lastRow="0" w:firstColumn="1" w:lastColumn="0" w:noHBand="0" w:noVBand="1"/>
      </w:tblPr>
      <w:tblGrid>
        <w:gridCol w:w="4275"/>
        <w:gridCol w:w="4553"/>
      </w:tblGrid>
      <w:tr w:rsidR="004572AB" w14:paraId="12524D7D" w14:textId="77777777" w:rsidTr="004572AB">
        <w:trPr>
          <w:trHeight w:val="274"/>
        </w:trPr>
        <w:tc>
          <w:tcPr>
            <w:tcW w:w="2421" w:type="pct"/>
          </w:tcPr>
          <w:p w14:paraId="29EA76AD" w14:textId="77777777" w:rsidR="004572AB" w:rsidRPr="004572AB" w:rsidRDefault="004572AB" w:rsidP="004572AB">
            <w:pPr>
              <w:spacing w:before="0" w:after="0" w:line="240" w:lineRule="auto"/>
              <w:jc w:val="center"/>
              <w:rPr>
                <w:rFonts w:ascii="Times New Roman" w:eastAsia="Times New Roman" w:hAnsi="Times New Roman"/>
                <w:b/>
                <w:lang w:eastAsia="es-CR"/>
              </w:rPr>
            </w:pPr>
            <w:r w:rsidRPr="004572AB">
              <w:rPr>
                <w:rFonts w:ascii="Times New Roman" w:eastAsia="Times New Roman" w:hAnsi="Times New Roman"/>
                <w:b/>
                <w:lang w:eastAsia="es-CR"/>
              </w:rPr>
              <w:t>Antecedente</w:t>
            </w:r>
          </w:p>
        </w:tc>
        <w:tc>
          <w:tcPr>
            <w:tcW w:w="2579" w:type="pct"/>
          </w:tcPr>
          <w:p w14:paraId="417A77CA" w14:textId="77777777" w:rsidR="004572AB" w:rsidRPr="004572AB" w:rsidRDefault="004572AB" w:rsidP="004572AB">
            <w:pPr>
              <w:spacing w:before="0" w:after="0" w:line="240" w:lineRule="auto"/>
              <w:ind w:right="900"/>
              <w:jc w:val="center"/>
              <w:rPr>
                <w:rFonts w:ascii="Times New Roman" w:eastAsia="Times New Roman" w:hAnsi="Times New Roman"/>
                <w:b/>
                <w:lang w:eastAsia="es-CR"/>
              </w:rPr>
            </w:pPr>
            <w:r w:rsidRPr="004572AB">
              <w:rPr>
                <w:rFonts w:ascii="Times New Roman" w:eastAsia="Times New Roman" w:hAnsi="Times New Roman"/>
                <w:b/>
                <w:lang w:eastAsia="es-CR"/>
              </w:rPr>
              <w:t>Se dispone:</w:t>
            </w:r>
          </w:p>
        </w:tc>
      </w:tr>
      <w:tr w:rsidR="004572AB" w14:paraId="60934451" w14:textId="77777777" w:rsidTr="004572AB">
        <w:trPr>
          <w:trHeight w:val="2887"/>
        </w:trPr>
        <w:tc>
          <w:tcPr>
            <w:tcW w:w="2421" w:type="pct"/>
          </w:tcPr>
          <w:p w14:paraId="7A73645C" w14:textId="77777777" w:rsidR="004572AB" w:rsidRPr="00262CB8" w:rsidRDefault="0029649D" w:rsidP="00BA14BB">
            <w:pPr>
              <w:spacing w:before="0"/>
              <w:rPr>
                <w:rFonts w:eastAsia="Book Antiqua" w:cs="Book Antiqua"/>
                <w:sz w:val="20"/>
                <w:szCs w:val="20"/>
              </w:rPr>
            </w:pPr>
            <w:r w:rsidRPr="00262CB8">
              <w:rPr>
                <w:rFonts w:eastAsia="Book Antiqua" w:cs="Book Antiqua"/>
                <w:sz w:val="20"/>
                <w:szCs w:val="20"/>
              </w:rPr>
              <w:t>Sesión del Consejo Superior 45-19 celebrada el 17 de mayo de 2019, artículo XLVI, se le solicitó a la Dirección de Planificación remitir el informe solicitado en sesión celebrada el 9 de octubre de 2018, artículo LXI</w:t>
            </w:r>
            <w:r w:rsidR="004572AB" w:rsidRPr="00262CB8">
              <w:rPr>
                <w:rFonts w:eastAsia="Book Antiqua" w:cs="Book Antiqua"/>
                <w:sz w:val="20"/>
                <w:szCs w:val="20"/>
              </w:rPr>
              <w:t xml:space="preserve">, en donde se </w:t>
            </w:r>
            <w:r w:rsidRPr="00262CB8">
              <w:rPr>
                <w:rFonts w:eastAsia="Book Antiqua" w:cs="Book Antiqua"/>
                <w:sz w:val="20"/>
                <w:szCs w:val="20"/>
              </w:rPr>
              <w:t>dispuso:</w:t>
            </w:r>
          </w:p>
        </w:tc>
        <w:tc>
          <w:tcPr>
            <w:tcW w:w="2579" w:type="pct"/>
          </w:tcPr>
          <w:p w14:paraId="37DE2737" w14:textId="77777777" w:rsidR="004572AB" w:rsidRPr="00262CB8" w:rsidRDefault="004572AB" w:rsidP="00BA14BB">
            <w:pPr>
              <w:rPr>
                <w:rFonts w:eastAsia="Book Antiqua" w:cs="Book Antiqua"/>
                <w:i/>
                <w:iCs/>
                <w:sz w:val="20"/>
                <w:szCs w:val="20"/>
              </w:rPr>
            </w:pPr>
            <w:r w:rsidRPr="00262CB8">
              <w:rPr>
                <w:rFonts w:eastAsia="Book Antiqua" w:cs="Book Antiqua"/>
                <w:i/>
                <w:iCs/>
                <w:sz w:val="20"/>
                <w:szCs w:val="20"/>
              </w:rPr>
              <w:t>“Trasladar a estudio de la Dirección de Planificación lo dispuesto por el Consejo Directivo de la Escuela Judicial, mediante sesión virtual Nº. 022-2017, del 05 de diciembre del 2017, artículo II, a fin de que presente a este Consejo un análisis integral acerca de la viabilidad de la implementación de la Justicia Restaurativa en materia contravencional, así como del impacto presupuestario que esto conllevaría.”</w:t>
            </w:r>
          </w:p>
        </w:tc>
      </w:tr>
      <w:tr w:rsidR="004572AB" w14:paraId="30412D86" w14:textId="77777777" w:rsidTr="004572AB">
        <w:trPr>
          <w:trHeight w:val="2887"/>
        </w:trPr>
        <w:tc>
          <w:tcPr>
            <w:tcW w:w="2421" w:type="pct"/>
          </w:tcPr>
          <w:p w14:paraId="73F75391" w14:textId="5ED16901" w:rsidR="004572AB" w:rsidRPr="004572AB" w:rsidRDefault="004572AB" w:rsidP="004572AB">
            <w:pPr>
              <w:spacing w:before="0"/>
              <w:rPr>
                <w:rFonts w:eastAsia="Book Antiqua" w:cs="Book Antiqua"/>
                <w:sz w:val="20"/>
                <w:szCs w:val="20"/>
              </w:rPr>
            </w:pPr>
            <w:r w:rsidRPr="00262CB8">
              <w:rPr>
                <w:rFonts w:eastAsia="Book Antiqua" w:cs="Book Antiqua"/>
                <w:sz w:val="20"/>
                <w:szCs w:val="20"/>
              </w:rPr>
              <w:t>Respecto al tema en concreto, de la aplicación de Justicia Restaurativa en materia de Contravenciones, en sesión del Consejo Superior 45-19 celebrada el 17 de mayo de 2019, artículo XLVI, se le solicitó a la Dirección de Planificación remitir el informe solicitado en sesión celebrada el 9 de octubre de 2018, artículo LXI, que dispuso:</w:t>
            </w:r>
          </w:p>
        </w:tc>
        <w:tc>
          <w:tcPr>
            <w:tcW w:w="2579" w:type="pct"/>
          </w:tcPr>
          <w:p w14:paraId="724DDDC1" w14:textId="77777777" w:rsidR="004572AB" w:rsidRPr="00262CB8" w:rsidRDefault="004572AB" w:rsidP="00BA14BB">
            <w:pPr>
              <w:rPr>
                <w:rFonts w:eastAsia="Book Antiqua" w:cs="Book Antiqua"/>
                <w:i/>
                <w:iCs/>
                <w:sz w:val="20"/>
                <w:szCs w:val="20"/>
              </w:rPr>
            </w:pPr>
            <w:r w:rsidRPr="00262CB8">
              <w:rPr>
                <w:rFonts w:eastAsia="Book Antiqua" w:cs="Book Antiqua"/>
                <w:i/>
                <w:iCs/>
                <w:sz w:val="20"/>
                <w:szCs w:val="20"/>
              </w:rPr>
              <w:t>“Trasladar a estudio de la Dirección de Planificación lo dispuesto por el Consejo Directivo de la Escuela Judicial, mediante sesión virtual Nº. 022-2017, del 05 de diciembre del 2017, artículo II, a fin de que presente a este Consejo un análisis integral acerca de la viabilidad de la implementación de la Justicia Restaurativa en materia contravencional, así como del impacto presupuestario que esto conllevaría.”</w:t>
            </w:r>
          </w:p>
        </w:tc>
      </w:tr>
      <w:tr w:rsidR="004572AB" w14:paraId="0E2362FD" w14:textId="77777777" w:rsidTr="004572AB">
        <w:trPr>
          <w:trHeight w:val="3199"/>
        </w:trPr>
        <w:tc>
          <w:tcPr>
            <w:tcW w:w="2421" w:type="pct"/>
          </w:tcPr>
          <w:p w14:paraId="4F7C439F" w14:textId="77777777" w:rsidR="004572AB" w:rsidRDefault="004572AB" w:rsidP="00BA14BB">
            <w:r w:rsidRPr="00262CB8">
              <w:rPr>
                <w:rFonts w:eastAsia="Book Antiqua" w:cs="Book Antiqua"/>
                <w:sz w:val="20"/>
                <w:szCs w:val="20"/>
              </w:rPr>
              <w:t>Posteriormente, en oficio 628-PLA-2019 de la Dirección de Planificación, del 7 de mayo de 2019.</w:t>
            </w:r>
          </w:p>
        </w:tc>
        <w:tc>
          <w:tcPr>
            <w:tcW w:w="2579" w:type="pct"/>
          </w:tcPr>
          <w:p w14:paraId="6D3B11B6" w14:textId="77777777" w:rsidR="004572AB" w:rsidRPr="00262CB8" w:rsidRDefault="004572AB" w:rsidP="00BA14BB">
            <w:pPr>
              <w:rPr>
                <w:rFonts w:eastAsia="Book Antiqua" w:cs="Book Antiqua"/>
                <w:sz w:val="20"/>
                <w:szCs w:val="20"/>
              </w:rPr>
            </w:pPr>
            <w:r w:rsidRPr="00262CB8">
              <w:rPr>
                <w:rFonts w:eastAsia="Book Antiqua" w:cs="Book Antiqua"/>
                <w:sz w:val="20"/>
                <w:szCs w:val="20"/>
              </w:rPr>
              <w:t xml:space="preserve">Se le informó al Consejo Superior que el análisis solicitado en relación con la viabilidad de la implementación de la Justicia Restaurativa en materia Contravencional se atendió mediante oficio preliminar de presupuesto 596-PLA-RH-MI-2019, enviado en consulta el 2 de mayo del 2019 y que, una vez recibidas las observaciones, </w:t>
            </w:r>
            <w:r w:rsidRPr="00262CB8">
              <w:rPr>
                <w:rFonts w:eastAsia="Book Antiqua" w:cs="Book Antiqua"/>
                <w:sz w:val="20"/>
                <w:szCs w:val="20"/>
              </w:rPr>
              <w:lastRenderedPageBreak/>
              <w:t>se enviaría al Consejo Superior para ser conocido en sesiones de presupuesto.</w:t>
            </w:r>
          </w:p>
        </w:tc>
      </w:tr>
      <w:tr w:rsidR="004572AB" w14:paraId="10405C68" w14:textId="77777777" w:rsidTr="004572AB">
        <w:trPr>
          <w:trHeight w:val="841"/>
        </w:trPr>
        <w:tc>
          <w:tcPr>
            <w:tcW w:w="2421" w:type="pct"/>
          </w:tcPr>
          <w:p w14:paraId="580855F6" w14:textId="22B63B29" w:rsidR="004572AB" w:rsidRPr="004572AB" w:rsidRDefault="004572AB" w:rsidP="00BA14BB">
            <w:pPr>
              <w:rPr>
                <w:rFonts w:eastAsia="Book Antiqua" w:cs="Book Antiqua"/>
                <w:sz w:val="20"/>
                <w:szCs w:val="20"/>
              </w:rPr>
            </w:pPr>
            <w:r w:rsidRPr="00262CB8">
              <w:rPr>
                <w:rFonts w:eastAsia="Book Antiqua" w:cs="Book Antiqua"/>
                <w:sz w:val="20"/>
                <w:szCs w:val="20"/>
              </w:rPr>
              <w:lastRenderedPageBreak/>
              <w:t>En sesión extraordinaria del Consejo Superior 47-19, del 23 de mayo de 2019, artículo I, se conoció el informe definitivo de presupuesto 726-PLA-RH-MI-2019 de la Dirección de Planificación, mismo que fue conocido y aprobado, en sesión de Corte Plena 22-19 (Presupuesto 2020) del 6 de junio de 2019, artículo III; en el cual se acordó, entre otros aspectos:</w:t>
            </w:r>
          </w:p>
        </w:tc>
        <w:tc>
          <w:tcPr>
            <w:tcW w:w="2579" w:type="pct"/>
          </w:tcPr>
          <w:p w14:paraId="52D6A9E3" w14:textId="77777777" w:rsidR="004572AB" w:rsidRPr="00262CB8" w:rsidRDefault="004572AB" w:rsidP="00BA14BB">
            <w:pPr>
              <w:rPr>
                <w:rFonts w:eastAsia="Book Antiqua" w:cs="Book Antiqua"/>
                <w:i/>
                <w:iCs/>
                <w:sz w:val="20"/>
                <w:szCs w:val="20"/>
              </w:rPr>
            </w:pPr>
            <w:r w:rsidRPr="00262CB8">
              <w:rPr>
                <w:rFonts w:eastAsia="Book Antiqua" w:cs="Book Antiqua"/>
                <w:i/>
                <w:iCs/>
                <w:sz w:val="20"/>
                <w:szCs w:val="20"/>
              </w:rPr>
              <w:t>“1) Aprobar el informe de la Dirección de Planificación y sus recomendaciones, de ese informe acoger el escenario 1, a este se le deberá adicionar un equipo de trabajo para implementar el inicio de la ley en Justicia Restaurativa en Ejecución de la Pena y un equipo de trabajo para iniciar la implementación de la materia de contravenciones ambos equipos con competencia a nivel nacional, se deberá monitorear el comportamiento de la aplicación de la ley...”</w:t>
            </w:r>
          </w:p>
        </w:tc>
      </w:tr>
      <w:tr w:rsidR="004572AB" w14:paraId="627E0E0B" w14:textId="77777777" w:rsidTr="004572AB">
        <w:trPr>
          <w:trHeight w:val="50"/>
        </w:trPr>
        <w:tc>
          <w:tcPr>
            <w:tcW w:w="2421" w:type="pct"/>
          </w:tcPr>
          <w:p w14:paraId="1025CDB0" w14:textId="77777777" w:rsidR="004572AB" w:rsidRDefault="004572AB" w:rsidP="00BA14BB">
            <w:r w:rsidRPr="00CB6316">
              <w:rPr>
                <w:rFonts w:eastAsia="Book Antiqua" w:cs="Book Antiqua"/>
                <w:sz w:val="20"/>
                <w:szCs w:val="20"/>
              </w:rPr>
              <w:t xml:space="preserve">Por otra parte, </w:t>
            </w:r>
            <w:bookmarkStart w:id="2" w:name="_Hlk64646360"/>
            <w:r w:rsidRPr="00CB6316">
              <w:rPr>
                <w:rFonts w:eastAsia="Book Antiqua" w:cs="Book Antiqua"/>
                <w:sz w:val="20"/>
                <w:szCs w:val="20"/>
              </w:rPr>
              <w:t>en sesión 98-19 del Consejo Superior, celebrada el 7 de noviembre de 2019, artículo XCVII se conoció el Protocolo del Programa de Justicia Restaurativa para el Bienestar Integral del Personal Judicial para Conductas Relacionadas con el Deterioro de las Finanzas Personales y de Faltas de Respeto, el cual inició en el año 2020</w:t>
            </w:r>
            <w:bookmarkEnd w:id="2"/>
            <w:r w:rsidRPr="00CB6316">
              <w:rPr>
                <w:rFonts w:eastAsia="Book Antiqua" w:cs="Book Antiqua"/>
                <w:sz w:val="20"/>
                <w:szCs w:val="20"/>
              </w:rPr>
              <w:t>.</w:t>
            </w:r>
          </w:p>
        </w:tc>
        <w:tc>
          <w:tcPr>
            <w:tcW w:w="2579" w:type="pct"/>
          </w:tcPr>
          <w:p w14:paraId="15508C7E" w14:textId="77777777" w:rsidR="004572AB" w:rsidRPr="00CB6316" w:rsidRDefault="004572AB" w:rsidP="00BA14BB">
            <w:pPr>
              <w:rPr>
                <w:rFonts w:eastAsia="Book Antiqua" w:cs="Book Antiqua"/>
                <w:sz w:val="20"/>
                <w:szCs w:val="20"/>
              </w:rPr>
            </w:pPr>
            <w:r w:rsidRPr="00CB6316">
              <w:rPr>
                <w:rFonts w:eastAsia="Book Antiqua" w:cs="Book Antiqua"/>
                <w:sz w:val="20"/>
                <w:szCs w:val="20"/>
              </w:rPr>
              <w:t>Este programa atenderá durante los primeros tres años los siguientes casos a nivel del Gran Área Metropolitana:</w:t>
            </w:r>
          </w:p>
          <w:p w14:paraId="4E2A700D" w14:textId="77777777" w:rsidR="004572AB" w:rsidRPr="00CB6316" w:rsidRDefault="004572AB" w:rsidP="00BA14BB">
            <w:pPr>
              <w:rPr>
                <w:rFonts w:eastAsia="Book Antiqua" w:cs="Book Antiqua"/>
                <w:sz w:val="20"/>
                <w:szCs w:val="20"/>
              </w:rPr>
            </w:pPr>
            <w:r w:rsidRPr="00CB6316">
              <w:rPr>
                <w:rFonts w:eastAsia="Book Antiqua" w:cs="Book Antiqua"/>
                <w:sz w:val="20"/>
                <w:szCs w:val="20"/>
              </w:rPr>
              <w:t>•</w:t>
            </w:r>
            <w:r w:rsidRPr="00CB6316">
              <w:rPr>
                <w:rFonts w:eastAsia="Book Antiqua" w:cs="Book Antiqua"/>
                <w:sz w:val="20"/>
                <w:szCs w:val="20"/>
              </w:rPr>
              <w:tab/>
              <w:t>Procesos por conductas relacionadas con el deterioro de las finanzas personales.</w:t>
            </w:r>
          </w:p>
          <w:p w14:paraId="4D1977FE" w14:textId="3F501103" w:rsidR="004572AB" w:rsidRPr="00CB6316" w:rsidRDefault="004572AB" w:rsidP="004572AB">
            <w:pPr>
              <w:rPr>
                <w:rFonts w:eastAsia="Book Antiqua" w:cs="Book Antiqua"/>
                <w:i/>
                <w:iCs/>
                <w:sz w:val="20"/>
                <w:szCs w:val="20"/>
              </w:rPr>
            </w:pPr>
            <w:r w:rsidRPr="00CB6316">
              <w:rPr>
                <w:rFonts w:eastAsia="Book Antiqua" w:cs="Book Antiqua"/>
                <w:sz w:val="20"/>
                <w:szCs w:val="20"/>
              </w:rPr>
              <w:t>•</w:t>
            </w:r>
            <w:r w:rsidRPr="00CB6316">
              <w:rPr>
                <w:rFonts w:eastAsia="Book Antiqua" w:cs="Book Antiqua"/>
                <w:sz w:val="20"/>
                <w:szCs w:val="20"/>
              </w:rPr>
              <w:tab/>
              <w:t xml:space="preserve">Procesos por diferencias interpersonales entre funcionarios y/o funcionarias del Organismo de Investigación Judicial, que encuadren en las faltas reguladas por los artículos </w:t>
            </w:r>
            <w:r w:rsidRPr="00CB6316">
              <w:rPr>
                <w:rFonts w:eastAsia="Book Antiqua" w:cs="Book Antiqua"/>
                <w:sz w:val="20"/>
                <w:szCs w:val="20"/>
              </w:rPr>
              <w:lastRenderedPageBreak/>
              <w:t xml:space="preserve">192 inciso 1) y 193 inciso 1) de la Ley Orgánica del Poder Judicial. </w:t>
            </w:r>
          </w:p>
          <w:p w14:paraId="28766E9C" w14:textId="77777777" w:rsidR="004572AB" w:rsidRPr="00CB6316" w:rsidRDefault="004572AB" w:rsidP="00BA14BB">
            <w:pPr>
              <w:spacing w:before="0" w:after="0"/>
              <w:rPr>
                <w:rFonts w:eastAsia="Book Antiqua" w:cs="Book Antiqua"/>
                <w:sz w:val="20"/>
                <w:szCs w:val="20"/>
              </w:rPr>
            </w:pPr>
            <w:r w:rsidRPr="00CB6316">
              <w:rPr>
                <w:rFonts w:eastAsia="Book Antiqua" w:cs="Book Antiqua"/>
                <w:sz w:val="20"/>
                <w:szCs w:val="20"/>
              </w:rPr>
              <w:t xml:space="preserve">Sobre este particular, se debe aclarar que este programa no se contempla dentro de las disposiciones mencionadas en la Ley de Justicia Restaurativa. </w:t>
            </w:r>
          </w:p>
        </w:tc>
      </w:tr>
      <w:tr w:rsidR="004572AB" w14:paraId="0B6368E4" w14:textId="77777777" w:rsidTr="004572AB">
        <w:tc>
          <w:tcPr>
            <w:tcW w:w="2421" w:type="pct"/>
          </w:tcPr>
          <w:p w14:paraId="18ED9EC1" w14:textId="77777777" w:rsidR="004572AB" w:rsidRDefault="004572AB" w:rsidP="00BA14BB">
            <w:r w:rsidRPr="00CB6316">
              <w:rPr>
                <w:rFonts w:eastAsia="Book Antiqua" w:cs="Book Antiqua"/>
                <w:sz w:val="20"/>
                <w:szCs w:val="20"/>
              </w:rPr>
              <w:lastRenderedPageBreak/>
              <w:t>En sesión del Consejo Superior 45-20 del 08 de mayo de 2020, artículo XX, acogió la propuesta de abordaje a nivel nacional descrita en el informe 586-PLA-RH-MI-2020, que contempla el cambio de la clase de puesto y por ende, del perfil profesional de las plazas extraordinarias existentes para la atención de Justicia Penal Juvenil Restaurativa</w:t>
            </w:r>
            <w:r>
              <w:rPr>
                <w:rFonts w:eastAsia="Book Antiqua" w:cs="Book Antiqua"/>
                <w:sz w:val="20"/>
                <w:szCs w:val="20"/>
              </w:rPr>
              <w:t>.</w:t>
            </w:r>
          </w:p>
        </w:tc>
        <w:tc>
          <w:tcPr>
            <w:tcW w:w="2579" w:type="pct"/>
          </w:tcPr>
          <w:p w14:paraId="6EF01506" w14:textId="77777777" w:rsidR="004572AB" w:rsidRPr="00CB6316" w:rsidRDefault="004572AB" w:rsidP="00BA14BB">
            <w:pPr>
              <w:spacing w:before="0"/>
              <w:rPr>
                <w:rFonts w:eastAsia="Book Antiqua" w:cs="Book Antiqua"/>
                <w:sz w:val="20"/>
                <w:szCs w:val="20"/>
              </w:rPr>
            </w:pPr>
            <w:r w:rsidRPr="00CB6316">
              <w:rPr>
                <w:rFonts w:eastAsia="Book Antiqua" w:cs="Book Antiqua"/>
                <w:sz w:val="20"/>
                <w:szCs w:val="20"/>
              </w:rPr>
              <w:t>Se detalla: dos plazas de Jueza o Juez 3 a una plaza de Fiscala o Fiscal y una de Defensora o Defensor Pública, además de la conversión del perfil competencial de las plazas de Técnica o Técnico Judicial  a Trabajadora o Trabajador Social y Psicóloga o Psicólogo, con el propósito de maximizar la función de estas plazas extraordinarias mediante la conformación dos equipos de trabajo  adicionales para extender la cobertura al I y II Circuito de Guanacaste y el II Circuito de la Zona Sur, con ello dar cumplimiento del Transitorio I de la Ley de Justicia Restaurativa.</w:t>
            </w:r>
          </w:p>
        </w:tc>
      </w:tr>
      <w:tr w:rsidR="004572AB" w14:paraId="3B9D9C44" w14:textId="77777777" w:rsidTr="004572AB">
        <w:tc>
          <w:tcPr>
            <w:tcW w:w="2421" w:type="pct"/>
          </w:tcPr>
          <w:p w14:paraId="5C18D951" w14:textId="440847AC" w:rsidR="004572AB" w:rsidRPr="004572AB" w:rsidRDefault="004572AB" w:rsidP="00BA14BB">
            <w:pPr>
              <w:rPr>
                <w:rFonts w:eastAsia="Book Antiqua" w:cs="Book Antiqua"/>
                <w:sz w:val="20"/>
                <w:szCs w:val="20"/>
              </w:rPr>
            </w:pPr>
            <w:r w:rsidRPr="00CB6316">
              <w:rPr>
                <w:rFonts w:eastAsia="Book Antiqua" w:cs="Book Antiqua"/>
                <w:sz w:val="20"/>
                <w:szCs w:val="20"/>
              </w:rPr>
              <w:t>El informe 586-PLA-RH-MI-2020 fue conocido y aprobado en la Sesión número 31-20 de Corte Plena (Presupuesto 2021) celebrada el 02 de junio de 2020, Artículo II. El acuerdo se cita textualmente:</w:t>
            </w:r>
          </w:p>
        </w:tc>
        <w:tc>
          <w:tcPr>
            <w:tcW w:w="2579" w:type="pct"/>
          </w:tcPr>
          <w:p w14:paraId="4055EE23" w14:textId="77777777" w:rsidR="004572AB" w:rsidRPr="00CB6316" w:rsidRDefault="004572AB" w:rsidP="00BA14BB">
            <w:pPr>
              <w:rPr>
                <w:i/>
                <w:iCs/>
              </w:rPr>
            </w:pPr>
            <w:r w:rsidRPr="00CB6316">
              <w:rPr>
                <w:rFonts w:eastAsia="Book Antiqua" w:cs="Book Antiqua"/>
                <w:i/>
                <w:iCs/>
                <w:sz w:val="20"/>
                <w:szCs w:val="20"/>
              </w:rPr>
              <w:t>“Aprobar por separado del Presupuesto ordinario del Poder Judicial, los requerimientos correspondientes a la Ley de Justicia Restaurativa, en la forma propuesta por el magistrado Alfaro…”.</w:t>
            </w:r>
          </w:p>
        </w:tc>
      </w:tr>
      <w:tr w:rsidR="004572AB" w14:paraId="1A37497C" w14:textId="77777777" w:rsidTr="004572AB">
        <w:tc>
          <w:tcPr>
            <w:tcW w:w="2421" w:type="pct"/>
          </w:tcPr>
          <w:p w14:paraId="2880B798" w14:textId="77777777" w:rsidR="004572AB" w:rsidRPr="00CB6316" w:rsidRDefault="004572AB" w:rsidP="00BA14BB">
            <w:pPr>
              <w:spacing w:before="0"/>
              <w:rPr>
                <w:rFonts w:eastAsia="Book Antiqua" w:cs="Book Antiqua"/>
              </w:rPr>
            </w:pPr>
            <w:r w:rsidRPr="00CB6316">
              <w:rPr>
                <w:rFonts w:eastAsia="Book Antiqua" w:cs="Book Antiqua"/>
                <w:sz w:val="20"/>
                <w:szCs w:val="20"/>
              </w:rPr>
              <w:t xml:space="preserve">En oficio 139-P-2020, de fecha 12 de junio de 2020 y dirigido al Ministro de Hacienda, el presidente de la Corte en alusión a la sesión de Corte Plena 31-20 celebrada el 02 de junio de 2020, artículo I, en la que se discutió y aprobó </w:t>
            </w:r>
            <w:r w:rsidRPr="00CB6316">
              <w:rPr>
                <w:rFonts w:eastAsia="Book Antiqua" w:cs="Book Antiqua"/>
                <w:sz w:val="20"/>
                <w:szCs w:val="20"/>
              </w:rPr>
              <w:lastRenderedPageBreak/>
              <w:t>el Proyecto de Presupuesto del Poder Judicial para el año 2021, el cual se ajustó al límite presupuestario establecido por Ministerio de Hacienda, en el que se indicó:</w:t>
            </w:r>
          </w:p>
        </w:tc>
        <w:tc>
          <w:tcPr>
            <w:tcW w:w="2579" w:type="pct"/>
          </w:tcPr>
          <w:p w14:paraId="6D10025B" w14:textId="77777777" w:rsidR="004572AB" w:rsidRPr="00CB6316" w:rsidRDefault="004572AB" w:rsidP="00BA14BB">
            <w:pPr>
              <w:rPr>
                <w:rFonts w:eastAsia="Book Antiqua" w:cs="Book Antiqua"/>
                <w:i/>
                <w:iCs/>
                <w:sz w:val="20"/>
                <w:szCs w:val="20"/>
              </w:rPr>
            </w:pPr>
            <w:r w:rsidRPr="00CB6316">
              <w:rPr>
                <w:rFonts w:eastAsia="Book Antiqua" w:cs="Book Antiqua"/>
                <w:i/>
                <w:iCs/>
                <w:sz w:val="20"/>
                <w:szCs w:val="20"/>
              </w:rPr>
              <w:lastRenderedPageBreak/>
              <w:t xml:space="preserve">“En razón de las limitaciones presupuestarias, la Corte Plena acordó hacer una instancia, tanto al Ministerio de Hacienda como a la Asamblea Legislativa, para que se valore la posibilidad de contar con financiamiento adicional al gasto ordinario para atender las nuevas </w:t>
            </w:r>
            <w:r w:rsidRPr="00CB6316">
              <w:rPr>
                <w:rFonts w:eastAsia="Book Antiqua" w:cs="Book Antiqua"/>
                <w:i/>
                <w:iCs/>
                <w:sz w:val="20"/>
                <w:szCs w:val="20"/>
              </w:rPr>
              <w:lastRenderedPageBreak/>
              <w:t>obligaciones encomendadas por la Asamblea Legislativa …”.</w:t>
            </w:r>
          </w:p>
        </w:tc>
      </w:tr>
      <w:tr w:rsidR="004572AB" w14:paraId="0D5B9E43" w14:textId="77777777" w:rsidTr="004572AB">
        <w:tc>
          <w:tcPr>
            <w:tcW w:w="2421" w:type="pct"/>
          </w:tcPr>
          <w:p w14:paraId="560AC73A" w14:textId="77777777" w:rsidR="004572AB" w:rsidRPr="0031059C" w:rsidRDefault="004572AB" w:rsidP="00BA14BB">
            <w:pPr>
              <w:rPr>
                <w:rFonts w:eastAsia="Book Antiqua" w:cs="Book Antiqua"/>
                <w:sz w:val="20"/>
                <w:szCs w:val="20"/>
              </w:rPr>
            </w:pPr>
            <w:r w:rsidRPr="0031059C">
              <w:rPr>
                <w:rFonts w:eastAsia="Book Antiqua" w:cs="Book Antiqua"/>
                <w:sz w:val="20"/>
                <w:szCs w:val="20"/>
              </w:rPr>
              <w:lastRenderedPageBreak/>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7689EA36" w14:textId="77777777" w:rsidR="004572AB" w:rsidRPr="00CB6316" w:rsidRDefault="004572AB" w:rsidP="00BA14BB">
            <w:pPr>
              <w:pStyle w:val="Prrafodelista"/>
              <w:spacing w:before="0"/>
              <w:ind w:left="710"/>
              <w:rPr>
                <w:rFonts w:eastAsia="Book Antiqua" w:cs="Book Antiqua"/>
                <w:sz w:val="20"/>
                <w:szCs w:val="20"/>
              </w:rPr>
            </w:pPr>
          </w:p>
        </w:tc>
        <w:tc>
          <w:tcPr>
            <w:tcW w:w="2579" w:type="pct"/>
          </w:tcPr>
          <w:p w14:paraId="23EB1A45" w14:textId="77777777" w:rsidR="004572AB" w:rsidRPr="0031059C" w:rsidRDefault="004572AB" w:rsidP="00BA14BB">
            <w:pPr>
              <w:rPr>
                <w:rFonts w:eastAsia="Book Antiqua" w:cs="Book Antiqua"/>
                <w:i/>
                <w:iCs/>
                <w:sz w:val="20"/>
                <w:szCs w:val="20"/>
                <w:lang w:val="es-ES"/>
              </w:rPr>
            </w:pPr>
            <w:r w:rsidRPr="0031059C">
              <w:rPr>
                <w:rFonts w:eastAsia="Book Antiqua" w:cs="Book Antiqua"/>
                <w:i/>
                <w:iCs/>
                <w:sz w:val="20"/>
                <w:szCs w:val="20"/>
                <w:lang w:val="es-E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31059C">
              <w:rPr>
                <w:rFonts w:eastAsia="Book Antiqua" w:cs="Book Antiqua"/>
                <w:b/>
                <w:i/>
                <w:iCs/>
                <w:sz w:val="20"/>
                <w:szCs w:val="20"/>
                <w:lang w:val="es-ES"/>
              </w:rPr>
              <w:t>no fueron incorporados por el Ministerio de Hacienda al presupuesto ordinario, ni tampoco se remitieron como requerimiento adicional a la Asamblea Legislativa</w:t>
            </w:r>
            <w:r w:rsidRPr="0031059C">
              <w:rPr>
                <w:rFonts w:eastAsia="Book Antiqua" w:cs="Book Antiqua"/>
                <w:i/>
                <w:iCs/>
                <w:sz w:val="20"/>
                <w:szCs w:val="20"/>
                <w:lang w:val="es-ES"/>
              </w:rPr>
              <w:t>.”</w:t>
            </w:r>
          </w:p>
        </w:tc>
      </w:tr>
      <w:tr w:rsidR="004572AB" w14:paraId="5CBB7D3A" w14:textId="77777777" w:rsidTr="004572AB">
        <w:tc>
          <w:tcPr>
            <w:tcW w:w="2421" w:type="pct"/>
          </w:tcPr>
          <w:p w14:paraId="0ED337FA" w14:textId="77777777" w:rsidR="004572AB" w:rsidRPr="0031059C" w:rsidRDefault="004572AB" w:rsidP="00BA14BB">
            <w:pPr>
              <w:rPr>
                <w:rFonts w:eastAsia="Book Antiqua" w:cs="Book Antiqua"/>
                <w:sz w:val="20"/>
                <w:szCs w:val="20"/>
              </w:rPr>
            </w:pPr>
            <w:r w:rsidRPr="0031059C">
              <w:rPr>
                <w:rFonts w:eastAsia="Book Antiqua" w:cs="Book Antiqua"/>
                <w:sz w:val="20"/>
                <w:szCs w:val="20"/>
              </w:rPr>
              <w:t>Para el año 2021 se genera el informe 429-PLA-RH-MI-2021 sobre el Requerimiento Humano sobre el Informe de presupuesto del Impacto de Ley 9582 Justicia Restaurativa y el ejercicio de proyección presupuestaria para el año 2022 en el Programa Justicia Restaurativa, el cual fue aprobado en sesión 30-2021 del Consejo Superior celebrada el 16 de abril de 2021, artículo XXIII; y conocido sesión 21-21 de Corte Plena, celebrada el 01 de junio de 2021, art II; en el que se acuerda:</w:t>
            </w:r>
          </w:p>
        </w:tc>
        <w:tc>
          <w:tcPr>
            <w:tcW w:w="2579" w:type="pct"/>
          </w:tcPr>
          <w:p w14:paraId="08F93D90" w14:textId="0CB258AB" w:rsidR="004572AB" w:rsidRPr="0031059C" w:rsidRDefault="004572AB" w:rsidP="00BA14BB">
            <w:pPr>
              <w:rPr>
                <w:rFonts w:eastAsia="Book Antiqua" w:cs="Book Antiqua"/>
                <w:i/>
                <w:iCs/>
                <w:sz w:val="20"/>
                <w:szCs w:val="20"/>
                <w:lang w:val="es-ES"/>
              </w:rPr>
            </w:pPr>
            <w:r w:rsidRPr="0031059C">
              <w:rPr>
                <w:rFonts w:eastAsia="Book Antiqua" w:cs="Book Antiqua"/>
                <w:i/>
                <w:iCs/>
                <w:sz w:val="20"/>
                <w:szCs w:val="20"/>
                <w:lang w:val="es-ES"/>
              </w:rPr>
              <w:t>“1) Aprobar el escenario 3 del Informe 429-PLA-RH-MI-2021, estudio de Requerimiento Humano sobre el Informe de presupuesto del Impacto de Ley 9582 Justicia Restaurativa y el ejercicio de proyección presupuestaria para el año 2022 en el Programa Justicia Restaurativa. 2) El contenido económico requerido se remitirá de forma independiente al presupuesto ordinario ya que responde a una necesidad producto de una ley especial.”</w:t>
            </w:r>
          </w:p>
        </w:tc>
      </w:tr>
      <w:tr w:rsidR="004572AB" w14:paraId="27EE4135" w14:textId="77777777" w:rsidTr="004572AB">
        <w:tc>
          <w:tcPr>
            <w:tcW w:w="2421" w:type="pct"/>
          </w:tcPr>
          <w:p w14:paraId="1FBFF197" w14:textId="77777777" w:rsidR="004572AB" w:rsidRPr="0031059C" w:rsidRDefault="004572AB" w:rsidP="00BA14BB">
            <w:pPr>
              <w:spacing w:before="0"/>
              <w:rPr>
                <w:rFonts w:eastAsia="Book Antiqua" w:cs="Book Antiqua"/>
                <w:sz w:val="20"/>
                <w:szCs w:val="20"/>
              </w:rPr>
            </w:pPr>
            <w:r w:rsidRPr="0031059C">
              <w:rPr>
                <w:rFonts w:eastAsia="Book Antiqua" w:cs="Book Antiqua"/>
                <w:sz w:val="20"/>
                <w:szCs w:val="20"/>
              </w:rPr>
              <w:lastRenderedPageBreak/>
              <w:t>Sin embargo, estas necesidades no ha sido posible incluirlas en el presupuesto ordinario dadas las limitaciones impuestas por el Ministerio de Hacienda en la posibilidad de crear plazas de recurso humano nuevas, lo cual para este año 2021 se reitera según oficio DM-340-2021 del 15 de abril de 2021, en el que se señala textualmente en lo que interes</w:t>
            </w:r>
            <w:r>
              <w:rPr>
                <w:rFonts w:eastAsia="Book Antiqua" w:cs="Book Antiqua"/>
                <w:sz w:val="20"/>
                <w:szCs w:val="20"/>
              </w:rPr>
              <w:t>a:</w:t>
            </w:r>
          </w:p>
        </w:tc>
        <w:tc>
          <w:tcPr>
            <w:tcW w:w="2579" w:type="pct"/>
          </w:tcPr>
          <w:p w14:paraId="21A3E754" w14:textId="77777777" w:rsidR="004572AB" w:rsidRPr="00CB6316" w:rsidRDefault="004572AB" w:rsidP="00BA14BB">
            <w:pPr>
              <w:rPr>
                <w:rFonts w:eastAsia="Book Antiqua" w:cs="Book Antiqua"/>
                <w:i/>
                <w:iCs/>
                <w:sz w:val="20"/>
                <w:szCs w:val="20"/>
              </w:rPr>
            </w:pPr>
            <w:r w:rsidRPr="0031059C">
              <w:rPr>
                <w:rFonts w:eastAsia="Book Antiqua" w:cs="Book Antiqua"/>
                <w:i/>
                <w:iCs/>
                <w:sz w:val="20"/>
                <w:szCs w:val="20"/>
                <w:lang w:val="es-ES"/>
              </w:rPr>
              <w:t>“Debido a la situación fiscal no será posible atender solicitudes de ampliación del monto de gasto presupuestario máximo comunicado, ni se autorizará la creación de plazas, por lo que estas opciones estarán deshabilitadas en el Sistema de Formulación Presupuestaria (SFP)</w:t>
            </w:r>
            <w:r>
              <w:rPr>
                <w:rFonts w:eastAsia="Book Antiqua" w:cs="Book Antiqua"/>
                <w:i/>
                <w:iCs/>
                <w:sz w:val="20"/>
                <w:szCs w:val="20"/>
                <w:lang w:val="es-ES"/>
              </w:rPr>
              <w:t>”</w:t>
            </w:r>
            <w:r w:rsidRPr="0031059C">
              <w:rPr>
                <w:rFonts w:eastAsia="Book Antiqua" w:cs="Book Antiqua"/>
                <w:i/>
                <w:iCs/>
                <w:sz w:val="20"/>
                <w:szCs w:val="20"/>
                <w:lang w:val="es-ES"/>
              </w:rPr>
              <w:t>.</w:t>
            </w:r>
          </w:p>
        </w:tc>
      </w:tr>
      <w:tr w:rsidR="004572AB" w14:paraId="3848E536" w14:textId="77777777" w:rsidTr="004572AB">
        <w:tc>
          <w:tcPr>
            <w:tcW w:w="2421" w:type="pct"/>
          </w:tcPr>
          <w:p w14:paraId="7A4850DD" w14:textId="77777777" w:rsidR="004572AB" w:rsidRPr="0031059C" w:rsidRDefault="004572AB" w:rsidP="00BA14BB">
            <w:pPr>
              <w:spacing w:before="0"/>
              <w:rPr>
                <w:rFonts w:eastAsia="Book Antiqua" w:cs="Book Antiqua"/>
                <w:sz w:val="20"/>
                <w:szCs w:val="20"/>
              </w:rPr>
            </w:pPr>
            <w:r w:rsidRPr="0031059C">
              <w:rPr>
                <w:rFonts w:eastAsia="Book Antiqua" w:cs="Book Antiqua"/>
                <w:sz w:val="20"/>
                <w:szCs w:val="20"/>
              </w:rPr>
              <w:t>En oficio 1062-PLA-PP-2021 con fecha 20 de setiembre de 2021, conocido por la Junta Administradora del Fondo de Jubilaciones del Poder Judicial en sesión 40-2021 celebrada el 04 de octubre de 2021, artículo XVI, con relación al presupuesto por proyectos de ley se indica:</w:t>
            </w:r>
          </w:p>
          <w:p w14:paraId="43531A7B" w14:textId="77777777" w:rsidR="004572AB" w:rsidRPr="0031059C" w:rsidRDefault="004572AB" w:rsidP="00BA14BB">
            <w:pPr>
              <w:pStyle w:val="Prrafodelista"/>
              <w:spacing w:before="0"/>
              <w:ind w:left="710"/>
              <w:rPr>
                <w:rFonts w:eastAsia="Book Antiqua" w:cs="Book Antiqua"/>
                <w:sz w:val="20"/>
                <w:szCs w:val="20"/>
                <w:lang w:val="es-CR"/>
              </w:rPr>
            </w:pPr>
          </w:p>
        </w:tc>
        <w:tc>
          <w:tcPr>
            <w:tcW w:w="2579" w:type="pct"/>
          </w:tcPr>
          <w:p w14:paraId="662BC59C" w14:textId="77777777" w:rsidR="004572AB" w:rsidRPr="0031059C" w:rsidRDefault="004572AB" w:rsidP="00BA14BB">
            <w:pPr>
              <w:rPr>
                <w:rFonts w:eastAsia="Book Antiqua" w:cs="Book Antiqua"/>
                <w:i/>
                <w:iCs/>
                <w:sz w:val="20"/>
                <w:szCs w:val="20"/>
                <w:lang w:val="es-ES"/>
              </w:rPr>
            </w:pPr>
            <w:r w:rsidRPr="0031059C">
              <w:rPr>
                <w:rFonts w:eastAsia="Book Antiqua" w:cs="Book Antiqua"/>
                <w:i/>
                <w:iCs/>
                <w:sz w:val="20"/>
                <w:szCs w:val="20"/>
                <w:lang w:val="es-ES"/>
              </w:rPr>
              <w:t xml:space="preserve">“El presupuesto solicitado para el financiamiento de las Leyes 9481 Creación de la Jurisdicción Especializada en Delincuencia Organizada, 9747 Código Procesal de Familia, 9609 Nuevo Código Procesal Agrario, 9458 Bienestar Animal y 9582 Justicia Restaurativa, </w:t>
            </w:r>
            <w:r w:rsidRPr="0031059C">
              <w:rPr>
                <w:rFonts w:eastAsia="Book Antiqua" w:cs="Book Antiqua"/>
                <w:b/>
                <w:bCs/>
                <w:i/>
                <w:iCs/>
                <w:sz w:val="20"/>
                <w:szCs w:val="20"/>
                <w:lang w:val="es-ES"/>
              </w:rPr>
              <w:t>no fueron incorporados por el Ministerio de Hacienda al presupuesto ordinario, ni tampoco se remitieron como requerimiento adicional a la Asamblea Legislativa.”</w:t>
            </w:r>
          </w:p>
        </w:tc>
      </w:tr>
      <w:tr w:rsidR="004572AB" w14:paraId="466C36E8" w14:textId="77777777" w:rsidTr="004572AB">
        <w:tc>
          <w:tcPr>
            <w:tcW w:w="2421" w:type="pct"/>
          </w:tcPr>
          <w:p w14:paraId="5F8E25E7" w14:textId="77777777" w:rsidR="004572AB" w:rsidRPr="0031059C" w:rsidRDefault="004572AB" w:rsidP="00BA14BB">
            <w:pPr>
              <w:spacing w:before="0"/>
              <w:rPr>
                <w:rFonts w:eastAsia="Book Antiqua" w:cs="Book Antiqua"/>
                <w:sz w:val="20"/>
                <w:szCs w:val="20"/>
                <w:lang w:val="es-ES"/>
              </w:rPr>
            </w:pPr>
            <w:r w:rsidRPr="0031059C">
              <w:rPr>
                <w:rFonts w:eastAsia="Book Antiqua" w:cs="Book Antiqua"/>
                <w:sz w:val="20"/>
                <w:szCs w:val="20"/>
                <w:lang w:val="es-ES"/>
              </w:rPr>
              <w:t>Mediante oficio 437-ORJR-21 del 30 de noviembre de 2021, el magistrado Gerardo Rubén Alfaro Vargas, en su condición de Rector del Programa de Justicia Restaurativa, comunicó lo siguiente:</w:t>
            </w:r>
          </w:p>
          <w:p w14:paraId="6B50EE39" w14:textId="77777777" w:rsidR="004572AB" w:rsidRPr="0031059C" w:rsidRDefault="004572AB" w:rsidP="00BA14BB">
            <w:pPr>
              <w:spacing w:before="0"/>
              <w:rPr>
                <w:rFonts w:eastAsia="Book Antiqua" w:cs="Book Antiqua"/>
                <w:sz w:val="20"/>
                <w:szCs w:val="20"/>
                <w:lang w:val="es-ES"/>
              </w:rPr>
            </w:pPr>
          </w:p>
        </w:tc>
        <w:tc>
          <w:tcPr>
            <w:tcW w:w="2579" w:type="pct"/>
          </w:tcPr>
          <w:p w14:paraId="1AD002B6" w14:textId="77777777" w:rsidR="004572AB" w:rsidRDefault="004572AB" w:rsidP="00BA14BB">
            <w:pPr>
              <w:rPr>
                <w:rFonts w:eastAsia="Book Antiqua" w:cs="Book Antiqua"/>
                <w:i/>
                <w:iCs/>
                <w:sz w:val="20"/>
                <w:szCs w:val="20"/>
                <w:lang w:val="es-ES"/>
              </w:rPr>
            </w:pPr>
            <w:r w:rsidRPr="0031059C">
              <w:rPr>
                <w:rFonts w:eastAsia="Book Antiqua" w:cs="Book Antiqua"/>
                <w:i/>
                <w:iCs/>
                <w:sz w:val="20"/>
                <w:szCs w:val="20"/>
                <w:lang w:val="es-ES"/>
              </w:rPr>
              <w:t xml:space="preserve">“Siendo la última gestión la aprobada por el Consejo Superior mediante acuerdo de la sesión </w:t>
            </w:r>
            <w:r w:rsidRPr="0031059C">
              <w:rPr>
                <w:rFonts w:eastAsia="Book Antiqua" w:cs="Book Antiqua"/>
                <w:b/>
                <w:bCs/>
                <w:i/>
                <w:iCs/>
                <w:sz w:val="20"/>
                <w:szCs w:val="20"/>
                <w:lang w:val="es-ES"/>
              </w:rPr>
              <w:t>N° 35-2021</w:t>
            </w:r>
            <w:r w:rsidRPr="0031059C">
              <w:rPr>
                <w:rFonts w:eastAsia="Book Antiqua" w:cs="Book Antiqua"/>
                <w:i/>
                <w:iCs/>
                <w:sz w:val="20"/>
                <w:szCs w:val="20"/>
                <w:lang w:val="es-ES"/>
              </w:rPr>
              <w:t xml:space="preserve"> celebrada el </w:t>
            </w:r>
            <w:r w:rsidRPr="0031059C">
              <w:rPr>
                <w:rFonts w:eastAsia="Book Antiqua" w:cs="Book Antiqua"/>
                <w:b/>
                <w:bCs/>
                <w:i/>
                <w:iCs/>
                <w:sz w:val="20"/>
                <w:szCs w:val="20"/>
                <w:lang w:val="es-ES"/>
              </w:rPr>
              <w:t>30 de abril de 2021</w:t>
            </w:r>
            <w:r w:rsidRPr="0031059C">
              <w:rPr>
                <w:rFonts w:eastAsia="Book Antiqua" w:cs="Book Antiqua"/>
                <w:i/>
                <w:iCs/>
                <w:sz w:val="20"/>
                <w:szCs w:val="20"/>
                <w:lang w:val="es-ES"/>
              </w:rPr>
              <w:t xml:space="preserve">, Artículo XXIV., misma que Corte Plena aprobó mediante Artículo  II, de la Sesión No. 21-2021 del  01 de junio del 2021,  con la finalidad de que sea analizada como implementación de una Ley especial mediante un posible presupuesto extraordinario durante el año 2022.Sin dejar de lado la situación presupuestaria en la que se encuentra Costa Rica, pero en un ejercicio de transparencia, y responsable de administración del riesgo de la Oficina Rectora de Justicia Restaurativa, conforme la normas de control interno y bajo la asesoría de la Oficina de </w:t>
            </w:r>
            <w:r w:rsidRPr="0031059C">
              <w:rPr>
                <w:rFonts w:eastAsia="Book Antiqua" w:cs="Book Antiqua"/>
                <w:i/>
                <w:iCs/>
                <w:sz w:val="20"/>
                <w:szCs w:val="20"/>
                <w:lang w:val="es-ES"/>
              </w:rPr>
              <w:lastRenderedPageBreak/>
              <w:t xml:space="preserve">Control Interno del Poder Judicial, esta Rectoría hace de conocimiento del Consejo Superior que el riesgo de </w:t>
            </w:r>
            <w:r w:rsidRPr="0031059C">
              <w:rPr>
                <w:rFonts w:eastAsia="Book Antiqua" w:cs="Book Antiqua"/>
                <w:b/>
                <w:bCs/>
                <w:i/>
                <w:iCs/>
                <w:sz w:val="20"/>
                <w:szCs w:val="20"/>
                <w:lang w:val="es-ES"/>
              </w:rPr>
              <w:t>Denegación del servicio de Justicia Restaurativa a nivel nacional</w:t>
            </w:r>
            <w:r w:rsidRPr="0031059C">
              <w:rPr>
                <w:rFonts w:eastAsia="Book Antiqua" w:cs="Book Antiqua"/>
                <w:i/>
                <w:iCs/>
                <w:sz w:val="20"/>
                <w:szCs w:val="20"/>
                <w:lang w:val="es-ES"/>
              </w:rPr>
              <w:t xml:space="preserve">  se materializará el 20 de enero del 2022, traslado que se realiza, por ser el órgano superior administrativo del Poder Judicial.” </w:t>
            </w:r>
          </w:p>
          <w:p w14:paraId="3904B94A" w14:textId="77777777" w:rsidR="004572AB" w:rsidRPr="0031059C" w:rsidRDefault="004572AB" w:rsidP="00BA14BB">
            <w:pPr>
              <w:spacing w:before="0" w:after="0"/>
              <w:rPr>
                <w:rFonts w:eastAsia="Book Antiqua" w:cs="Book Antiqua"/>
                <w:sz w:val="20"/>
                <w:szCs w:val="20"/>
                <w:lang w:val="es-ES"/>
              </w:rPr>
            </w:pPr>
            <w:r w:rsidRPr="0031059C">
              <w:rPr>
                <w:rFonts w:eastAsia="Book Antiqua" w:cs="Book Antiqua"/>
                <w:sz w:val="20"/>
                <w:szCs w:val="20"/>
                <w:lang w:val="es-ES"/>
              </w:rPr>
              <w:t xml:space="preserve">Sobre lo anterior, se establece el siguiente acuerdo: </w:t>
            </w:r>
          </w:p>
          <w:p w14:paraId="05451611" w14:textId="77777777" w:rsidR="004572AB" w:rsidRPr="0031059C" w:rsidRDefault="004572AB" w:rsidP="00BA14BB">
            <w:pPr>
              <w:spacing w:before="0" w:after="0"/>
              <w:rPr>
                <w:rFonts w:eastAsia="Book Antiqua" w:cs="Book Antiqua"/>
                <w:i/>
                <w:iCs/>
                <w:sz w:val="20"/>
                <w:szCs w:val="20"/>
                <w:lang w:val="es-ES"/>
              </w:rPr>
            </w:pPr>
            <w:r w:rsidRPr="0031059C">
              <w:rPr>
                <w:rFonts w:eastAsia="Book Antiqua" w:cs="Book Antiqua"/>
                <w:i/>
                <w:iCs/>
                <w:sz w:val="20"/>
                <w:szCs w:val="20"/>
                <w:lang w:val="es-ES"/>
              </w:rPr>
              <w:t>“1.) Tener por conocido el oficio N° 437-ORJR-21 del 30 de noviembre de 2021, suscrito por el magistrado Gerardo Rubén Alfaro Vargas, en su condición de Rector del Programa de Justicia Restaurativa. 2.) Hacer este acuerdo de conocimiento de la Dirección de Planificación para que valore la inclusión de estos requerimientos de plazas para el año 2023.”</w:t>
            </w:r>
          </w:p>
        </w:tc>
      </w:tr>
      <w:tr w:rsidR="004572AB" w14:paraId="4245B59D" w14:textId="77777777" w:rsidTr="004572AB">
        <w:tc>
          <w:tcPr>
            <w:tcW w:w="2421" w:type="pct"/>
          </w:tcPr>
          <w:p w14:paraId="40834CFB" w14:textId="55083914" w:rsidR="004572AB" w:rsidRPr="0031059C" w:rsidRDefault="004572AB" w:rsidP="00BA14BB">
            <w:pPr>
              <w:spacing w:before="0"/>
              <w:rPr>
                <w:rFonts w:eastAsia="Book Antiqua" w:cs="Book Antiqua"/>
                <w:sz w:val="20"/>
                <w:szCs w:val="20"/>
              </w:rPr>
            </w:pPr>
            <w:r w:rsidRPr="0031059C">
              <w:rPr>
                <w:rFonts w:eastAsia="Book Antiqua" w:cs="Book Antiqua"/>
                <w:sz w:val="20"/>
                <w:szCs w:val="20"/>
              </w:rPr>
              <w:lastRenderedPageBreak/>
              <w:t>En fecha 03 de marzo de 2022 se remite a la Secretar</w:t>
            </w:r>
            <w:r>
              <w:rPr>
                <w:rFonts w:eastAsia="Book Antiqua" w:cs="Book Antiqua"/>
                <w:sz w:val="20"/>
                <w:szCs w:val="20"/>
              </w:rPr>
              <w:t>í</w:t>
            </w:r>
            <w:r w:rsidRPr="0031059C">
              <w:rPr>
                <w:rFonts w:eastAsia="Book Antiqua" w:cs="Book Antiqua"/>
                <w:sz w:val="20"/>
                <w:szCs w:val="20"/>
              </w:rPr>
              <w:t>a General de la Corte por parte de la Dirección de Planificación el informe 174-PLA-MI-2022</w:t>
            </w:r>
            <w:r>
              <w:rPr>
                <w:rFonts w:eastAsia="Book Antiqua" w:cs="Book Antiqua"/>
                <w:sz w:val="20"/>
                <w:szCs w:val="20"/>
              </w:rPr>
              <w:t>.</w:t>
            </w:r>
          </w:p>
        </w:tc>
        <w:tc>
          <w:tcPr>
            <w:tcW w:w="2579" w:type="pct"/>
          </w:tcPr>
          <w:p w14:paraId="082D05D7" w14:textId="77777777" w:rsidR="004572AB" w:rsidRPr="0031059C" w:rsidRDefault="004572AB" w:rsidP="00BA14BB">
            <w:pPr>
              <w:rPr>
                <w:rFonts w:eastAsia="Book Antiqua" w:cs="Book Antiqua"/>
                <w:i/>
                <w:iCs/>
                <w:sz w:val="20"/>
                <w:szCs w:val="20"/>
                <w:lang w:val="es-ES"/>
              </w:rPr>
            </w:pPr>
            <w:r>
              <w:rPr>
                <w:rFonts w:eastAsia="Book Antiqua" w:cs="Book Antiqua"/>
                <w:i/>
                <w:iCs/>
                <w:sz w:val="20"/>
                <w:szCs w:val="20"/>
                <w:lang w:val="es-ES"/>
              </w:rPr>
              <w:t xml:space="preserve">En dicho informe, </w:t>
            </w:r>
            <w:r w:rsidRPr="0031059C">
              <w:rPr>
                <w:rFonts w:eastAsia="Book Antiqua" w:cs="Book Antiqua"/>
                <w:i/>
                <w:iCs/>
                <w:sz w:val="20"/>
                <w:szCs w:val="20"/>
                <w:lang w:val="es-ES"/>
              </w:rPr>
              <w:t>se atiende lo comunicado por parte de la Oficina Rectora de Justicia Restaurativa en oficio 437-ORJR-21 y se informa que esta Dirección tomará en consideración esta información en el proceso de actualización del informe de presupuesto de la Ley de Justicia Restaurativa 9582 correspondiente al año 2023, para ser sometido a discusión del Consejo Superior y la Corte Plena.</w:t>
            </w:r>
          </w:p>
        </w:tc>
      </w:tr>
      <w:tr w:rsidR="004572AB" w14:paraId="2388A8A6" w14:textId="77777777" w:rsidTr="004572AB">
        <w:tc>
          <w:tcPr>
            <w:tcW w:w="2421" w:type="pct"/>
          </w:tcPr>
          <w:p w14:paraId="54F42FA7" w14:textId="59BC1D06" w:rsidR="004572AB" w:rsidRPr="0031059C" w:rsidRDefault="00B703B8" w:rsidP="004572AB">
            <w:pPr>
              <w:spacing w:before="0"/>
              <w:rPr>
                <w:rFonts w:eastAsia="Book Antiqua" w:cs="Book Antiqua"/>
                <w:sz w:val="20"/>
                <w:szCs w:val="20"/>
                <w:lang w:val="es-ES"/>
              </w:rPr>
            </w:pPr>
            <w:r>
              <w:rPr>
                <w:rFonts w:eastAsia="Book Antiqua" w:cs="Book Antiqua"/>
                <w:sz w:val="20"/>
                <w:szCs w:val="20"/>
                <w:lang w:val="es-ES"/>
              </w:rPr>
              <w:t>I</w:t>
            </w:r>
            <w:r w:rsidR="004572AB" w:rsidRPr="0031059C">
              <w:rPr>
                <w:rFonts w:eastAsia="Book Antiqua" w:cs="Book Antiqua"/>
                <w:sz w:val="20"/>
                <w:szCs w:val="20"/>
                <w:lang w:val="es-ES"/>
              </w:rPr>
              <w:t xml:space="preserve">nforme 201-PLA-RH-MI-2022, </w:t>
            </w:r>
            <w:r w:rsidR="00944E93">
              <w:rPr>
                <w:rFonts w:eastAsia="Book Antiqua" w:cs="Book Antiqua"/>
                <w:sz w:val="20"/>
                <w:szCs w:val="20"/>
                <w:lang w:val="es-ES"/>
              </w:rPr>
              <w:t>conocido</w:t>
            </w:r>
            <w:r w:rsidR="00944E93" w:rsidRPr="0031059C">
              <w:rPr>
                <w:rFonts w:eastAsia="Book Antiqua" w:cs="Book Antiqua"/>
                <w:sz w:val="20"/>
                <w:szCs w:val="20"/>
                <w:lang w:val="es-ES"/>
              </w:rPr>
              <w:t xml:space="preserve"> </w:t>
            </w:r>
            <w:r w:rsidR="004572AB" w:rsidRPr="0031059C">
              <w:rPr>
                <w:rFonts w:eastAsia="Book Antiqua" w:cs="Book Antiqua"/>
                <w:sz w:val="20"/>
                <w:szCs w:val="20"/>
                <w:lang w:val="es-ES"/>
              </w:rPr>
              <w:t>por parte del Consejo Superior en sesión extraordinaria 29-2022 celebrada el 1 de abril de 2022, artículo XVIII.</w:t>
            </w:r>
            <w:r w:rsidR="00DB10A5">
              <w:rPr>
                <w:rFonts w:eastAsia="Book Antiqua" w:cs="Book Antiqua"/>
                <w:sz w:val="20"/>
                <w:szCs w:val="20"/>
                <w:lang w:val="es-ES"/>
              </w:rPr>
              <w:t xml:space="preserve"> Y aprobado por Corte Plena en sesión 27-2022 del 01 de junio del 2022, artículo II.</w:t>
            </w:r>
            <w:r w:rsidR="00E148FF">
              <w:rPr>
                <w:rFonts w:eastAsia="Book Antiqua" w:cs="Book Antiqua"/>
                <w:sz w:val="20"/>
                <w:szCs w:val="20"/>
                <w:lang w:val="es-ES"/>
              </w:rPr>
              <w:t xml:space="preserve"> </w:t>
            </w:r>
            <w:r w:rsidR="00E148FF" w:rsidRPr="00983AE0">
              <w:rPr>
                <w:rFonts w:eastAsia="Book Antiqua" w:cs="Book Antiqua"/>
                <w:sz w:val="20"/>
                <w:szCs w:val="20"/>
                <w:lang w:val="es-ES"/>
              </w:rPr>
              <w:t xml:space="preserve">(Ver apéndice </w:t>
            </w:r>
            <w:r w:rsidR="00E148FF">
              <w:rPr>
                <w:rFonts w:eastAsia="Book Antiqua" w:cs="Book Antiqua"/>
                <w:sz w:val="20"/>
                <w:szCs w:val="20"/>
                <w:lang w:val="es-ES"/>
              </w:rPr>
              <w:t>12</w:t>
            </w:r>
            <w:r w:rsidR="00E148FF" w:rsidRPr="00983AE0">
              <w:rPr>
                <w:rFonts w:eastAsia="Book Antiqua" w:cs="Book Antiqua"/>
                <w:sz w:val="20"/>
                <w:szCs w:val="20"/>
                <w:lang w:val="es-ES"/>
              </w:rPr>
              <w:t>).</w:t>
            </w:r>
            <w:r w:rsidR="00E148FF" w:rsidRPr="005149C4">
              <w:t xml:space="preserve">   </w:t>
            </w:r>
          </w:p>
        </w:tc>
        <w:tc>
          <w:tcPr>
            <w:tcW w:w="2579" w:type="pct"/>
          </w:tcPr>
          <w:p w14:paraId="36D4FA07" w14:textId="77777777" w:rsidR="004572AB" w:rsidRPr="00141A95" w:rsidRDefault="004572AB" w:rsidP="00BA14BB">
            <w:pPr>
              <w:rPr>
                <w:rFonts w:eastAsia="Book Antiqua" w:cs="Book Antiqua"/>
                <w:sz w:val="20"/>
                <w:szCs w:val="20"/>
                <w:lang w:val="es-ES"/>
              </w:rPr>
            </w:pPr>
            <w:r>
              <w:rPr>
                <w:rFonts w:eastAsia="Book Antiqua" w:cs="Book Antiqua"/>
                <w:sz w:val="20"/>
                <w:szCs w:val="20"/>
                <w:lang w:val="es-ES"/>
              </w:rPr>
              <w:t>R</w:t>
            </w:r>
            <w:r w:rsidRPr="0031059C">
              <w:rPr>
                <w:rFonts w:eastAsia="Book Antiqua" w:cs="Book Antiqua"/>
                <w:sz w:val="20"/>
                <w:szCs w:val="20"/>
                <w:lang w:val="es-ES"/>
              </w:rPr>
              <w:t>elacionado con Impacto organizacional y presupuestario en el Poder Judicial, a partir de la promulgación de la Ley 9582 Justicia Restaurativa</w:t>
            </w:r>
            <w:r>
              <w:rPr>
                <w:rFonts w:eastAsia="Book Antiqua" w:cs="Book Antiqua"/>
                <w:sz w:val="20"/>
                <w:szCs w:val="20"/>
                <w:lang w:val="es-ES"/>
              </w:rPr>
              <w:t>.</w:t>
            </w:r>
          </w:p>
        </w:tc>
      </w:tr>
      <w:tr w:rsidR="00B703B8" w14:paraId="3CB15797" w14:textId="77777777" w:rsidTr="004572AB">
        <w:tc>
          <w:tcPr>
            <w:tcW w:w="2421" w:type="pct"/>
          </w:tcPr>
          <w:p w14:paraId="31C43A1F" w14:textId="72CD4EE3" w:rsidR="00B703B8" w:rsidRDefault="00B703B8" w:rsidP="00983AE0">
            <w:pPr>
              <w:rPr>
                <w:rFonts w:eastAsia="Book Antiqua" w:cs="Book Antiqua"/>
                <w:sz w:val="20"/>
                <w:szCs w:val="20"/>
                <w:lang w:val="es-ES"/>
              </w:rPr>
            </w:pPr>
            <w:r w:rsidRPr="00983AE0">
              <w:rPr>
                <w:rFonts w:eastAsia="Book Antiqua" w:cs="Book Antiqua"/>
                <w:sz w:val="20"/>
                <w:szCs w:val="20"/>
                <w:lang w:val="es-ES"/>
              </w:rPr>
              <w:lastRenderedPageBreak/>
              <w:t>Oficio por parte de la Oficina Rectora de Justicia Restaurativa en oficio 038-ORJR-2023, fecha 6 de febrero del 2023. (Ver apéndice</w:t>
            </w:r>
            <w:r w:rsidRPr="00B703B8">
              <w:rPr>
                <w:rFonts w:eastAsia="Book Antiqua" w:cs="Book Antiqua"/>
                <w:sz w:val="20"/>
                <w:szCs w:val="20"/>
              </w:rPr>
              <w:t xml:space="preserve"> 2).</w:t>
            </w:r>
            <w:r>
              <w:t xml:space="preserve"> </w:t>
            </w:r>
          </w:p>
        </w:tc>
        <w:tc>
          <w:tcPr>
            <w:tcW w:w="2579" w:type="pct"/>
          </w:tcPr>
          <w:p w14:paraId="4FF67347" w14:textId="2610114F" w:rsidR="00B703B8" w:rsidRPr="00983AE0" w:rsidRDefault="00B703B8" w:rsidP="00BA14BB">
            <w:pPr>
              <w:rPr>
                <w:rFonts w:eastAsia="Book Antiqua" w:cs="Book Antiqua"/>
                <w:sz w:val="20"/>
                <w:szCs w:val="20"/>
              </w:rPr>
            </w:pPr>
            <w:r>
              <w:rPr>
                <w:rFonts w:eastAsia="Book Antiqua" w:cs="Book Antiqua"/>
                <w:sz w:val="20"/>
                <w:szCs w:val="20"/>
              </w:rPr>
              <w:t>S</w:t>
            </w:r>
            <w:r w:rsidRPr="00B703B8">
              <w:rPr>
                <w:rFonts w:eastAsia="Book Antiqua" w:cs="Book Antiqua"/>
                <w:sz w:val="20"/>
                <w:szCs w:val="20"/>
              </w:rPr>
              <w:t xml:space="preserve">olicitud de recurso humano para completar los equipos existentes que carecen de alguno de sus integrantes y conformar nuevos equipos de trabajo que permitan contar con recursos enfocados en la atención de la Materia Contravencional, en Ejecución de la Pena y un equipo itinerante para materia Penal Juvenil. </w:t>
            </w:r>
          </w:p>
        </w:tc>
      </w:tr>
    </w:tbl>
    <w:p w14:paraId="1EF69889" w14:textId="77777777" w:rsidR="00D7117D" w:rsidRPr="005149C4" w:rsidRDefault="00D7117D" w:rsidP="00055CFC">
      <w:pPr>
        <w:spacing w:before="0" w:after="0"/>
        <w:rPr>
          <w:rFonts w:eastAsia="Book Antiqua" w:cs="Book Antiqua"/>
          <w:szCs w:val="24"/>
        </w:rPr>
      </w:pPr>
    </w:p>
    <w:p w14:paraId="323D4BF8" w14:textId="49E6896D" w:rsidR="00BB43FD" w:rsidRPr="00BB43FD" w:rsidRDefault="0A67FD50" w:rsidP="00AA10C8">
      <w:pPr>
        <w:pStyle w:val="Ttulo1"/>
      </w:pPr>
      <w:r w:rsidRPr="005149C4">
        <w:t>Justificación</w:t>
      </w:r>
    </w:p>
    <w:p w14:paraId="65861541" w14:textId="0424602C" w:rsidR="00D32661" w:rsidRPr="005149C4" w:rsidRDefault="00D32661" w:rsidP="00D32661">
      <w:r w:rsidRPr="005149C4">
        <w:t xml:space="preserve">El Transitorio 1 de la Ley de Justicia Restaurativa, dispuso de la creación de nuevas oficinas a nivel nacional, para que de forma gradual dentro de un plazo de tres años a partir de su vigencia (20 de enero de 2022), se mantenga una cobertura Nacional.  </w:t>
      </w:r>
    </w:p>
    <w:p w14:paraId="2CBAFDD9" w14:textId="77777777" w:rsidR="00D32661" w:rsidRPr="005149C4" w:rsidRDefault="00D32661" w:rsidP="00D32661">
      <w:r w:rsidRPr="005149C4">
        <w:t>“TRANSITORIO 1- La Corte Suprema de Justicia creará las nuevas oficinas de justicia restaurativa de forma gradual hasta tener una cobertura nacional, en el plazo de tres años a partir de la vigencia de la ley. Cada dependencia judicial deberá tomar las previsiones para direccionar recursos o presupuestar los requerimientos para la implementación de esta ley.”</w:t>
      </w:r>
    </w:p>
    <w:p w14:paraId="21A8CBC4" w14:textId="11E74D4E" w:rsidR="00D32661" w:rsidRPr="005149C4" w:rsidRDefault="00D32661" w:rsidP="00D32661">
      <w:r w:rsidRPr="005149C4">
        <w:t xml:space="preserve">En lo especifico a </w:t>
      </w:r>
      <w:r w:rsidR="004572AB">
        <w:t>M</w:t>
      </w:r>
      <w:r w:rsidRPr="005149C4">
        <w:t xml:space="preserve">ateria Penal de adultos, conforme al referido artículo 6 de la Ley de Justicia Restaurativa, se estableció de la apertura de oficinas según las necesidades del servicio, en los diferentes circuitos judiciales a nivel nacional. En materia Penal Juvenil, se dispuso que se conformarían en las diferentes jurisdicciones el Programa de Justicia Juvenil Restaurativa y que, para ese efecto, se dotará de equipos psicosociales, que en conjunto con las personas funcionarias de la Defensa Pública y el Ministerio Público de cada despacho, aplicarán el </w:t>
      </w:r>
      <w:r w:rsidRPr="005149C4">
        <w:lastRenderedPageBreak/>
        <w:t>procedimiento juvenil restaurativo como parte de sus competencias legales y las normas establecidas en esta ley.</w:t>
      </w:r>
    </w:p>
    <w:p w14:paraId="3CA3A24B" w14:textId="709E8E63" w:rsidR="00D32661" w:rsidRPr="005149C4" w:rsidRDefault="00D32661" w:rsidP="00D32661">
      <w:r w:rsidRPr="005149C4">
        <w:t xml:space="preserve">En </w:t>
      </w:r>
      <w:r w:rsidR="004572AB">
        <w:t>M</w:t>
      </w:r>
      <w:r w:rsidRPr="005149C4">
        <w:t xml:space="preserve">ateria Contravencional, básicamente se dispuso lo mismo que en </w:t>
      </w:r>
      <w:r w:rsidR="004572AB">
        <w:t>M</w:t>
      </w:r>
      <w:r w:rsidRPr="005149C4">
        <w:t>ateria Penal Juvenil, respecto a que se conformará en las diferentes jurisdicciones el Programa de Justicia Contravencional Restaurativa y por lo que debe dotarse de equipos psicosociales, que, en conjunto con la persona juzgadora, desarrollarán la justicia restaurativa como parte de sus competencias legales.</w:t>
      </w:r>
    </w:p>
    <w:p w14:paraId="02AF5DF7" w14:textId="14BE081F" w:rsidR="004B3F2E" w:rsidRPr="005149C4" w:rsidRDefault="004B3F2E" w:rsidP="00D32661">
      <w:r w:rsidRPr="005149C4">
        <w:t xml:space="preserve">Por otra parte, a raíz del ejercicio presupuestario </w:t>
      </w:r>
      <w:r w:rsidR="00866D74" w:rsidRPr="005149C4">
        <w:t>para el año 202</w:t>
      </w:r>
      <w:r w:rsidR="00C90C99" w:rsidRPr="005149C4">
        <w:t>4</w:t>
      </w:r>
      <w:r w:rsidR="00866D74" w:rsidRPr="005149C4">
        <w:t xml:space="preserve"> se coordinó </w:t>
      </w:r>
      <w:r w:rsidR="00926A70" w:rsidRPr="005149C4">
        <w:t xml:space="preserve">la verificación de las asignaciones de los equipos de Justicia Restaurativa </w:t>
      </w:r>
      <w:r w:rsidR="00866D74" w:rsidRPr="005149C4">
        <w:t>con la Licenciada Jovanna Calderón Altamirano, Profesional encargada de la Oficina Rectora de Justicia Restaurativa</w:t>
      </w:r>
      <w:r w:rsidR="00092D40" w:rsidRPr="005149C4">
        <w:t>.</w:t>
      </w:r>
      <w:r w:rsidR="00866D74" w:rsidRPr="005149C4">
        <w:t xml:space="preserve"> </w:t>
      </w:r>
    </w:p>
    <w:p w14:paraId="41B708A9" w14:textId="376C8A0A" w:rsidR="00D32661" w:rsidRPr="005149C4" w:rsidRDefault="00D32661" w:rsidP="00D32661">
      <w:r w:rsidRPr="005149C4">
        <w:rPr>
          <w:color w:val="000000" w:themeColor="text1"/>
        </w:rPr>
        <w:t xml:space="preserve">Posteriormente se remite el </w:t>
      </w:r>
      <w:r w:rsidR="00E94E71" w:rsidRPr="005149C4">
        <w:rPr>
          <w:color w:val="000000" w:themeColor="text1"/>
        </w:rPr>
        <w:t>oficio</w:t>
      </w:r>
      <w:r w:rsidR="00D60537" w:rsidRPr="005149C4">
        <w:rPr>
          <w:color w:val="000000" w:themeColor="text1"/>
        </w:rPr>
        <w:t xml:space="preserve"> 038</w:t>
      </w:r>
      <w:r w:rsidRPr="005149C4">
        <w:rPr>
          <w:color w:val="000000" w:themeColor="text1"/>
        </w:rPr>
        <w:t>-</w:t>
      </w:r>
      <w:r w:rsidR="00EF5EBD" w:rsidRPr="005149C4">
        <w:rPr>
          <w:color w:val="000000" w:themeColor="text1"/>
        </w:rPr>
        <w:t>OR</w:t>
      </w:r>
      <w:r w:rsidRPr="005149C4">
        <w:rPr>
          <w:color w:val="000000" w:themeColor="text1"/>
        </w:rPr>
        <w:t>JR-2</w:t>
      </w:r>
      <w:r w:rsidR="00C90C99" w:rsidRPr="005149C4">
        <w:rPr>
          <w:color w:val="000000" w:themeColor="text1"/>
        </w:rPr>
        <w:t>3</w:t>
      </w:r>
      <w:r w:rsidR="00D60537" w:rsidRPr="005149C4">
        <w:rPr>
          <w:color w:val="000000" w:themeColor="text1"/>
        </w:rPr>
        <w:t>, fecha 6 de febrero del 2023</w:t>
      </w:r>
      <w:r w:rsidR="0090787D" w:rsidRPr="005149C4">
        <w:rPr>
          <w:color w:val="000000" w:themeColor="text1"/>
        </w:rPr>
        <w:t xml:space="preserve"> (ver apéndice 2)</w:t>
      </w:r>
      <w:r w:rsidR="00D60537" w:rsidRPr="005149C4">
        <w:rPr>
          <w:color w:val="000000" w:themeColor="text1"/>
        </w:rPr>
        <w:t>,</w:t>
      </w:r>
      <w:r w:rsidRPr="005149C4">
        <w:rPr>
          <w:color w:val="000000" w:themeColor="text1"/>
        </w:rPr>
        <w:t xml:space="preserve"> </w:t>
      </w:r>
      <w:r w:rsidRPr="005149C4">
        <w:t xml:space="preserve">por parte de la </w:t>
      </w:r>
      <w:r w:rsidR="00EF5EBD" w:rsidRPr="005149C4">
        <w:t>Oficina Rectora</w:t>
      </w:r>
      <w:r w:rsidRPr="005149C4">
        <w:t xml:space="preserve"> de Justicia Restaurativa en el que se detalla </w:t>
      </w:r>
      <w:r w:rsidR="00640E6B" w:rsidRPr="005149C4">
        <w:t>la solicitud de recursos para conformar nuevos equipos interdisciplinarios</w:t>
      </w:r>
      <w:r w:rsidR="0066012C" w:rsidRPr="005149C4">
        <w:t>,</w:t>
      </w:r>
      <w:r w:rsidR="00640E6B" w:rsidRPr="005149C4">
        <w:t xml:space="preserve"> con el propósito de abarcar </w:t>
      </w:r>
      <w:r w:rsidR="0066012C" w:rsidRPr="005149C4">
        <w:t>la atención tanto respecto a materias como en la totalidad de los circuitos. En</w:t>
      </w:r>
      <w:r w:rsidR="0092277E" w:rsidRPr="005149C4">
        <w:t xml:space="preserve"> la </w:t>
      </w:r>
      <w:r w:rsidRPr="005149C4">
        <w:t xml:space="preserve">solicitud de forma concreta </w:t>
      </w:r>
      <w:r w:rsidR="0092277E" w:rsidRPr="005149C4">
        <w:t>se consideran</w:t>
      </w:r>
      <w:r w:rsidRPr="005149C4">
        <w:t xml:space="preserve"> un total de </w:t>
      </w:r>
      <w:r w:rsidR="0092277E" w:rsidRPr="005149C4">
        <w:t>5</w:t>
      </w:r>
      <w:r w:rsidR="00AD2B77" w:rsidRPr="005149C4">
        <w:t>7</w:t>
      </w:r>
      <w:r w:rsidRPr="005149C4">
        <w:t xml:space="preserve"> plazas (</w:t>
      </w:r>
      <w:r w:rsidR="00F2104C" w:rsidRPr="005149C4">
        <w:t>7</w:t>
      </w:r>
      <w:r w:rsidRPr="005149C4">
        <w:t xml:space="preserve"> Profesionales 2 de Trabajo Social, </w:t>
      </w:r>
      <w:r w:rsidR="00F2104C" w:rsidRPr="005149C4">
        <w:t>7</w:t>
      </w:r>
      <w:r w:rsidRPr="005149C4">
        <w:t xml:space="preserve"> Profesionales 2 de Psicología, </w:t>
      </w:r>
      <w:r w:rsidR="00F2104C" w:rsidRPr="005149C4">
        <w:t>1</w:t>
      </w:r>
      <w:r w:rsidR="00B05E82" w:rsidRPr="005149C4">
        <w:t>3</w:t>
      </w:r>
      <w:r w:rsidRPr="005149C4">
        <w:t xml:space="preserve"> Defensoras o Defensores Públicos, </w:t>
      </w:r>
      <w:r w:rsidR="00F2104C" w:rsidRPr="005149C4">
        <w:t>10</w:t>
      </w:r>
      <w:r w:rsidRPr="005149C4">
        <w:t xml:space="preserve"> Fiscalas o Fiscales Auxiliares y 1</w:t>
      </w:r>
      <w:r w:rsidR="00B05E82" w:rsidRPr="005149C4">
        <w:t>4</w:t>
      </w:r>
      <w:r w:rsidRPr="005149C4">
        <w:t xml:space="preserve"> Técnicas o Técnicos Judiciales</w:t>
      </w:r>
      <w:r w:rsidR="0095214C" w:rsidRPr="005149C4">
        <w:t xml:space="preserve">, 1 Profesional en Derecho 3B </w:t>
      </w:r>
      <w:r w:rsidR="00B05E82" w:rsidRPr="005149C4">
        <w:t xml:space="preserve"> y para el Procedimiento de Justicia Restaurativa para el Bienestar Integral del Personal Judicial se consideran 1 Profesional en Derecho 3B, 1 plaza de Profesional 2 de Trabajo Social, 1 plaza de Profesional 2 de Psicología y 1 plaza de Técnica o Técnico Judicial</w:t>
      </w:r>
      <w:r w:rsidRPr="005149C4">
        <w:t>).</w:t>
      </w:r>
      <w:r w:rsidR="00C90C99" w:rsidRPr="005149C4">
        <w:t xml:space="preserve"> </w:t>
      </w:r>
    </w:p>
    <w:p w14:paraId="774A33F1" w14:textId="6BB0988D" w:rsidR="008D322C" w:rsidRPr="005149C4" w:rsidRDefault="00320529" w:rsidP="00594E59">
      <w:r w:rsidRPr="005149C4">
        <w:t xml:space="preserve">Se indica que esta propuesta, tanto respecto a la ampliación de cobertura como la solicitud de recursos nuevos fue establecida en consenso con </w:t>
      </w:r>
      <w:r w:rsidR="00C7643E" w:rsidRPr="005149C4">
        <w:t>el Ministerio Público, la Defensa Pública y el Departamento de Trabajo Social y Psicología.</w:t>
      </w:r>
    </w:p>
    <w:p w14:paraId="53FA20DD" w14:textId="21FCCF7E" w:rsidR="3619292C" w:rsidRPr="005149C4" w:rsidRDefault="3619292C" w:rsidP="00AA10C8">
      <w:pPr>
        <w:pStyle w:val="Ttulo1"/>
      </w:pPr>
      <w:r w:rsidRPr="005149C4">
        <w:lastRenderedPageBreak/>
        <w:t>Información</w:t>
      </w:r>
      <w:r w:rsidR="0B6B3115" w:rsidRPr="005149C4">
        <w:t xml:space="preserve"> relevante</w:t>
      </w:r>
    </w:p>
    <w:p w14:paraId="24AE0A87" w14:textId="23B59A45" w:rsidR="2105C029" w:rsidRPr="005149C4" w:rsidRDefault="00A21331" w:rsidP="008A3258">
      <w:pPr>
        <w:pStyle w:val="Ttulo2"/>
        <w:numPr>
          <w:ilvl w:val="1"/>
          <w:numId w:val="1"/>
        </w:numPr>
      </w:pPr>
      <w:r w:rsidRPr="005149C4">
        <w:t>Estructura de recurso humano y abordaje de Justicia Restaurativa.</w:t>
      </w:r>
    </w:p>
    <w:p w14:paraId="345FA983" w14:textId="2C084002" w:rsidR="00E040ED" w:rsidRPr="005149C4" w:rsidRDefault="00543C14" w:rsidP="00E040ED">
      <w:r w:rsidRPr="005149C4">
        <w:t>La Ofician Rectora de</w:t>
      </w:r>
      <w:r w:rsidR="00E040ED" w:rsidRPr="005149C4">
        <w:t xml:space="preserve"> Justicia Restaurativa, funciona bajo la coordinación del magistrado Gerardo Rubén Alfaro Vargas y cuenta con el siguiente recurso humano: </w:t>
      </w:r>
    </w:p>
    <w:p w14:paraId="19D99E01" w14:textId="77777777" w:rsidR="00E040ED" w:rsidRPr="005149C4" w:rsidRDefault="00E040ED" w:rsidP="00E040ED">
      <w:r w:rsidRPr="005149C4">
        <w:t>•</w:t>
      </w:r>
      <w:r w:rsidRPr="005149C4">
        <w:tab/>
        <w:t>3 plazas de Profesional en Derecho 3B</w:t>
      </w:r>
    </w:p>
    <w:p w14:paraId="4C8F4622" w14:textId="77777777" w:rsidR="00E040ED" w:rsidRPr="005149C4" w:rsidRDefault="00E040ED" w:rsidP="00E040ED">
      <w:r w:rsidRPr="005149C4">
        <w:t>•</w:t>
      </w:r>
      <w:r w:rsidRPr="005149C4">
        <w:tab/>
        <w:t>1 plaza de Técnica o Técnico Judicial</w:t>
      </w:r>
    </w:p>
    <w:p w14:paraId="2F8261EA" w14:textId="77777777" w:rsidR="00E040ED" w:rsidRPr="005149C4" w:rsidRDefault="00E040ED" w:rsidP="00E040ED">
      <w:r w:rsidRPr="005149C4">
        <w:t>•</w:t>
      </w:r>
      <w:r w:rsidRPr="005149C4">
        <w:tab/>
        <w:t>1 plaza de Secretaria Ejecutiva</w:t>
      </w:r>
    </w:p>
    <w:p w14:paraId="32C9AECB" w14:textId="23729371" w:rsidR="00CB7F0B" w:rsidRPr="005149C4" w:rsidRDefault="00E040ED" w:rsidP="00CB7F0B">
      <w:r w:rsidRPr="005149C4">
        <w:t>•</w:t>
      </w:r>
      <w:r w:rsidRPr="005149C4">
        <w:tab/>
        <w:t>1 plaza de Profesional 2</w:t>
      </w:r>
    </w:p>
    <w:p w14:paraId="7019BB09" w14:textId="1774506F" w:rsidR="00CB7F0B" w:rsidRPr="005149C4" w:rsidRDefault="00CB7F0B" w:rsidP="00C7643E">
      <w:pPr>
        <w:spacing w:before="120" w:after="120"/>
      </w:pPr>
      <w:r w:rsidRPr="005149C4">
        <w:t xml:space="preserve">El abordaje de los asuntos se lleva a cabo por medio de un Equipo Interdisciplinario, conformado por un Equipo Legal, que incluye a todas las personas profesionales en la rama del Derecho (Juezas y Jueces, Fiscalas y Fiscales, Defensoras y Defensores) y un Equipo Psicosocial integrado por </w:t>
      </w:r>
      <w:r w:rsidR="00C90C99" w:rsidRPr="005149C4">
        <w:t>persona</w:t>
      </w:r>
      <w:r w:rsidR="00BC1E45" w:rsidRPr="005149C4">
        <w:t>l</w:t>
      </w:r>
      <w:r w:rsidR="00C90C99" w:rsidRPr="005149C4">
        <w:t xml:space="preserve"> </w:t>
      </w:r>
      <w:r w:rsidRPr="005149C4">
        <w:t xml:space="preserve">profesional en las ramas de Psicología y Trabajo Social. </w:t>
      </w:r>
    </w:p>
    <w:p w14:paraId="0318CA80" w14:textId="0D5A19E9" w:rsidR="00480462" w:rsidRPr="005149C4" w:rsidRDefault="00CB7F0B" w:rsidP="00CB7F0B">
      <w:r w:rsidRPr="005149C4">
        <w:t>Este recurso humano, forma parte de las correspondientes dependencias y jurisdicciones a nivel nacional (Departamento de Trabajo Social y Psicología, específicamente a cada oficina regional, Despachos jurisdiccionales, Ministerio Público y Defensa Pública</w:t>
      </w:r>
      <w:r w:rsidR="0028306F" w:rsidRPr="005149C4">
        <w:t>)</w:t>
      </w:r>
      <w:r w:rsidRPr="005149C4">
        <w:t>.</w:t>
      </w:r>
    </w:p>
    <w:p w14:paraId="351ABFB3" w14:textId="7F8EC421" w:rsidR="00C928AC" w:rsidRPr="005149C4" w:rsidRDefault="00CD1D95" w:rsidP="00594E59">
      <w:r w:rsidRPr="005149C4">
        <w:t xml:space="preserve">Mediante correo </w:t>
      </w:r>
      <w:r w:rsidR="005E1DF4" w:rsidRPr="005149C4">
        <w:t>electrónico, en fecha 31 de enero del 202</w:t>
      </w:r>
      <w:r w:rsidR="007C4D64" w:rsidRPr="005149C4">
        <w:t>3</w:t>
      </w:r>
      <w:r w:rsidR="005E1DF4" w:rsidRPr="005149C4">
        <w:t xml:space="preserve">, es recibido por parte de la oficina de Justicia Restaurativa, </w:t>
      </w:r>
      <w:r w:rsidR="00C21A65" w:rsidRPr="005149C4">
        <w:t xml:space="preserve">el informe de labores </w:t>
      </w:r>
      <w:r w:rsidR="005E1DF4" w:rsidRPr="005149C4">
        <w:t xml:space="preserve">correspondiente al </w:t>
      </w:r>
      <w:r w:rsidR="00505518" w:rsidRPr="005149C4">
        <w:t>año 202</w:t>
      </w:r>
      <w:r w:rsidRPr="005149C4">
        <w:t>2</w:t>
      </w:r>
      <w:r w:rsidR="00505518" w:rsidRPr="005149C4">
        <w:t xml:space="preserve"> (ver apéndice</w:t>
      </w:r>
      <w:r w:rsidR="00363123" w:rsidRPr="005149C4">
        <w:t xml:space="preserve"> </w:t>
      </w:r>
      <w:r w:rsidR="0090787D" w:rsidRPr="005149C4">
        <w:t>3</w:t>
      </w:r>
      <w:r w:rsidR="00505518" w:rsidRPr="005149C4">
        <w:t>)</w:t>
      </w:r>
      <w:r w:rsidR="00712388" w:rsidRPr="005149C4">
        <w:t>.</w:t>
      </w:r>
      <w:r w:rsidR="00C21A65" w:rsidRPr="005149C4">
        <w:t xml:space="preserve"> </w:t>
      </w:r>
    </w:p>
    <w:p w14:paraId="6EBB524A" w14:textId="6E995EAD" w:rsidR="00FA1341" w:rsidRPr="005149C4" w:rsidRDefault="00C928AC" w:rsidP="00594E59">
      <w:r w:rsidRPr="005149C4">
        <w:lastRenderedPageBreak/>
        <w:t>Por parte</w:t>
      </w:r>
      <w:r w:rsidR="009F74EB" w:rsidRPr="005149C4">
        <w:t xml:space="preserve"> del </w:t>
      </w:r>
      <w:r w:rsidRPr="005149C4">
        <w:t>Departamento de Trabajo Social y Psicología se destinó una plaza de Profesional en Trabajo Social y Psicología para asumir labores de coordinación de los equipos psicosociales</w:t>
      </w:r>
      <w:r w:rsidR="007F29F9" w:rsidRPr="005149C4">
        <w:t xml:space="preserve"> desde el 2021</w:t>
      </w:r>
      <w:r w:rsidR="003204A4" w:rsidRPr="005149C4">
        <w:t xml:space="preserve">, sustentado </w:t>
      </w:r>
      <w:r w:rsidR="006B18A9" w:rsidRPr="005149C4">
        <w:t>en los siguientes puntos:</w:t>
      </w:r>
    </w:p>
    <w:p w14:paraId="0D9638A5" w14:textId="721CA2C3" w:rsidR="003C2F65" w:rsidRPr="005149C4" w:rsidRDefault="006B18A9" w:rsidP="006E06EB">
      <w:pPr>
        <w:pStyle w:val="Prrafodelista"/>
        <w:numPr>
          <w:ilvl w:val="0"/>
          <w:numId w:val="16"/>
        </w:numPr>
        <w:ind w:left="284"/>
      </w:pPr>
      <w:r w:rsidRPr="005149C4">
        <w:t>En</w:t>
      </w:r>
      <w:r w:rsidR="00EE4E2B" w:rsidRPr="005149C4">
        <w:t xml:space="preserve"> </w:t>
      </w:r>
      <w:r w:rsidR="00327075" w:rsidRPr="005149C4">
        <w:t xml:space="preserve">oficio PJ-DGH-SAP-36-2020, las licenciadas Waiman Hin Herrera, Subdirectora interina de Gestión Humana y la </w:t>
      </w:r>
      <w:r w:rsidR="00791F23" w:rsidRPr="005149C4">
        <w:t xml:space="preserve">Licda. </w:t>
      </w:r>
      <w:r w:rsidR="00327075" w:rsidRPr="005149C4">
        <w:t>María Gabriela Mora Zamora, Jefa de Sección de Análisis de Puestos comunicaron</w:t>
      </w:r>
      <w:r w:rsidR="003C2F65" w:rsidRPr="005149C4">
        <w:t>:</w:t>
      </w:r>
    </w:p>
    <w:p w14:paraId="1F135660" w14:textId="77777777" w:rsidR="006B18A9" w:rsidRPr="005149C4" w:rsidRDefault="006B18A9" w:rsidP="006B18A9">
      <w:pPr>
        <w:pStyle w:val="Prrafodelista"/>
        <w:spacing w:before="0"/>
        <w:ind w:left="284"/>
      </w:pPr>
    </w:p>
    <w:p w14:paraId="63978BF2" w14:textId="5D334C41" w:rsidR="003C2F65" w:rsidRPr="005149C4" w:rsidRDefault="003C2F65" w:rsidP="006B18A9">
      <w:pPr>
        <w:shd w:val="clear" w:color="auto" w:fill="FFFFFF"/>
        <w:spacing w:before="0" w:after="0" w:line="240" w:lineRule="auto"/>
        <w:ind w:left="851" w:right="851" w:firstLine="709"/>
        <w:rPr>
          <w:i/>
          <w:iCs/>
        </w:rPr>
      </w:pPr>
      <w:r w:rsidRPr="005149C4">
        <w:rPr>
          <w:i/>
          <w:iCs/>
        </w:rPr>
        <w:t>“La Secretaría General de la Corte, mediante el oficio N° 12794-19 de fecha 04 de noviembre del año en curso, pone en conocimiento de esta Dirección lo acordado por el Consejo Superior en sesión N.º 103-19 celebrada el 04 de diciembre de 2019, artículo XCV, según se cita a continuación:</w:t>
      </w:r>
    </w:p>
    <w:p w14:paraId="140137A7" w14:textId="77777777" w:rsidR="005C6D4A" w:rsidRPr="005149C4" w:rsidRDefault="005C6D4A" w:rsidP="003C2F65">
      <w:pPr>
        <w:shd w:val="clear" w:color="auto" w:fill="FFFFFF"/>
        <w:spacing w:before="0" w:after="0" w:line="240" w:lineRule="auto"/>
        <w:ind w:left="851" w:right="851" w:firstLine="709"/>
        <w:rPr>
          <w:i/>
          <w:iCs/>
        </w:rPr>
      </w:pPr>
    </w:p>
    <w:p w14:paraId="47E0BC39" w14:textId="0DC0B393" w:rsidR="003C2F65" w:rsidRPr="005149C4" w:rsidRDefault="003C2F65" w:rsidP="003C2F65">
      <w:pPr>
        <w:shd w:val="clear" w:color="auto" w:fill="FFFFFF"/>
        <w:spacing w:before="0" w:after="0" w:line="240" w:lineRule="auto"/>
        <w:ind w:left="851" w:right="851" w:firstLine="709"/>
        <w:rPr>
          <w:i/>
          <w:iCs/>
        </w:rPr>
      </w:pPr>
      <w:r w:rsidRPr="005149C4">
        <w:rPr>
          <w:i/>
          <w:iCs/>
        </w:rPr>
        <w:t>“Acoger la solicitud presentada en oficio N° 173–DNJR-19, del 14 de noviembre de 2019, por el máster Rafael Segura Bonilla, magistrado de la Sala Tercera y Rector de Justicia Restaurativa y la máster Alba Gutiérrez Villalobos, Jefa del Departamento de Trabajo Social y Psicología, en consecuencia: 1.) Trasladar el presenta acuerdo a la Dirección de Planificación para lo relativo al cambio de nomenclatura de profesional 2 de Justicia Restaurativa del Departamento de Trabajo Social y Psicología, a Coordinador de Unidad 3, para la “Unidad </w:t>
      </w:r>
      <w:bookmarkStart w:id="3" w:name="_Hlk26790820"/>
      <w:r w:rsidRPr="005149C4">
        <w:rPr>
          <w:i/>
          <w:iCs/>
        </w:rPr>
        <w:t>de Coordinación de Justicia Restaurativa del Departamento de Trabajo Social y Psicología</w:t>
      </w:r>
      <w:bookmarkEnd w:id="3"/>
      <w:r w:rsidRPr="005149C4">
        <w:rPr>
          <w:i/>
          <w:iCs/>
        </w:rPr>
        <w:t>”, conforme la Ley de Justicia Restaurativa N°9582.  2.) Autorizar que las plazas vacantes y las que en adelante se creen para el Programa de Justicia Restaurativa del Departamento de Trabajo Social y Psicología, estén adscritas a la sede central de este, lo anterior, con la finalidad que, en caso necesario para mejor servicio, movilizar el personal de los equipos psicosociales al circuito judicial donde sea requerido”.</w:t>
      </w:r>
    </w:p>
    <w:p w14:paraId="34B5C0D5" w14:textId="77777777" w:rsidR="005C6D4A" w:rsidRPr="005149C4" w:rsidRDefault="005C6D4A" w:rsidP="003C2F65">
      <w:pPr>
        <w:shd w:val="clear" w:color="auto" w:fill="FFFFFF"/>
        <w:spacing w:before="0" w:after="0" w:line="240" w:lineRule="auto"/>
        <w:ind w:left="851" w:right="851" w:firstLine="709"/>
        <w:rPr>
          <w:i/>
          <w:iCs/>
        </w:rPr>
      </w:pPr>
    </w:p>
    <w:p w14:paraId="13A1B379" w14:textId="3BB36839" w:rsidR="003C2F65" w:rsidRPr="005149C4" w:rsidRDefault="003C2F65" w:rsidP="003C2F65">
      <w:pPr>
        <w:shd w:val="clear" w:color="auto" w:fill="FFFFFF"/>
        <w:spacing w:before="0" w:after="0" w:line="240" w:lineRule="auto"/>
        <w:ind w:left="851" w:right="851" w:firstLine="709"/>
        <w:rPr>
          <w:i/>
          <w:iCs/>
        </w:rPr>
      </w:pPr>
      <w:r w:rsidRPr="005149C4">
        <w:rPr>
          <w:i/>
          <w:iCs/>
        </w:rPr>
        <w:t>Sobre lo anterior, lo que procede técnicamente es que en primera instancia la </w:t>
      </w:r>
      <w:bookmarkStart w:id="4" w:name="_Hlk29801652"/>
      <w:r w:rsidRPr="005149C4">
        <w:rPr>
          <w:i/>
          <w:iCs/>
        </w:rPr>
        <w:t>Dirección de Planificación </w:t>
      </w:r>
      <w:bookmarkEnd w:id="4"/>
      <w:r w:rsidRPr="005149C4">
        <w:rPr>
          <w:i/>
          <w:iCs/>
        </w:rPr>
        <w:t xml:space="preserve">defina la ubicación y la conveniencia de una “Unidad de Coordinación de Justicia Restaurativa” para los parámetros propios su competencia; dentro de la estructura orgánica funcional del Departamento de Trabajo Social y Psicología o fuera de éste, para el adecuado ejercicio de las funciones en esa materia; por cuanto es de conocimiento también de esa instancia superior que la Dirección de Planificación se encuentra en desarrollo de un informe </w:t>
      </w:r>
      <w:r w:rsidRPr="005149C4">
        <w:rPr>
          <w:i/>
          <w:iCs/>
        </w:rPr>
        <w:lastRenderedPageBreak/>
        <w:t>relacionado precisamente estructura organizativa del “Programa de Justicia Restaurativa”.</w:t>
      </w:r>
    </w:p>
    <w:p w14:paraId="6CB21910" w14:textId="77777777" w:rsidR="005C6D4A" w:rsidRPr="005149C4" w:rsidRDefault="005C6D4A" w:rsidP="003C2F65">
      <w:pPr>
        <w:shd w:val="clear" w:color="auto" w:fill="FFFFFF"/>
        <w:spacing w:before="0" w:after="0" w:line="240" w:lineRule="auto"/>
        <w:ind w:left="851" w:right="851" w:firstLine="709"/>
        <w:rPr>
          <w:i/>
          <w:iCs/>
        </w:rPr>
      </w:pPr>
    </w:p>
    <w:p w14:paraId="3D6ED77D" w14:textId="4DD45636" w:rsidR="003C2F65" w:rsidRPr="005149C4" w:rsidRDefault="003C2F65" w:rsidP="003C2F65">
      <w:pPr>
        <w:shd w:val="clear" w:color="auto" w:fill="FFFFFF"/>
        <w:spacing w:before="0" w:after="0" w:line="240" w:lineRule="auto"/>
        <w:ind w:left="851" w:right="851" w:firstLine="709"/>
        <w:rPr>
          <w:i/>
          <w:iCs/>
        </w:rPr>
      </w:pPr>
      <w:r w:rsidRPr="005149C4">
        <w:rPr>
          <w:i/>
          <w:iCs/>
        </w:rPr>
        <w:t>Es así, que una vez que se tenga los resultados de esta investigación se procederá desde esta instancia técnica a revisar lo que corresponda.”</w:t>
      </w:r>
    </w:p>
    <w:p w14:paraId="0D52585B" w14:textId="6ADB8AD1" w:rsidR="003C2F65" w:rsidRPr="005149C4" w:rsidRDefault="003C2F65" w:rsidP="00594E59">
      <w:r w:rsidRPr="005149C4">
        <w:t>Sobre lo anterior, se ac</w:t>
      </w:r>
      <w:r w:rsidR="007C676F" w:rsidRPr="005149C4">
        <w:t>ordó</w:t>
      </w:r>
      <w:r w:rsidRPr="005149C4">
        <w:t xml:space="preserve"> en sesión 12-2020 del Consejo Superior, celebrada el 13 de febrero de 2020, artículo LI:</w:t>
      </w:r>
    </w:p>
    <w:p w14:paraId="62442A7D" w14:textId="32B2D7BB" w:rsidR="003C2F65" w:rsidRPr="005149C4" w:rsidRDefault="003C2F65" w:rsidP="000A755A">
      <w:pPr>
        <w:spacing w:after="120" w:line="240" w:lineRule="auto"/>
        <w:ind w:left="1134" w:right="902"/>
        <w:rPr>
          <w:i/>
          <w:iCs/>
        </w:rPr>
      </w:pPr>
      <w:r w:rsidRPr="005149C4">
        <w:rPr>
          <w:i/>
          <w:iCs/>
        </w:rPr>
        <w:t>“Tomar nota de la comunicación realizada por las licenciadas Waiman Hin Herrera, Subdirectora interina de Gestión Humana y María Gabriela Mora Zamora, Jefa de Sección de Análisis de Puestos, en oficio N° PJ-DGH-SAP-36-2020 del 31 de enero de 2020. 2.) Hacer este acuerdo de conocimiento de la Dirección de Planificación, para que sea tomado en cuenta dentro del informe de la estructura organizativa del “Programa de Justicia Restaurativa”.”</w:t>
      </w:r>
    </w:p>
    <w:p w14:paraId="11227F07" w14:textId="77777777" w:rsidR="003C2F65" w:rsidRPr="005149C4" w:rsidRDefault="003C2F65" w:rsidP="003C2F65">
      <w:pPr>
        <w:spacing w:before="0" w:after="0" w:line="240" w:lineRule="auto"/>
      </w:pPr>
    </w:p>
    <w:p w14:paraId="19E3F2FF" w14:textId="22A4C2EA" w:rsidR="00FA1341" w:rsidRPr="005149C4" w:rsidRDefault="00FA1341" w:rsidP="006E06EB">
      <w:pPr>
        <w:pStyle w:val="Prrafodelista"/>
        <w:numPr>
          <w:ilvl w:val="0"/>
          <w:numId w:val="16"/>
        </w:numPr>
        <w:ind w:left="426"/>
      </w:pPr>
      <w:r w:rsidRPr="005149C4">
        <w:t xml:space="preserve">En oficio </w:t>
      </w:r>
      <w:r w:rsidR="00EE4E2B" w:rsidRPr="005149C4">
        <w:t xml:space="preserve">133-DNJR-20 remitido el 25 de junio del 2020 por el Magistrado Gerardo Rubén Alfaro Vargas, Rector de Justicia Restaurativa </w:t>
      </w:r>
      <w:r w:rsidR="007C676F" w:rsidRPr="005149C4">
        <w:t>se realizó la siguiente comunicación:</w:t>
      </w:r>
    </w:p>
    <w:p w14:paraId="76EA02E5" w14:textId="5918E4B4" w:rsidR="0042585D" w:rsidRPr="005149C4" w:rsidRDefault="005B4E92" w:rsidP="00733AB1">
      <w:pPr>
        <w:spacing w:before="120" w:after="0" w:line="240" w:lineRule="auto"/>
        <w:ind w:left="1134" w:right="900"/>
        <w:rPr>
          <w:i/>
          <w:iCs/>
        </w:rPr>
      </w:pPr>
      <w:r w:rsidRPr="005149C4">
        <w:rPr>
          <w:i/>
          <w:iCs/>
        </w:rPr>
        <w:t>“… no resulta necesario que sea considerado dentro de la estructura de la Dirección de Justicia Restaurativa, conforme el análisis que continua en la Dirección de Planificación. Por el contrario instamos para que pueda ejecutarse lo antes posible el acuerdo del Consejo Superior y se realice el cambio de nomenclatura de profesional 2 de Justicia Restaurativa del Departamento de Trabajo Social y Psicología, a Coordinador de Unidad 3 para la “Unidad de Coordinación de Justicia Restaurativa del Departamento de Trabajo Social y Psicología.”</w:t>
      </w:r>
      <w:r w:rsidR="005C6D4A" w:rsidRPr="005149C4">
        <w:rPr>
          <w:i/>
          <w:iCs/>
        </w:rPr>
        <w:t>.</w:t>
      </w:r>
    </w:p>
    <w:p w14:paraId="2B0AA261" w14:textId="77777777" w:rsidR="00733AB1" w:rsidRPr="005149C4" w:rsidRDefault="00733AB1" w:rsidP="00733AB1">
      <w:pPr>
        <w:spacing w:before="120" w:after="0" w:line="240" w:lineRule="auto"/>
        <w:ind w:left="1134" w:right="900"/>
        <w:rPr>
          <w:i/>
          <w:iCs/>
        </w:rPr>
      </w:pPr>
    </w:p>
    <w:p w14:paraId="16775421" w14:textId="7AE33839" w:rsidR="00DD1885" w:rsidRPr="005149C4" w:rsidRDefault="0042585D" w:rsidP="000A755A">
      <w:pPr>
        <w:spacing w:before="0"/>
      </w:pPr>
      <w:r w:rsidRPr="005149C4">
        <w:t xml:space="preserve">Actualmente, </w:t>
      </w:r>
      <w:r w:rsidR="00246CAB" w:rsidRPr="005149C4">
        <w:t>la Oficina Rectora de Justicia Restaurativa está trabajando b</w:t>
      </w:r>
      <w:r w:rsidR="00E269C1" w:rsidRPr="005149C4">
        <w:t xml:space="preserve">ajo esta línea, </w:t>
      </w:r>
      <w:r w:rsidR="00246CAB" w:rsidRPr="005149C4">
        <w:t xml:space="preserve">por </w:t>
      </w:r>
      <w:r w:rsidR="001B198C" w:rsidRPr="005149C4">
        <w:t xml:space="preserve">lo que </w:t>
      </w:r>
      <w:r w:rsidR="00E269C1" w:rsidRPr="005149C4">
        <w:t>se cuenta con 2</w:t>
      </w:r>
      <w:r w:rsidR="007D1BB1" w:rsidRPr="005149C4">
        <w:t>2</w:t>
      </w:r>
      <w:r w:rsidR="00E269C1" w:rsidRPr="005149C4">
        <w:t xml:space="preserve"> plazas de profesionales del Departamento de Trabajo Social y Psicología que integran los equipos psicosociales y una plaza que</w:t>
      </w:r>
      <w:r w:rsidR="00246CAB" w:rsidRPr="005149C4">
        <w:t xml:space="preserve"> se está </w:t>
      </w:r>
      <w:r w:rsidR="00E22248" w:rsidRPr="005149C4">
        <w:t>empleando en</w:t>
      </w:r>
      <w:r w:rsidR="00E269C1" w:rsidRPr="005149C4">
        <w:t xml:space="preserve"> labores de coordinación.</w:t>
      </w:r>
      <w:r w:rsidR="0014007B" w:rsidRPr="005149C4">
        <w:t xml:space="preserve"> </w:t>
      </w:r>
    </w:p>
    <w:p w14:paraId="77DBF3C0" w14:textId="35C30A85" w:rsidR="008617A2" w:rsidRPr="005149C4" w:rsidRDefault="008617A2" w:rsidP="000A755A">
      <w:pPr>
        <w:spacing w:before="0"/>
      </w:pPr>
      <w:r w:rsidRPr="005149C4">
        <w:t>Relacionado con esta situación, se cuenta con el antece</w:t>
      </w:r>
      <w:r w:rsidR="00BB01BE" w:rsidRPr="005149C4">
        <w:t xml:space="preserve">dente del informe </w:t>
      </w:r>
      <w:r w:rsidR="005B002B" w:rsidRPr="005149C4">
        <w:t xml:space="preserve">1585-PLA-2009 aprobado en sesión del Consejo Superior </w:t>
      </w:r>
      <w:r w:rsidR="00786ADD" w:rsidRPr="005149C4">
        <w:t>103-2009, artículo LXII, celebrada el 12 de noviembre de 2009 en el que se acuerda:</w:t>
      </w:r>
    </w:p>
    <w:p w14:paraId="66B3F2CD" w14:textId="5ECE59AB" w:rsidR="00786ADD" w:rsidRPr="005149C4" w:rsidRDefault="00786ADD" w:rsidP="00AE4E6D">
      <w:pPr>
        <w:spacing w:before="0"/>
        <w:ind w:left="851" w:right="616"/>
        <w:rPr>
          <w:i/>
          <w:iCs/>
        </w:rPr>
      </w:pPr>
      <w:r w:rsidRPr="005149C4">
        <w:t>“</w:t>
      </w:r>
      <w:r w:rsidRPr="005149C4">
        <w:rPr>
          <w:i/>
        </w:rPr>
        <w:t>1.) Tener por recibido el informe N°1585-PLA-2009 del Departamento de Planificación, relacionado con el "Estudio sobre la posibilidad de que los cargos de coordinación en la Defensa Pública no sean permanentes sino sujetos a plazo, como ocurre en el caso de los jueces". 2.) Disponer que a partir de la fecha de este acuerdo, el cargo de Defensor Público Coordinador no estará creado como tal sino que las plazas tendrán la categoría de Defensor 2 y el servidor que asume la coordinación por un periodo de dos años, conforme lo recomienda el informe del Departamento de Planificación y que este Consejo acoge, recibirá un plus que el Departamento de Personal deberá estudiar y recomendar a este Consejo para su aprobación.</w:t>
      </w:r>
      <w:r w:rsidRPr="005149C4">
        <w:rPr>
          <w:i/>
          <w:iCs/>
        </w:rPr>
        <w:t>”</w:t>
      </w:r>
    </w:p>
    <w:p w14:paraId="369DFA1C" w14:textId="3F5527FD" w:rsidR="005648D5" w:rsidRPr="005149C4" w:rsidRDefault="005648D5" w:rsidP="005648D5">
      <w:pPr>
        <w:shd w:val="clear" w:color="auto" w:fill="FFFFFF"/>
        <w:rPr>
          <w:rFonts w:cs="Calibri"/>
          <w:lang w:val="es-ES_tradnl"/>
        </w:rPr>
      </w:pPr>
      <w:r w:rsidRPr="005149C4">
        <w:t>Según los lineamientos establecidos por Consejo Superior en sesión  13-19 del 15 de febrero de 2019, artículo XIX, se dispuso hacer de conocimiento a todas las personas servidoras judiciales que la Dirección de Gestión Humana atenderá únicamente aquellas solicitudes de análisis y revisión en materia de Clasificación y Valoración de puestos que obligatoriamente respondan:</w:t>
      </w:r>
      <w:r w:rsidRPr="005149C4">
        <w:rPr>
          <w:rFonts w:cs="Calibri"/>
          <w:sz w:val="22"/>
          <w:bdr w:val="none" w:sz="0" w:space="0" w:color="auto" w:frame="1"/>
          <w:lang w:val="es-MX" w:eastAsia="es-CR"/>
        </w:rPr>
        <w:t xml:space="preserve"> </w:t>
      </w:r>
      <w:r w:rsidRPr="005149C4">
        <w:rPr>
          <w:rFonts w:cs="Calibri"/>
          <w:b/>
          <w:bCs/>
          <w:i/>
          <w:iCs/>
          <w:sz w:val="22"/>
          <w:bdr w:val="none" w:sz="0" w:space="0" w:color="auto" w:frame="1"/>
          <w:lang w:val="es-MX" w:eastAsia="es-CR"/>
        </w:rPr>
        <w:t>“… como resultado de recomendaciones emitidas en los informes técnicos elaborados por la Dirección de Planificación y aprobados por los órganos superiores a saber Consejo Superior y Corte Plena…”</w:t>
      </w:r>
      <w:r w:rsidRPr="005149C4">
        <w:rPr>
          <w:rFonts w:cs="Calibri"/>
          <w:b/>
          <w:bCs/>
          <w:i/>
          <w:iCs/>
          <w:bdr w:val="none" w:sz="0" w:space="0" w:color="auto" w:frame="1"/>
          <w:lang w:val="es-MX" w:eastAsia="es-CR"/>
        </w:rPr>
        <w:t xml:space="preserve">  </w:t>
      </w:r>
      <w:r w:rsidRPr="005149C4">
        <w:rPr>
          <w:rFonts w:cs="Calibri"/>
          <w:bCs/>
          <w:snapToGrid w:val="0"/>
        </w:rPr>
        <w:t>y comunicado mediante la Circular No. 25-2019 sobre “</w:t>
      </w:r>
      <w:r w:rsidRPr="005149C4">
        <w:rPr>
          <w:rFonts w:cs="Calibri"/>
          <w:bCs/>
          <w:i/>
          <w:iCs/>
          <w:snapToGrid w:val="0"/>
        </w:rPr>
        <w:t>Lineamientos de restricción relacionados con</w:t>
      </w:r>
      <w:r w:rsidRPr="005149C4">
        <w:rPr>
          <w:rFonts w:cs="Calibri"/>
          <w:i/>
          <w:iCs/>
          <w:lang w:val="es-ES_tradnl"/>
        </w:rPr>
        <w:t xml:space="preserve"> el Sistema de Clasificación y Valoración de Puestos”</w:t>
      </w:r>
      <w:r w:rsidRPr="005149C4">
        <w:rPr>
          <w:rFonts w:cs="Calibri"/>
          <w:lang w:val="es-ES_tradnl"/>
        </w:rPr>
        <w:t xml:space="preserve">. </w:t>
      </w:r>
      <w:r w:rsidRPr="005149C4">
        <w:t>En donde se indica:</w:t>
      </w:r>
    </w:p>
    <w:p w14:paraId="2D52DD46" w14:textId="014F0AC6" w:rsidR="005648D5" w:rsidRPr="00BD1F3D" w:rsidRDefault="005648D5" w:rsidP="00BD1F3D">
      <w:pPr>
        <w:ind w:left="486" w:right="459"/>
        <w:rPr>
          <w:i/>
        </w:rPr>
      </w:pPr>
      <w:r w:rsidRPr="005149C4">
        <w:rPr>
          <w:i/>
        </w:rPr>
        <w:t xml:space="preserve">“4… C). Es indispensable considerar que de conformidad con el artículo 5º de la Ley de Salarios del Poder Judicial, las reasignaciones propuestas en los informes quedan sujetas a la disponibilidad presupuestaria de la institución; de igual manera y en apego al numeral 6º de la misma norma jurídica, debe condicionarse al período fiscal en que el cambio sea posible aplicarlo y el inciso f) del artículo 110 de la Ley de la Administración Financiera de la República y Presupuesto Públicos, claramente establece que son hechos generadores de responsabilidad administrativa“…la autorización o realización de compromisos o erogaciones sin que exista contenido económico suficiente, debidamente presupuestado…”. También lo establecido por la Corte Plena, en la sesión N° 09-12 celebrada el 5 de marzo del 2012, artículo XVII que indica: “… 1.11. Reconocer las reasignaciones en el salario a partir del momento en que se cuente con contenido presupuestario, conforme lo establece la legislación vigente…”. </w:t>
      </w:r>
    </w:p>
    <w:p w14:paraId="20317E00" w14:textId="08CDBC7B" w:rsidR="00DA31E7" w:rsidRPr="005149C4" w:rsidRDefault="005237B6" w:rsidP="00DA31E7">
      <w:pPr>
        <w:spacing w:before="0"/>
      </w:pPr>
      <w:r w:rsidRPr="005149C4">
        <w:t>En línea con lo anterior</w:t>
      </w:r>
      <w:r w:rsidR="00DA31E7" w:rsidRPr="005149C4">
        <w:t xml:space="preserve">, mediante oficio </w:t>
      </w:r>
      <w:r w:rsidR="00DA31E7" w:rsidRPr="005149C4">
        <w:rPr>
          <w:rFonts w:ascii="Times New Roman" w:hAnsi="Times New Roman"/>
          <w:szCs w:val="24"/>
          <w:lang w:eastAsia="es-ES"/>
        </w:rPr>
        <w:t xml:space="preserve">659-PLA-OI-PE-2022 </w:t>
      </w:r>
      <w:r w:rsidR="00DA31E7" w:rsidRPr="005149C4">
        <w:t xml:space="preserve">de fecha 26 de julio de 2022, conocido por Consejo Superior en sesión 70-2022, celebrada el 18 de agosto de 2022, artículo XL de la Dirección de Planificación, referente al </w:t>
      </w:r>
      <w:r w:rsidR="00DA31E7" w:rsidRPr="005149C4">
        <w:rPr>
          <w:rFonts w:cs="Arial"/>
          <w:szCs w:val="24"/>
          <w:lang w:eastAsia="es-ES"/>
        </w:rPr>
        <w:t>estudio efectuado sobre la necesidad de recalificar una plaza de Trabajador Social a Coordinador de Unidad 3, para la Unidad de Coordinación de Justicia Restaurativa en el Departamento de Trabajo Social y Psicología</w:t>
      </w:r>
      <w:r w:rsidR="00DA31E7" w:rsidRPr="005149C4">
        <w:t>, en donde literalmente se indica:</w:t>
      </w:r>
    </w:p>
    <w:p w14:paraId="5D8AD566" w14:textId="235328A2" w:rsidR="005237B6" w:rsidRPr="005149C4" w:rsidRDefault="00DA31E7" w:rsidP="00DA31E7">
      <w:pPr>
        <w:spacing w:before="0" w:after="0"/>
        <w:ind w:left="709"/>
        <w:rPr>
          <w:rFonts w:eastAsia="Times New Roman" w:cs="Book Antiqua"/>
          <w:i/>
          <w:iCs/>
          <w:szCs w:val="24"/>
          <w:lang w:val="es-ES" w:eastAsia="es-ES"/>
        </w:rPr>
      </w:pPr>
      <w:r w:rsidRPr="005149C4">
        <w:rPr>
          <w:rFonts w:eastAsia="Times New Roman" w:cs="Book Antiqua"/>
          <w:i/>
          <w:iCs/>
          <w:szCs w:val="24"/>
          <w:lang w:val="es-ES" w:eastAsia="es-ES"/>
        </w:rPr>
        <w:t>“Se acordó: 1) Tener por rendido el informe N°659-PLA-OI-PE-2022 relacionado con el estudio efectuado sobre la necesidad de recalificar una plaza de Trabajador Social a Coordinador de Unidad 3, para la Unidad de Coordinación de Justicia Restaurativa en el Departamento de Trabajo Social y Psicología. 2) Aprobar todas las recomendaciones dirigidas a este Consejo Superior correspondientes a: a) Se crea formalmente dentro de la estructura organizacional del Departamento de Trabajo Social y Psicología la “Unidad de Coordinación de Justicia Restaurativa”, para que dependa jerárquicamente de las jefaturas del DTSP, tal como se visualiza en el Organigrama del punto 3.1. del presente informe. b) Se aprueba el escenario dos, el cual implica reconocer un plus salarial por las funciones de Coordinación, con el apoyo de la Subjefatura del Departamento de Trabajo Social y Psicología, manteniendo las tareas sustantivas del puesto de Perito Judicial 2 en menor porcentaje, y con la discrecionalidad de revisar cada dos años el desempeño de la persona que funge como Coordinadora (con la finalidad de definir si continúa o se sustituye por otra persona profesional de Justicia Restaurativa).”</w:t>
      </w:r>
    </w:p>
    <w:p w14:paraId="484A8DCB" w14:textId="77777777" w:rsidR="00DA31E7" w:rsidRPr="005149C4" w:rsidRDefault="00DA31E7" w:rsidP="00DA31E7">
      <w:pPr>
        <w:spacing w:before="0" w:after="0"/>
        <w:ind w:left="709"/>
        <w:rPr>
          <w:rFonts w:eastAsia="Times New Roman" w:cs="Book Antiqua"/>
          <w:i/>
          <w:iCs/>
          <w:szCs w:val="24"/>
          <w:lang w:val="es-ES" w:eastAsia="es-ES"/>
        </w:rPr>
      </w:pPr>
    </w:p>
    <w:p w14:paraId="319F5F18" w14:textId="3ECA207F" w:rsidR="00DD7E11" w:rsidRPr="005149C4" w:rsidRDefault="00D26F4A" w:rsidP="00594E59">
      <w:r w:rsidRPr="005149C4">
        <w:t>Por otra parte, se actualiza a enero 202</w:t>
      </w:r>
      <w:r w:rsidR="007C4D64" w:rsidRPr="005149C4">
        <w:t>3</w:t>
      </w:r>
      <w:r w:rsidRPr="005149C4">
        <w:t xml:space="preserve"> la cobertura por Circuito Judicial en las diferentes materias. El detalle correspondiente se muestra a continuación:</w:t>
      </w:r>
      <w:r w:rsidR="00591B69" w:rsidRPr="005149C4">
        <w:t xml:space="preserve"> </w:t>
      </w:r>
    </w:p>
    <w:p w14:paraId="52480109" w14:textId="4DB02F53" w:rsidR="00DD695C" w:rsidRPr="005149C4" w:rsidRDefault="00DD695C" w:rsidP="00DD695C">
      <w:pPr>
        <w:tabs>
          <w:tab w:val="left" w:pos="0"/>
        </w:tabs>
        <w:jc w:val="center"/>
        <w:rPr>
          <w:b/>
          <w:bCs/>
          <w:sz w:val="20"/>
          <w:szCs w:val="20"/>
        </w:rPr>
      </w:pPr>
      <w:bookmarkStart w:id="5" w:name="_Ref31006745"/>
      <w:bookmarkStart w:id="6" w:name="_Ref30774968"/>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w:t>
      </w:r>
      <w:r w:rsidRPr="005149C4">
        <w:rPr>
          <w:b/>
          <w:bCs/>
          <w:sz w:val="20"/>
          <w:szCs w:val="20"/>
        </w:rPr>
        <w:fldChar w:fldCharType="end"/>
      </w:r>
      <w:bookmarkEnd w:id="5"/>
      <w:r w:rsidRPr="005149C4">
        <w:rPr>
          <w:b/>
          <w:bCs/>
          <w:sz w:val="20"/>
          <w:szCs w:val="20"/>
        </w:rPr>
        <w:t xml:space="preserve">. Abordaje de Justicia Restaurativa según circuito y materia </w:t>
      </w:r>
      <w:r w:rsidR="003204A4" w:rsidRPr="005149C4">
        <w:rPr>
          <w:b/>
          <w:bCs/>
          <w:sz w:val="20"/>
          <w:szCs w:val="20"/>
        </w:rPr>
        <w:t>para</w:t>
      </w:r>
      <w:r w:rsidRPr="005149C4">
        <w:rPr>
          <w:b/>
          <w:bCs/>
          <w:sz w:val="20"/>
          <w:szCs w:val="20"/>
        </w:rPr>
        <w:t xml:space="preserve"> el </w:t>
      </w:r>
      <w:r w:rsidR="00595B83">
        <w:rPr>
          <w:b/>
          <w:bCs/>
          <w:sz w:val="20"/>
          <w:szCs w:val="20"/>
        </w:rPr>
        <w:t xml:space="preserve">año </w:t>
      </w:r>
      <w:r w:rsidRPr="005149C4">
        <w:rPr>
          <w:b/>
          <w:bCs/>
          <w:sz w:val="20"/>
          <w:szCs w:val="20"/>
        </w:rPr>
        <w:t>202</w:t>
      </w:r>
      <w:bookmarkEnd w:id="6"/>
      <w:r w:rsidR="00591B69" w:rsidRPr="005149C4">
        <w:rPr>
          <w:b/>
          <w:bCs/>
          <w:sz w:val="20"/>
          <w:szCs w:val="20"/>
        </w:rPr>
        <w:t>4</w:t>
      </w:r>
    </w:p>
    <w:p w14:paraId="266918D7" w14:textId="3D580E47" w:rsidR="005C6D4A" w:rsidRPr="005149C4" w:rsidRDefault="000047D3" w:rsidP="007C4D64">
      <w:pPr>
        <w:tabs>
          <w:tab w:val="left" w:pos="0"/>
        </w:tabs>
        <w:rPr>
          <w:b/>
          <w:bCs/>
          <w:sz w:val="20"/>
          <w:szCs w:val="20"/>
        </w:rPr>
      </w:pPr>
      <w:r w:rsidRPr="005149C4">
        <w:rPr>
          <w:noProof/>
        </w:rPr>
        <w:drawing>
          <wp:inline distT="0" distB="0" distL="0" distR="0" wp14:anchorId="2580B758" wp14:editId="4264C7CF">
            <wp:extent cx="5612130" cy="26130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613025"/>
                    </a:xfrm>
                    <a:prstGeom prst="rect">
                      <a:avLst/>
                    </a:prstGeom>
                    <a:noFill/>
                    <a:ln>
                      <a:noFill/>
                    </a:ln>
                  </pic:spPr>
                </pic:pic>
              </a:graphicData>
            </a:graphic>
          </wp:inline>
        </w:drawing>
      </w:r>
      <w:r w:rsidR="00DD695C" w:rsidRPr="005149C4">
        <w:rPr>
          <w:rFonts w:cs="Calibri"/>
          <w:b/>
          <w:sz w:val="20"/>
          <w:szCs w:val="20"/>
        </w:rPr>
        <w:t>Fuente:</w:t>
      </w:r>
      <w:r w:rsidR="00DD695C" w:rsidRPr="005149C4">
        <w:rPr>
          <w:rFonts w:cs="Calibri"/>
          <w:bCs/>
          <w:sz w:val="20"/>
          <w:szCs w:val="20"/>
        </w:rPr>
        <w:t xml:space="preserve"> Modernización Institucional a partir de información suministrada por parte de la Oficina Rectora de Justicia Restaurativa. </w:t>
      </w:r>
    </w:p>
    <w:p w14:paraId="7543ACBA" w14:textId="2A17FF93" w:rsidR="00AC6D47" w:rsidRPr="005149C4" w:rsidRDefault="00AC6D47" w:rsidP="00AC6D47">
      <w:pPr>
        <w:tabs>
          <w:tab w:val="left" w:pos="0"/>
        </w:tabs>
      </w:pPr>
      <w:r w:rsidRPr="005149C4">
        <w:t>A continuación, se presenta la simbología</w:t>
      </w:r>
      <w:r w:rsidRPr="005149C4">
        <w:rPr>
          <w:vertAlign w:val="superscript"/>
        </w:rPr>
        <w:footnoteReference w:id="2"/>
      </w:r>
      <w:r w:rsidRPr="005149C4">
        <w:t xml:space="preserve"> utilizada en el </w:t>
      </w:r>
      <w:r w:rsidRPr="005149C4">
        <w:fldChar w:fldCharType="begin"/>
      </w:r>
      <w:r w:rsidRPr="005149C4">
        <w:instrText xml:space="preserve"> REF _Ref30774968 \h  \* MERGEFORMAT </w:instrText>
      </w:r>
      <w:r w:rsidRPr="005149C4">
        <w:fldChar w:fldCharType="separate"/>
      </w:r>
      <w:r w:rsidR="00EC44E6" w:rsidRPr="005149C4">
        <w:t xml:space="preserve">Cuadro 1. Abordaje de Justicia Restaurativa según circuito y materia para el </w:t>
      </w:r>
      <w:r w:rsidR="00595B83">
        <w:t xml:space="preserve">año </w:t>
      </w:r>
      <w:r w:rsidR="00EC44E6" w:rsidRPr="005149C4">
        <w:t>202</w:t>
      </w:r>
      <w:r w:rsidRPr="005149C4">
        <w:fldChar w:fldCharType="end"/>
      </w:r>
      <w:r w:rsidR="00591B69" w:rsidRPr="005149C4">
        <w:t>4</w:t>
      </w:r>
      <w:r w:rsidR="00595B83">
        <w:t>.</w:t>
      </w:r>
    </w:p>
    <w:p w14:paraId="629E4D67" w14:textId="38DF84D8" w:rsidR="00D16C9B" w:rsidRPr="005149C4" w:rsidRDefault="00D16C9B" w:rsidP="00E20236">
      <w:pPr>
        <w:tabs>
          <w:tab w:val="left" w:pos="0"/>
        </w:tabs>
        <w:jc w:val="center"/>
      </w:pPr>
      <w:r w:rsidRPr="005149C4">
        <w:rPr>
          <w:noProof/>
        </w:rPr>
        <w:drawing>
          <wp:inline distT="0" distB="0" distL="0" distR="0" wp14:anchorId="11213D9C" wp14:editId="40925F9D">
            <wp:extent cx="2609557" cy="818468"/>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4691" cy="820078"/>
                    </a:xfrm>
                    <a:prstGeom prst="rect">
                      <a:avLst/>
                    </a:prstGeom>
                    <a:noFill/>
                    <a:ln>
                      <a:noFill/>
                    </a:ln>
                  </pic:spPr>
                </pic:pic>
              </a:graphicData>
            </a:graphic>
          </wp:inline>
        </w:drawing>
      </w:r>
    </w:p>
    <w:p w14:paraId="1E31F50E" w14:textId="05E55E95" w:rsidR="00485E87" w:rsidRPr="005149C4" w:rsidRDefault="00084F64" w:rsidP="00485E87">
      <w:pPr>
        <w:jc w:val="center"/>
      </w:pPr>
      <w:r w:rsidRPr="005149C4">
        <w:rPr>
          <w:noProof/>
        </w:rPr>
        <w:drawing>
          <wp:inline distT="0" distB="0" distL="0" distR="0" wp14:anchorId="29ADE417" wp14:editId="09B1E61E">
            <wp:extent cx="2289976" cy="26684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152" cy="2673283"/>
                    </a:xfrm>
                    <a:prstGeom prst="rect">
                      <a:avLst/>
                    </a:prstGeom>
                    <a:noFill/>
                    <a:ln>
                      <a:noFill/>
                    </a:ln>
                  </pic:spPr>
                </pic:pic>
              </a:graphicData>
            </a:graphic>
          </wp:inline>
        </w:drawing>
      </w:r>
    </w:p>
    <w:p w14:paraId="693C10CD" w14:textId="4CB27167" w:rsidR="00234E71" w:rsidRPr="005149C4" w:rsidRDefault="00E269C1" w:rsidP="00E269C1">
      <w:pPr>
        <w:pStyle w:val="Descripcin"/>
        <w:rPr>
          <w:b w:val="0"/>
          <w:bCs w:val="0"/>
          <w:sz w:val="24"/>
          <w:szCs w:val="22"/>
        </w:rPr>
      </w:pPr>
      <w:r w:rsidRPr="005149C4">
        <w:rPr>
          <w:b w:val="0"/>
          <w:bCs w:val="0"/>
          <w:sz w:val="24"/>
          <w:szCs w:val="22"/>
        </w:rPr>
        <w:t xml:space="preserve">En el </w:t>
      </w:r>
      <w:r w:rsidR="00642F35" w:rsidRPr="005149C4">
        <w:rPr>
          <w:b w:val="0"/>
          <w:bCs w:val="0"/>
          <w:sz w:val="24"/>
          <w:szCs w:val="22"/>
        </w:rPr>
        <w:fldChar w:fldCharType="begin"/>
      </w:r>
      <w:r w:rsidR="00642F35" w:rsidRPr="005149C4">
        <w:rPr>
          <w:b w:val="0"/>
          <w:bCs w:val="0"/>
          <w:sz w:val="24"/>
          <w:szCs w:val="22"/>
        </w:rPr>
        <w:instrText xml:space="preserve"> REF _Ref31006745 \h  \* MERGEFORMAT </w:instrText>
      </w:r>
      <w:r w:rsidR="00642F35" w:rsidRPr="005149C4">
        <w:rPr>
          <w:b w:val="0"/>
          <w:bCs w:val="0"/>
          <w:sz w:val="24"/>
          <w:szCs w:val="22"/>
        </w:rPr>
      </w:r>
      <w:r w:rsidR="00642F35" w:rsidRPr="005149C4">
        <w:rPr>
          <w:b w:val="0"/>
          <w:bCs w:val="0"/>
          <w:sz w:val="24"/>
          <w:szCs w:val="22"/>
        </w:rPr>
        <w:fldChar w:fldCharType="separate"/>
      </w:r>
      <w:r w:rsidR="00EC44E6" w:rsidRPr="005149C4">
        <w:rPr>
          <w:b w:val="0"/>
          <w:bCs w:val="0"/>
          <w:sz w:val="24"/>
          <w:szCs w:val="22"/>
        </w:rPr>
        <w:t>Cuadro 1</w:t>
      </w:r>
      <w:r w:rsidR="00642F35" w:rsidRPr="005149C4">
        <w:rPr>
          <w:b w:val="0"/>
          <w:bCs w:val="0"/>
          <w:sz w:val="24"/>
          <w:szCs w:val="22"/>
        </w:rPr>
        <w:fldChar w:fldCharType="end"/>
      </w:r>
      <w:r w:rsidR="00A67618" w:rsidRPr="005149C4">
        <w:rPr>
          <w:b w:val="0"/>
          <w:bCs w:val="0"/>
          <w:sz w:val="24"/>
          <w:szCs w:val="22"/>
        </w:rPr>
        <w:t>,</w:t>
      </w:r>
      <w:r w:rsidR="00642F35" w:rsidRPr="005149C4">
        <w:rPr>
          <w:b w:val="0"/>
          <w:bCs w:val="0"/>
          <w:sz w:val="24"/>
          <w:szCs w:val="22"/>
        </w:rPr>
        <w:t xml:space="preserve"> se muestra el detalle de los Circuitos Judiciales que tienen atención por parte de los nueve equipos de Justicia Restaurativa en la materia de Penal Adulto, los cuales se encuentran conformados por una plaza de Fiscala o Fiscal, una de Defensora o Defensor y adicionalmente con</w:t>
      </w:r>
      <w:r w:rsidR="00E05650" w:rsidRPr="005149C4">
        <w:rPr>
          <w:b w:val="0"/>
          <w:bCs w:val="0"/>
          <w:sz w:val="24"/>
          <w:szCs w:val="22"/>
        </w:rPr>
        <w:t xml:space="preserve"> soporte</w:t>
      </w:r>
      <w:r w:rsidR="00642F35" w:rsidRPr="005149C4">
        <w:rPr>
          <w:b w:val="0"/>
          <w:bCs w:val="0"/>
          <w:sz w:val="24"/>
          <w:szCs w:val="22"/>
        </w:rPr>
        <w:t xml:space="preserve"> </w:t>
      </w:r>
      <w:r w:rsidR="00E05650" w:rsidRPr="005149C4">
        <w:rPr>
          <w:b w:val="0"/>
          <w:bCs w:val="0"/>
          <w:sz w:val="24"/>
          <w:szCs w:val="22"/>
        </w:rPr>
        <w:t xml:space="preserve">Psicosocial ya sea por parte </w:t>
      </w:r>
      <w:r w:rsidR="004653C4" w:rsidRPr="005149C4">
        <w:rPr>
          <w:b w:val="0"/>
          <w:bCs w:val="0"/>
          <w:sz w:val="24"/>
          <w:szCs w:val="22"/>
        </w:rPr>
        <w:t xml:space="preserve">de </w:t>
      </w:r>
      <w:r w:rsidR="00642F35" w:rsidRPr="005149C4">
        <w:rPr>
          <w:b w:val="0"/>
          <w:bCs w:val="0"/>
          <w:sz w:val="24"/>
          <w:szCs w:val="22"/>
        </w:rPr>
        <w:t>una o dos plazas en el área</w:t>
      </w:r>
      <w:r w:rsidR="004653C4" w:rsidRPr="005149C4">
        <w:rPr>
          <w:b w:val="0"/>
          <w:bCs w:val="0"/>
          <w:sz w:val="24"/>
          <w:szCs w:val="22"/>
        </w:rPr>
        <w:t>; así como de</w:t>
      </w:r>
      <w:r w:rsidR="00642F35" w:rsidRPr="005149C4">
        <w:rPr>
          <w:b w:val="0"/>
          <w:bCs w:val="0"/>
          <w:sz w:val="24"/>
          <w:szCs w:val="22"/>
        </w:rPr>
        <w:t xml:space="preserve"> una plaza técnica o técnico Judicial</w:t>
      </w:r>
      <w:r w:rsidR="00104FDD" w:rsidRPr="005149C4">
        <w:rPr>
          <w:b w:val="0"/>
          <w:bCs w:val="0"/>
          <w:sz w:val="24"/>
          <w:szCs w:val="22"/>
        </w:rPr>
        <w:t xml:space="preserve"> a cargo la Fiscala o Fiscal de Justicia Restaurativa</w:t>
      </w:r>
      <w:r w:rsidR="00120333" w:rsidRPr="005149C4">
        <w:rPr>
          <w:b w:val="0"/>
          <w:bCs w:val="0"/>
          <w:sz w:val="24"/>
          <w:szCs w:val="22"/>
        </w:rPr>
        <w:t xml:space="preserve">. </w:t>
      </w:r>
    </w:p>
    <w:p w14:paraId="06CFBDF1" w14:textId="46404103" w:rsidR="00CE4A08" w:rsidRPr="005149C4" w:rsidRDefault="00120333" w:rsidP="00E269C1">
      <w:pPr>
        <w:pStyle w:val="Descripcin"/>
        <w:rPr>
          <w:b w:val="0"/>
          <w:bCs w:val="0"/>
          <w:sz w:val="24"/>
          <w:szCs w:val="22"/>
        </w:rPr>
      </w:pPr>
      <w:r w:rsidRPr="005149C4">
        <w:rPr>
          <w:b w:val="0"/>
          <w:bCs w:val="0"/>
          <w:sz w:val="24"/>
          <w:szCs w:val="22"/>
        </w:rPr>
        <w:t xml:space="preserve">En el caso de las personas Técnicas Judiciales, se indica que </w:t>
      </w:r>
      <w:r w:rsidR="00154A67" w:rsidRPr="005149C4">
        <w:rPr>
          <w:b w:val="0"/>
          <w:bCs w:val="0"/>
          <w:sz w:val="24"/>
          <w:szCs w:val="22"/>
        </w:rPr>
        <w:t xml:space="preserve">se cuenta con 5 plazas adscritas al Ministerio Público, las cuales están asignadas a los equipos de </w:t>
      </w:r>
      <w:r w:rsidR="00A50E85" w:rsidRPr="005149C4">
        <w:rPr>
          <w:b w:val="0"/>
          <w:bCs w:val="0"/>
          <w:sz w:val="24"/>
          <w:szCs w:val="22"/>
        </w:rPr>
        <w:t>Heredia, Cartago, I Circuito de la Zona Sur, II Circuito de la Zona Atlántica</w:t>
      </w:r>
      <w:r w:rsidR="00892CDC" w:rsidRPr="005149C4">
        <w:rPr>
          <w:b w:val="0"/>
          <w:bCs w:val="0"/>
          <w:sz w:val="24"/>
          <w:szCs w:val="22"/>
        </w:rPr>
        <w:t xml:space="preserve"> y Puntarenas</w:t>
      </w:r>
      <w:r w:rsidR="00D46651" w:rsidRPr="005149C4">
        <w:rPr>
          <w:b w:val="0"/>
          <w:bCs w:val="0"/>
          <w:sz w:val="24"/>
          <w:szCs w:val="22"/>
        </w:rPr>
        <w:t>. En el caso de las</w:t>
      </w:r>
      <w:r w:rsidRPr="005149C4" w:rsidDel="00337091">
        <w:rPr>
          <w:b w:val="0"/>
          <w:bCs w:val="0"/>
          <w:sz w:val="24"/>
          <w:szCs w:val="22"/>
        </w:rPr>
        <w:t xml:space="preserve"> </w:t>
      </w:r>
      <w:r w:rsidRPr="005149C4">
        <w:rPr>
          <w:b w:val="0"/>
          <w:bCs w:val="0"/>
          <w:sz w:val="24"/>
          <w:szCs w:val="22"/>
        </w:rPr>
        <w:t>plazas</w:t>
      </w:r>
      <w:r w:rsidR="00A24B8A" w:rsidRPr="005149C4">
        <w:rPr>
          <w:b w:val="0"/>
          <w:bCs w:val="0"/>
          <w:sz w:val="24"/>
          <w:szCs w:val="22"/>
        </w:rPr>
        <w:t xml:space="preserve"> </w:t>
      </w:r>
      <w:r w:rsidR="0082611A" w:rsidRPr="005149C4">
        <w:rPr>
          <w:b w:val="0"/>
          <w:bCs w:val="0"/>
          <w:sz w:val="24"/>
          <w:szCs w:val="22"/>
        </w:rPr>
        <w:t xml:space="preserve">del I Circuito Judicial de San José, </w:t>
      </w:r>
      <w:r w:rsidR="00690EA2" w:rsidRPr="005149C4">
        <w:rPr>
          <w:b w:val="0"/>
          <w:bCs w:val="0"/>
          <w:sz w:val="24"/>
          <w:szCs w:val="22"/>
        </w:rPr>
        <w:t xml:space="preserve">II Circuito Judicial de la Zona Sur </w:t>
      </w:r>
      <w:r w:rsidR="009A677A" w:rsidRPr="005149C4">
        <w:rPr>
          <w:b w:val="0"/>
          <w:bCs w:val="0"/>
          <w:sz w:val="24"/>
          <w:szCs w:val="22"/>
        </w:rPr>
        <w:t xml:space="preserve">y I Circuito Judicial de Guanacaste </w:t>
      </w:r>
      <w:r w:rsidR="001148C6" w:rsidRPr="005149C4">
        <w:rPr>
          <w:b w:val="0"/>
          <w:bCs w:val="0"/>
          <w:sz w:val="24"/>
          <w:szCs w:val="22"/>
        </w:rPr>
        <w:t>corresponden a permisos con goce de salario, artículo 44. Por último, se tiene que la plaza</w:t>
      </w:r>
      <w:r w:rsidR="004B019C" w:rsidRPr="005149C4">
        <w:rPr>
          <w:b w:val="0"/>
          <w:bCs w:val="0"/>
          <w:sz w:val="24"/>
          <w:szCs w:val="22"/>
        </w:rPr>
        <w:t xml:space="preserve"> </w:t>
      </w:r>
      <w:r w:rsidR="00BC2E1C" w:rsidRPr="005149C4">
        <w:rPr>
          <w:b w:val="0"/>
          <w:bCs w:val="0"/>
          <w:sz w:val="24"/>
          <w:szCs w:val="22"/>
        </w:rPr>
        <w:t>del II Circuito Judicial de San José</w:t>
      </w:r>
      <w:r w:rsidR="004B019C" w:rsidRPr="005149C4">
        <w:rPr>
          <w:b w:val="0"/>
          <w:bCs w:val="0"/>
          <w:sz w:val="24"/>
          <w:szCs w:val="22"/>
        </w:rPr>
        <w:t xml:space="preserve"> corresponde a un préstamo del</w:t>
      </w:r>
      <w:r w:rsidR="00203D99" w:rsidRPr="005149C4">
        <w:rPr>
          <w:b w:val="0"/>
          <w:bCs w:val="0"/>
          <w:sz w:val="24"/>
          <w:szCs w:val="22"/>
        </w:rPr>
        <w:t xml:space="preserve"> Centro de Apoyo, Coordinación y Mejoramiento de la Función Jurisdiccional</w:t>
      </w:r>
      <w:r w:rsidR="003F1F0D" w:rsidRPr="005149C4">
        <w:rPr>
          <w:b w:val="0"/>
          <w:bCs w:val="0"/>
          <w:sz w:val="24"/>
          <w:szCs w:val="22"/>
        </w:rPr>
        <w:t>.</w:t>
      </w:r>
      <w:r w:rsidR="00802412" w:rsidRPr="005149C4">
        <w:rPr>
          <w:b w:val="0"/>
          <w:bCs w:val="0"/>
          <w:sz w:val="24"/>
          <w:szCs w:val="22"/>
        </w:rPr>
        <w:t xml:space="preserve"> </w:t>
      </w:r>
    </w:p>
    <w:p w14:paraId="66CBF59A" w14:textId="7B90CBFE" w:rsidR="00E87E60" w:rsidRPr="005149C4" w:rsidRDefault="009B6BFC" w:rsidP="0006095C">
      <w:pPr>
        <w:pStyle w:val="Descripcin"/>
      </w:pPr>
      <w:r w:rsidRPr="005149C4">
        <w:rPr>
          <w:b w:val="0"/>
          <w:bCs w:val="0"/>
          <w:sz w:val="24"/>
          <w:szCs w:val="22"/>
        </w:rPr>
        <w:t>Para</w:t>
      </w:r>
      <w:r w:rsidR="00E87E60" w:rsidRPr="005149C4">
        <w:rPr>
          <w:b w:val="0"/>
          <w:bCs w:val="0"/>
          <w:sz w:val="24"/>
          <w:szCs w:val="22"/>
        </w:rPr>
        <w:t xml:space="preserve"> la materia de Penal Juvenil, se cuenta con atención por parte de los profesionales</w:t>
      </w:r>
      <w:r w:rsidR="002C773B" w:rsidRPr="005149C4">
        <w:rPr>
          <w:b w:val="0"/>
          <w:bCs w:val="0"/>
          <w:sz w:val="24"/>
          <w:szCs w:val="22"/>
        </w:rPr>
        <w:t xml:space="preserve"> ordinarios</w:t>
      </w:r>
      <w:r w:rsidR="00E87E60" w:rsidRPr="005149C4">
        <w:rPr>
          <w:b w:val="0"/>
          <w:bCs w:val="0"/>
          <w:sz w:val="24"/>
          <w:szCs w:val="22"/>
        </w:rPr>
        <w:t xml:space="preserve"> destacados en las Fiscalía y Defensas Públicas en la materia Penal Juvenil, los cuales cuentan con acompañamiento de un equipo Psicosocial. S</w:t>
      </w:r>
      <w:r w:rsidR="000972AC" w:rsidRPr="005149C4">
        <w:rPr>
          <w:b w:val="0"/>
          <w:bCs w:val="0"/>
          <w:sz w:val="24"/>
          <w:szCs w:val="22"/>
        </w:rPr>
        <w:t xml:space="preserve">e indica que </w:t>
      </w:r>
      <w:r w:rsidR="00E87E60" w:rsidRPr="005149C4">
        <w:rPr>
          <w:b w:val="0"/>
          <w:bCs w:val="0"/>
          <w:sz w:val="24"/>
          <w:szCs w:val="22"/>
        </w:rPr>
        <w:t xml:space="preserve">actualmente </w:t>
      </w:r>
      <w:r w:rsidR="000972AC" w:rsidRPr="005149C4">
        <w:rPr>
          <w:b w:val="0"/>
          <w:bCs w:val="0"/>
          <w:sz w:val="24"/>
          <w:szCs w:val="22"/>
        </w:rPr>
        <w:t xml:space="preserve">se cuenta con atención </w:t>
      </w:r>
      <w:r w:rsidR="001912F8" w:rsidRPr="005149C4">
        <w:rPr>
          <w:b w:val="0"/>
          <w:bCs w:val="0"/>
          <w:sz w:val="24"/>
          <w:szCs w:val="22"/>
        </w:rPr>
        <w:t xml:space="preserve">en los 15 Circuitos Judiciales </w:t>
      </w:r>
      <w:r w:rsidR="00E87E60" w:rsidRPr="005149C4">
        <w:rPr>
          <w:b w:val="0"/>
          <w:bCs w:val="0"/>
          <w:sz w:val="24"/>
          <w:szCs w:val="22"/>
        </w:rPr>
        <w:t>a lo largo del país</w:t>
      </w:r>
      <w:r w:rsidR="006664FA" w:rsidRPr="005149C4">
        <w:rPr>
          <w:b w:val="0"/>
          <w:bCs w:val="0"/>
          <w:sz w:val="24"/>
          <w:szCs w:val="22"/>
        </w:rPr>
        <w:t>.</w:t>
      </w:r>
    </w:p>
    <w:p w14:paraId="521D6DBC" w14:textId="42D6B29F" w:rsidR="00E87E60" w:rsidRPr="005149C4" w:rsidRDefault="00E87E60" w:rsidP="000972AC">
      <w:r w:rsidRPr="005149C4">
        <w:t xml:space="preserve">Sobre la atención de Ejecución de la Pena, se indica que </w:t>
      </w:r>
      <w:r w:rsidR="00B159E1" w:rsidRPr="005149C4">
        <w:t xml:space="preserve">la persona </w:t>
      </w:r>
      <w:r w:rsidRPr="005149C4">
        <w:t xml:space="preserve">Profesional en Psicología </w:t>
      </w:r>
      <w:r w:rsidR="004B5831" w:rsidRPr="005149C4">
        <w:t xml:space="preserve">que atiende la materia Penal Juvenil en San José se encarga también de atender Ejecución de la Pena en Penal Adulto y Penal Juvenil. </w:t>
      </w:r>
    </w:p>
    <w:p w14:paraId="6B485C9C" w14:textId="0077700D" w:rsidR="00644854" w:rsidRPr="005149C4" w:rsidRDefault="00561C23" w:rsidP="000972AC">
      <w:r w:rsidRPr="005149C4">
        <w:t>Respecto a l</w:t>
      </w:r>
      <w:r w:rsidR="00E87E60" w:rsidRPr="005149C4">
        <w:t>a materia contravencional</w:t>
      </w:r>
      <w:r w:rsidR="00DE51DE" w:rsidRPr="005149C4">
        <w:t>, esta</w:t>
      </w:r>
      <w:r w:rsidR="00E87E60" w:rsidRPr="005149C4">
        <w:t xml:space="preserve"> es ate</w:t>
      </w:r>
      <w:r w:rsidR="00E754D0" w:rsidRPr="005149C4">
        <w:t xml:space="preserve">ndida por el equipo psicosocial en el III Circuito Judicial de </w:t>
      </w:r>
      <w:r w:rsidR="00293B98" w:rsidRPr="005149C4">
        <w:t xml:space="preserve">San José, por la persona Trabajadora Social </w:t>
      </w:r>
      <w:r w:rsidR="00E754D0" w:rsidRPr="005149C4">
        <w:t xml:space="preserve">en el </w:t>
      </w:r>
      <w:r w:rsidR="004F6525" w:rsidRPr="005149C4">
        <w:t xml:space="preserve">Circuito Judicial de Alajuela, </w:t>
      </w:r>
      <w:r w:rsidR="00293B98" w:rsidRPr="005149C4">
        <w:t>por la persona Psicóloga en el</w:t>
      </w:r>
      <w:r w:rsidR="004F6525" w:rsidRPr="005149C4">
        <w:t xml:space="preserve"> I Circuito Judicial de la Zona Atlántica</w:t>
      </w:r>
      <w:r w:rsidR="00293B98" w:rsidRPr="005149C4">
        <w:t>, por la persona Psicóloga en el Circuito Judicial de Puntarenas</w:t>
      </w:r>
      <w:r w:rsidR="004F6525" w:rsidRPr="005149C4">
        <w:t xml:space="preserve"> y </w:t>
      </w:r>
      <w:r w:rsidR="000325AC" w:rsidRPr="005149C4">
        <w:t xml:space="preserve">por la persona Psicóloga en el </w:t>
      </w:r>
      <w:r w:rsidR="004F6525" w:rsidRPr="005149C4">
        <w:t>I Circuito Judicial de Guanacaste</w:t>
      </w:r>
      <w:r w:rsidR="00E87E60" w:rsidRPr="005149C4">
        <w:t>.</w:t>
      </w:r>
    </w:p>
    <w:p w14:paraId="08EA011A" w14:textId="345C3D63" w:rsidR="00E87E60" w:rsidRPr="005149C4" w:rsidRDefault="00E87E60" w:rsidP="000972AC">
      <w:r w:rsidRPr="005149C4">
        <w:t xml:space="preserve"> Adicionalmente, es importante indicar que se cuenta con atención en materia contravencional</w:t>
      </w:r>
      <w:r w:rsidR="004F6525" w:rsidRPr="005149C4">
        <w:t xml:space="preserve"> en las Casas de Justicia que son </w:t>
      </w:r>
      <w:r w:rsidR="00644854" w:rsidRPr="005149C4">
        <w:t xml:space="preserve">atendidas por el </w:t>
      </w:r>
      <w:r w:rsidR="001C7D9D" w:rsidRPr="005149C4">
        <w:t>M</w:t>
      </w:r>
      <w:r w:rsidR="00644854" w:rsidRPr="005149C4">
        <w:t>inisterio de Justicia y Paz, por lo que no se requiere en estos casos de equipos del Poder Judicial</w:t>
      </w:r>
      <w:r w:rsidR="00E30C48" w:rsidRPr="005149C4">
        <w:t xml:space="preserve"> </w:t>
      </w:r>
    </w:p>
    <w:p w14:paraId="418C8485" w14:textId="2A419CA0" w:rsidR="00E51E9D" w:rsidRPr="005149C4" w:rsidRDefault="00E51E9D" w:rsidP="000972AC">
      <w:r w:rsidRPr="005149C4">
        <w:t>El programa de Casas de Justicia se inauguró en el año 2000, con la finalidad de descongestionar los procesos judiciales y a la vez brindarle a la población la posibilidad de resolver los conflictos de una forma muy pacífica, es decir a través del diálogo y con un enfoque basado en los intereses de las partes que llevan a cabo un proceso de mediación, en donde con ayuda de una tercera persona imparcial logran plantear soluciones a sus conflictos mejorando de esta forma la convivencia.</w:t>
      </w:r>
    </w:p>
    <w:p w14:paraId="32228104" w14:textId="1F044D0C" w:rsidR="00495C74" w:rsidRPr="005149C4" w:rsidRDefault="00495C74" w:rsidP="000972AC">
      <w:r w:rsidRPr="005149C4">
        <w:t>Las Casas de Justicia son Centros de Resolución Alterna de Conflictos vecinales, donde puede asistir la población para buscar una solución a sus problemas, con la ayuda de un mediador. En las Casas de Justicia el servicio es gratuito, los usuarios no tienen que pagar abogado ni incurrir en otros gastos.</w:t>
      </w:r>
    </w:p>
    <w:p w14:paraId="68CDBA1E" w14:textId="77777777" w:rsidR="005C72CE" w:rsidRPr="005149C4" w:rsidRDefault="005C72CE" w:rsidP="005C72CE">
      <w:r w:rsidRPr="005149C4">
        <w:t>Trabajan y funcionan gracias a un “socio contraparte” quien da soporte a las actividades de las Casas pues cumplen con aspectos como: infraestructura, pago de director o directora de la Casa, así como los servicios básicos, por lo que son un eje de sostenibilidad del programa.</w:t>
      </w:r>
    </w:p>
    <w:p w14:paraId="030C93D0" w14:textId="2A74C634" w:rsidR="005C72CE" w:rsidRPr="005149C4" w:rsidRDefault="005C72CE" w:rsidP="005C72CE">
      <w:r w:rsidRPr="005149C4">
        <w:t>El objetivo primordial del Programa Casas de Justicia es acercar a las personas a la justicia, además, de permitirles resolver sus conflictos autogestionariamente, es decir, devolverles la responsabilidad de la solución de sus conflictos</w:t>
      </w:r>
      <w:r w:rsidR="002F021C" w:rsidRPr="005149C4">
        <w:t>.</w:t>
      </w:r>
    </w:p>
    <w:p w14:paraId="5CE47D60" w14:textId="33815135" w:rsidR="0047708D" w:rsidRPr="005149C4" w:rsidRDefault="0047708D" w:rsidP="005C72CE">
      <w:r w:rsidRPr="005149C4">
        <w:t xml:space="preserve">En el año 2020 entre las principales acciones de la Oficina Rectora de Justicia Restaurativa se logró una interacción con las Casas de Justicia a nivel nacional, para lograr la implementación del proceso de desjudicialización que señala la Ley de Justicia Restaurativa.   </w:t>
      </w:r>
    </w:p>
    <w:p w14:paraId="1AA098D6" w14:textId="418A72E5" w:rsidR="003E7214" w:rsidRPr="005149C4" w:rsidRDefault="000972AC" w:rsidP="00594E59">
      <w:r w:rsidRPr="005149C4">
        <w:t>En resumen, se presenta a continuación el detalle del abordaje realizado por Justicia Restaurativa a nivel nacional:</w:t>
      </w:r>
    </w:p>
    <w:p w14:paraId="02502337" w14:textId="6BA3F4AE" w:rsidR="003E7214" w:rsidRPr="005149C4" w:rsidRDefault="002D1D9C" w:rsidP="002D1D9C">
      <w:pPr>
        <w:jc w:val="center"/>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2</w:t>
      </w:r>
      <w:r w:rsidRPr="005149C4">
        <w:rPr>
          <w:b/>
          <w:bCs/>
          <w:sz w:val="20"/>
          <w:szCs w:val="20"/>
        </w:rPr>
        <w:fldChar w:fldCharType="end"/>
      </w:r>
      <w:r w:rsidRPr="005149C4">
        <w:rPr>
          <w:b/>
          <w:bCs/>
          <w:sz w:val="20"/>
          <w:szCs w:val="20"/>
        </w:rPr>
        <w:t xml:space="preserve">. Detalle del abordaje de Justicia Restaurativa por circuito y materia </w:t>
      </w:r>
      <w:r w:rsidR="003F1961" w:rsidRPr="005149C4">
        <w:rPr>
          <w:b/>
          <w:bCs/>
          <w:sz w:val="20"/>
          <w:szCs w:val="20"/>
        </w:rPr>
        <w:t>para</w:t>
      </w:r>
      <w:r w:rsidRPr="005149C4">
        <w:rPr>
          <w:b/>
          <w:bCs/>
          <w:sz w:val="20"/>
          <w:szCs w:val="20"/>
        </w:rPr>
        <w:t xml:space="preserve"> el 202</w:t>
      </w:r>
      <w:r w:rsidR="00A67618" w:rsidRPr="005149C4">
        <w:rPr>
          <w:b/>
          <w:bCs/>
          <w:sz w:val="20"/>
          <w:szCs w:val="20"/>
        </w:rPr>
        <w:t>3</w:t>
      </w:r>
      <w:r w:rsidRPr="005149C4">
        <w:rPr>
          <w:b/>
          <w:bCs/>
          <w:sz w:val="20"/>
          <w:szCs w:val="20"/>
        </w:rPr>
        <w:t>.</w:t>
      </w:r>
    </w:p>
    <w:tbl>
      <w:tblPr>
        <w:tblW w:w="10774" w:type="dxa"/>
        <w:tblInd w:w="-732" w:type="dxa"/>
        <w:tblCellMar>
          <w:left w:w="70" w:type="dxa"/>
          <w:right w:w="70" w:type="dxa"/>
        </w:tblCellMar>
        <w:tblLook w:val="04A0" w:firstRow="1" w:lastRow="0" w:firstColumn="1" w:lastColumn="0" w:noHBand="0" w:noVBand="1"/>
      </w:tblPr>
      <w:tblGrid>
        <w:gridCol w:w="2178"/>
        <w:gridCol w:w="2500"/>
        <w:gridCol w:w="2268"/>
        <w:gridCol w:w="1985"/>
        <w:gridCol w:w="1843"/>
      </w:tblGrid>
      <w:tr w:rsidR="00F451BD" w:rsidRPr="005149C4" w14:paraId="65F0D092" w14:textId="77777777" w:rsidTr="00E251BE">
        <w:trPr>
          <w:trHeight w:val="630"/>
        </w:trPr>
        <w:tc>
          <w:tcPr>
            <w:tcW w:w="2178" w:type="dxa"/>
            <w:tcBorders>
              <w:top w:val="double" w:sz="6" w:space="0" w:color="244062"/>
              <w:left w:val="double" w:sz="6" w:space="0" w:color="244062"/>
              <w:bottom w:val="double" w:sz="6" w:space="0" w:color="244062"/>
              <w:right w:val="double" w:sz="6" w:space="0" w:color="244062"/>
            </w:tcBorders>
            <w:shd w:val="clear" w:color="CCFFFF" w:fill="DEEBF7"/>
            <w:noWrap/>
            <w:vAlign w:val="center"/>
            <w:hideMark/>
          </w:tcPr>
          <w:p w14:paraId="42C161BB"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Circuito Judicial</w:t>
            </w:r>
          </w:p>
        </w:tc>
        <w:tc>
          <w:tcPr>
            <w:tcW w:w="2500" w:type="dxa"/>
            <w:tcBorders>
              <w:top w:val="double" w:sz="6" w:space="0" w:color="244062"/>
              <w:left w:val="nil"/>
              <w:bottom w:val="double" w:sz="6" w:space="0" w:color="244062"/>
              <w:right w:val="double" w:sz="6" w:space="0" w:color="244062"/>
            </w:tcBorders>
            <w:shd w:val="clear" w:color="CCFFFF" w:fill="DEEBF7"/>
            <w:noWrap/>
            <w:vAlign w:val="center"/>
            <w:hideMark/>
          </w:tcPr>
          <w:p w14:paraId="0FCF2CA9"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Recurso Humano Penal de Adultos</w:t>
            </w:r>
          </w:p>
        </w:tc>
        <w:tc>
          <w:tcPr>
            <w:tcW w:w="2268" w:type="dxa"/>
            <w:tcBorders>
              <w:top w:val="double" w:sz="6" w:space="0" w:color="244062"/>
              <w:left w:val="nil"/>
              <w:bottom w:val="double" w:sz="6" w:space="0" w:color="244062"/>
              <w:right w:val="double" w:sz="6" w:space="0" w:color="244062"/>
            </w:tcBorders>
            <w:shd w:val="clear" w:color="CCFFFF" w:fill="DEEBF7"/>
            <w:noWrap/>
            <w:vAlign w:val="center"/>
            <w:hideMark/>
          </w:tcPr>
          <w:p w14:paraId="19F10E30"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Penal Juvenil</w:t>
            </w:r>
          </w:p>
        </w:tc>
        <w:tc>
          <w:tcPr>
            <w:tcW w:w="1985" w:type="dxa"/>
            <w:tcBorders>
              <w:top w:val="double" w:sz="6" w:space="0" w:color="244062"/>
              <w:left w:val="nil"/>
              <w:bottom w:val="double" w:sz="6" w:space="0" w:color="244062"/>
              <w:right w:val="double" w:sz="6" w:space="0" w:color="244062"/>
            </w:tcBorders>
            <w:shd w:val="clear" w:color="CCFFFF" w:fill="DEEBF7"/>
            <w:noWrap/>
            <w:vAlign w:val="center"/>
            <w:hideMark/>
          </w:tcPr>
          <w:p w14:paraId="4FBA0328"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Ejecución de la Pena</w:t>
            </w:r>
          </w:p>
        </w:tc>
        <w:tc>
          <w:tcPr>
            <w:tcW w:w="1843" w:type="dxa"/>
            <w:tcBorders>
              <w:top w:val="double" w:sz="6" w:space="0" w:color="244062"/>
              <w:left w:val="nil"/>
              <w:bottom w:val="double" w:sz="6" w:space="0" w:color="244062"/>
              <w:right w:val="double" w:sz="6" w:space="0" w:color="244062"/>
            </w:tcBorders>
            <w:shd w:val="clear" w:color="CCFFFF" w:fill="DEEBF7"/>
            <w:noWrap/>
            <w:vAlign w:val="center"/>
            <w:hideMark/>
          </w:tcPr>
          <w:p w14:paraId="2E17E675"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Contravenciones</w:t>
            </w:r>
          </w:p>
        </w:tc>
      </w:tr>
      <w:tr w:rsidR="00E251BE" w:rsidRPr="005149C4" w14:paraId="06FBBF5A" w14:textId="77777777" w:rsidTr="00E251BE">
        <w:trPr>
          <w:trHeight w:val="182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627E6879"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 Circuito Judicial de San José, y III: Pavas y Hatillo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7AD854"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Defensor (a) Público de JR</w:t>
            </w:r>
            <w:r w:rsidRPr="005149C4">
              <w:rPr>
                <w:rFonts w:ascii="Bookman Old Style" w:eastAsia="Times New Roman" w:hAnsi="Bookman Old Style" w:cs="Calibri"/>
                <w:color w:val="000000"/>
                <w:sz w:val="20"/>
                <w:szCs w:val="20"/>
                <w:lang w:eastAsia="es-CR"/>
              </w:rPr>
              <w:br/>
              <w:t>1 Fiscal (a) de JR</w:t>
            </w:r>
            <w:r w:rsidRPr="005149C4">
              <w:rPr>
                <w:rFonts w:ascii="Bookman Old Style" w:eastAsia="Times New Roman" w:hAnsi="Bookman Old Style" w:cs="Calibri"/>
                <w:color w:val="000000"/>
                <w:sz w:val="20"/>
                <w:szCs w:val="20"/>
                <w:lang w:eastAsia="es-CR"/>
              </w:rPr>
              <w:br/>
              <w:t xml:space="preserve">1 Trabajador (a) Social </w:t>
            </w:r>
            <w:r w:rsidRPr="005149C4">
              <w:rPr>
                <w:rFonts w:ascii="Bookman Old Style" w:eastAsia="Times New Roman" w:hAnsi="Bookman Old Style" w:cs="Calibri"/>
                <w:color w:val="000000"/>
                <w:sz w:val="20"/>
                <w:szCs w:val="20"/>
                <w:lang w:eastAsia="es-CR"/>
              </w:rPr>
              <w:br/>
              <w:t>1 Psicóloga (o)</w:t>
            </w:r>
            <w:r w:rsidRPr="005149C4">
              <w:rPr>
                <w:rFonts w:ascii="Bookman Old Style" w:eastAsia="Times New Roman" w:hAnsi="Bookman Old Style" w:cs="Calibri"/>
                <w:color w:val="000000"/>
                <w:sz w:val="20"/>
                <w:szCs w:val="20"/>
                <w:lang w:eastAsia="es-CR"/>
              </w:rPr>
              <w:br/>
              <w:t>1 Técnico (a) Judicial por 44 LOPJ</w:t>
            </w:r>
          </w:p>
        </w:tc>
        <w:tc>
          <w:tcPr>
            <w:tcW w:w="2268"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51C9D758" w14:textId="3CF9A5D5"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Psicóloga (o) Atención en el primer,</w:t>
            </w:r>
            <w:r w:rsidR="002A74E3" w:rsidRPr="005149C4">
              <w:rPr>
                <w:rFonts w:ascii="Bookman Old Style" w:eastAsia="Times New Roman" w:hAnsi="Bookman Old Style" w:cs="Calibri"/>
                <w:color w:val="000000"/>
                <w:sz w:val="20"/>
                <w:szCs w:val="20"/>
                <w:lang w:eastAsia="es-CR"/>
              </w:rPr>
              <w:t xml:space="preserve"> </w:t>
            </w:r>
            <w:r w:rsidRPr="005149C4">
              <w:rPr>
                <w:rFonts w:ascii="Bookman Old Style" w:eastAsia="Times New Roman" w:hAnsi="Bookman Old Style" w:cs="Calibri"/>
                <w:color w:val="000000"/>
                <w:sz w:val="20"/>
                <w:szCs w:val="20"/>
                <w:lang w:eastAsia="es-CR"/>
              </w:rPr>
              <w:t>Circuito Judicial y Puriscal</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5149C4">
              <w:rPr>
                <w:rFonts w:ascii="Bookman Old Style" w:eastAsia="Times New Roman" w:hAnsi="Bookman Old Style" w:cs="Calibri"/>
                <w:color w:val="000000"/>
                <w:sz w:val="20"/>
                <w:szCs w:val="20"/>
                <w:lang w:eastAsia="es-CR"/>
              </w:rPr>
              <w:br/>
              <w:t xml:space="preserve"> </w:t>
            </w:r>
          </w:p>
        </w:tc>
        <w:tc>
          <w:tcPr>
            <w:tcW w:w="1985"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47573A16"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profesional en Psicología de JJR atiende adicionalmente los casos de Ejecución de la Pena en Adultos y los de ejecución de las sanciones penales juveniles en San José y a nivel nacional</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85C4624"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El equipo psicosocial atiende la materia contravencional</w:t>
            </w:r>
          </w:p>
        </w:tc>
      </w:tr>
      <w:tr w:rsidR="00204C10" w:rsidRPr="005149C4" w14:paraId="3DC4C088" w14:textId="77777777" w:rsidTr="00E251BE">
        <w:trPr>
          <w:trHeight w:val="308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02E8A54F"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II Circuito Judicial de San José y III: Desamparados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21A715C"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Defensor (a) Público de JR</w:t>
            </w:r>
            <w:r w:rsidRPr="005149C4">
              <w:rPr>
                <w:rFonts w:ascii="Bookman Old Style" w:eastAsia="Times New Roman" w:hAnsi="Bookman Old Style" w:cs="Calibri"/>
                <w:color w:val="000000"/>
                <w:sz w:val="20"/>
                <w:szCs w:val="20"/>
                <w:lang w:eastAsia="es-CR"/>
              </w:rPr>
              <w:br/>
              <w:t>1 Fiscal (a) de JR</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2 Trabajador (a) Social</w:t>
            </w:r>
            <w:r w:rsidRPr="005149C4">
              <w:rPr>
                <w:rFonts w:ascii="Bookman Old Style" w:eastAsia="Times New Roman" w:hAnsi="Bookman Old Style" w:cs="Calibri"/>
                <w:color w:val="000000"/>
                <w:sz w:val="20"/>
                <w:szCs w:val="20"/>
                <w:lang w:eastAsia="es-CR"/>
              </w:rPr>
              <w:br/>
              <w:t>1 Técnico (a) Judicial adscrito al CACMFJ</w:t>
            </w:r>
            <w:r w:rsidRPr="005149C4">
              <w:rPr>
                <w:rFonts w:ascii="Bookman Old Style" w:eastAsia="Times New Roman" w:hAnsi="Bookman Old Style" w:cs="Calibri"/>
                <w:color w:val="000000"/>
                <w:sz w:val="20"/>
                <w:szCs w:val="20"/>
                <w:lang w:eastAsia="es-CR"/>
              </w:rPr>
              <w:br/>
              <w:t>Atienden el Segundo y Tercer Circuito Judicial (Desamparados), así como flagrancia del I y II Circuito Judicial de SJ</w:t>
            </w:r>
          </w:p>
        </w:tc>
        <w:tc>
          <w:tcPr>
            <w:tcW w:w="2268" w:type="dxa"/>
            <w:vMerge/>
            <w:tcBorders>
              <w:top w:val="double" w:sz="6" w:space="0" w:color="244062"/>
              <w:left w:val="double" w:sz="6" w:space="0" w:color="244062"/>
              <w:bottom w:val="double" w:sz="6" w:space="0" w:color="244062"/>
              <w:right w:val="double" w:sz="6" w:space="0" w:color="244062"/>
            </w:tcBorders>
            <w:vAlign w:val="center"/>
            <w:hideMark/>
          </w:tcPr>
          <w:p w14:paraId="3B7BAFF7"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985" w:type="dxa"/>
            <w:vMerge/>
            <w:tcBorders>
              <w:top w:val="double" w:sz="6" w:space="0" w:color="244062"/>
              <w:left w:val="double" w:sz="6" w:space="0" w:color="244062"/>
              <w:bottom w:val="double" w:sz="6" w:space="0" w:color="244062"/>
              <w:right w:val="double" w:sz="6" w:space="0" w:color="244062"/>
            </w:tcBorders>
            <w:vAlign w:val="center"/>
            <w:hideMark/>
          </w:tcPr>
          <w:p w14:paraId="131A6389"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843" w:type="dxa"/>
            <w:tcBorders>
              <w:top w:val="double" w:sz="6" w:space="0" w:color="244062"/>
              <w:left w:val="nil"/>
              <w:bottom w:val="double" w:sz="6" w:space="0" w:color="244062"/>
              <w:right w:val="double" w:sz="6" w:space="0" w:color="244062"/>
            </w:tcBorders>
            <w:shd w:val="clear" w:color="auto" w:fill="auto"/>
            <w:noWrap/>
            <w:vAlign w:val="bottom"/>
            <w:hideMark/>
          </w:tcPr>
          <w:p w14:paraId="76693936"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w:t>
            </w:r>
          </w:p>
        </w:tc>
      </w:tr>
      <w:tr w:rsidR="00E251BE" w:rsidRPr="005149C4" w14:paraId="4AAAD254" w14:textId="77777777" w:rsidTr="00E251BE">
        <w:trPr>
          <w:trHeight w:val="306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01AFB3F"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 Circuito Judicial de Alajuela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625718E"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Trabajador (a) Social</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**El equipo legal (Defensor, Fiscal y Técnico Judicial del CJ de Heredia brindan soporte en la atención de la materia Penal en 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5825457"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Trabajadora Social de adultos atiende la materia Penal Juvenil</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EA5BD5"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40D1C622"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Trabajadora Social atiende la materia contravencional</w:t>
            </w:r>
          </w:p>
        </w:tc>
      </w:tr>
      <w:tr w:rsidR="00E251BE" w:rsidRPr="005149C4" w14:paraId="6026A032" w14:textId="77777777" w:rsidTr="00E251BE">
        <w:trPr>
          <w:trHeight w:val="1831"/>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1653C167"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II Circuito Judicial de Alajuela (San Carlos)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2F3A93"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CE6EF0B"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Trabajador (a) Social</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26D6A70"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A9924D3"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Casa de Justicia San Carlos</w:t>
            </w:r>
          </w:p>
        </w:tc>
      </w:tr>
      <w:tr w:rsidR="00E251BE" w:rsidRPr="005149C4" w14:paraId="4A510EFC" w14:textId="77777777" w:rsidTr="00E251BE">
        <w:trPr>
          <w:trHeight w:val="2690"/>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44DC8D95"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III Circuito Judicial de Alajuela (San Ramón)</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C306ACA"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Trabajador (a) Social</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**El equipo legal (Defensor, Fiscal y Técnico Judicial del CJ de Puntarenas brindan soporte en la atención de la materia Penal en IIICJ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87DA32B"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Trabajadora Social de adultos atiende la materia Penal Juvenil</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6E99605"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A2CF8CA"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Casa de Justicia San Ramón</w:t>
            </w:r>
          </w:p>
        </w:tc>
      </w:tr>
      <w:tr w:rsidR="00E251BE" w:rsidRPr="005149C4" w14:paraId="58B5C0DF" w14:textId="77777777" w:rsidTr="00E251BE">
        <w:trPr>
          <w:trHeight w:val="328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22B8BCD4"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Heredia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30DE58"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xml:space="preserve">1 Fiscal (a) </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1 Trabajador (a) Social</w:t>
            </w:r>
            <w:r w:rsidRPr="005149C4">
              <w:rPr>
                <w:rFonts w:ascii="Bookman Old Style" w:eastAsia="Times New Roman" w:hAnsi="Bookman Old Style" w:cs="Calibri"/>
                <w:color w:val="000000"/>
                <w:sz w:val="20"/>
                <w:szCs w:val="20"/>
                <w:lang w:eastAsia="es-CR"/>
              </w:rPr>
              <w:br/>
              <w:t>1 Técnico (a) Judicial del MP</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Atienden Sarapiquí y el equipo legal brinda soporte al ICJ Alajuela en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01CE9AD5"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Atención por parte del equipo psicosocial de Penal de Adultos.</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6E168E14"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2559804"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xml:space="preserve">El equipo psicosocial atiende </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Casa de Justicia Heredia</w:t>
            </w:r>
          </w:p>
        </w:tc>
      </w:tr>
      <w:tr w:rsidR="00E251BE" w:rsidRPr="005149C4" w14:paraId="60B98BD9" w14:textId="77777777" w:rsidTr="00E251BE">
        <w:trPr>
          <w:trHeight w:val="239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FB508BF"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Cartago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F1D6A24"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xml:space="preserve">1 Fiscal (a) </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1 Trabajador (a) Social</w:t>
            </w:r>
            <w:r w:rsidRPr="005149C4">
              <w:rPr>
                <w:rFonts w:ascii="Bookman Old Style" w:eastAsia="Times New Roman" w:hAnsi="Bookman Old Style" w:cs="Calibri"/>
                <w:color w:val="000000"/>
                <w:sz w:val="20"/>
                <w:szCs w:val="20"/>
                <w:lang w:eastAsia="es-CR"/>
              </w:rPr>
              <w:br/>
              <w:t>1 Técnico (a) Judicial del MP</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Atienden Turrialba, La Unión y La Zona de los Santos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67DD05A" w14:textId="77777777" w:rsidR="00204C10" w:rsidRPr="005149C4" w:rsidRDefault="00204C10" w:rsidP="00204C10">
            <w:pPr>
              <w:spacing w:before="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Atención por parte del equipo psicosocial de Penal de Adultos.</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AEEE7A"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8FF99BB"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xml:space="preserve">Soporte por parte del equipo psicosocial. </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Casa de Justicia Cartago</w:t>
            </w:r>
          </w:p>
        </w:tc>
      </w:tr>
      <w:tr w:rsidR="00E251BE" w:rsidRPr="005149C4" w14:paraId="54A57F27"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936F9C5"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D18D0A8"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Fiscal (a)</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1 Trabajador (a) Social</w:t>
            </w:r>
            <w:r w:rsidRPr="005149C4">
              <w:rPr>
                <w:rFonts w:ascii="Bookman Old Style" w:eastAsia="Times New Roman" w:hAnsi="Bookman Old Style" w:cs="Calibri"/>
                <w:color w:val="000000"/>
                <w:sz w:val="20"/>
                <w:szCs w:val="20"/>
                <w:lang w:eastAsia="es-CR"/>
              </w:rPr>
              <w:br/>
              <w:t>1 Técnico (a) Judicial del MP</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Atienden Buenos Aires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1C09B1EC"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Atención por parte del equipo psicosocial de Penal de Adultos.</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Atienden Buenos Aires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AFB6BFF"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A6AF77E"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r>
      <w:tr w:rsidR="00E251BE" w:rsidRPr="005149C4" w14:paraId="6E760F63"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6C0BE7F6"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1FCEBEAE" w14:textId="77777777" w:rsidR="00204C10" w:rsidRPr="005149C4" w:rsidRDefault="00204C10" w:rsidP="00204C10">
            <w:pPr>
              <w:spacing w:before="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Fiscal (a)</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Trabajador(a) Social</w:t>
            </w:r>
            <w:r w:rsidRPr="005149C4">
              <w:rPr>
                <w:rFonts w:ascii="Bookman Old Style" w:eastAsia="Times New Roman" w:hAnsi="Bookman Old Style" w:cs="Calibri"/>
                <w:color w:val="000000"/>
                <w:sz w:val="20"/>
                <w:szCs w:val="20"/>
                <w:lang w:eastAsia="es-CR"/>
              </w:rPr>
              <w:br/>
              <w:t>1 Técnico (a) Judicial por 44 LOPJ</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975EBDB"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Trabajadora Social de adultos atiende la materia Penal Juvenil</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BE617D0"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652C4593"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r>
      <w:tr w:rsidR="00E251BE" w:rsidRPr="005149C4" w14:paraId="1988E3C1" w14:textId="77777777" w:rsidTr="00E251BE">
        <w:trPr>
          <w:trHeight w:val="177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23933E3"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7886D19"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xml:space="preserve">1 Psicólogo (a) </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 El equipo legal del II CJZA colabora en la atención de la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37CE258F"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de Psicología de adultos atiende la materia Penal Juvenil</w:t>
            </w:r>
            <w:r w:rsidRPr="005149C4">
              <w:rPr>
                <w:rFonts w:ascii="Bookman Old Style" w:eastAsia="Times New Roman" w:hAnsi="Bookman Old Style" w:cs="Calibri"/>
                <w:color w:val="000000"/>
                <w:sz w:val="20"/>
                <w:szCs w:val="20"/>
                <w:lang w:eastAsia="es-CR"/>
              </w:rPr>
              <w:br/>
              <w:t>Las plazas ordinarias de Fiscal (a) y Defensor (a) Público especializadas de Penal Juvenil.</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 xml:space="preserve">Atienden Limón, Batán y Bribri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A83B1BE"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2946BB37"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Atención por parte del profesional en Psicología</w:t>
            </w:r>
          </w:p>
        </w:tc>
      </w:tr>
      <w:tr w:rsidR="00E251BE" w:rsidRPr="005149C4" w14:paraId="60EA0A9E" w14:textId="77777777" w:rsidTr="00E251BE">
        <w:trPr>
          <w:trHeight w:val="277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3396347D"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685CEE"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Fiscal (a)</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1 Trabajador (a) Social</w:t>
            </w:r>
            <w:r w:rsidRPr="005149C4">
              <w:rPr>
                <w:rFonts w:ascii="Bookman Old Style" w:eastAsia="Times New Roman" w:hAnsi="Bookman Old Style" w:cs="Calibri"/>
                <w:color w:val="000000"/>
                <w:sz w:val="20"/>
                <w:szCs w:val="20"/>
                <w:lang w:eastAsia="es-CR"/>
              </w:rPr>
              <w:br/>
              <w:t>1 Técnico (a) Judicial del MP</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Atienden Siquirres y Pococí, así como soporte legal al ICJZA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2C1CECE"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Atención por parte del equipo psicosocial de Penal de Adultos.</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027A573"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3C032D34"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r>
      <w:tr w:rsidR="00E251BE" w:rsidRPr="005149C4" w14:paraId="48ECDA39" w14:textId="77777777" w:rsidTr="00E251BE">
        <w:trPr>
          <w:trHeight w:val="35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0DA62A5D"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Puntarenas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AB3F8E5"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Fiscal (a)</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1 Trabajadora Social de JJR de San Carlos quien apoya</w:t>
            </w:r>
            <w:r w:rsidRPr="005149C4">
              <w:rPr>
                <w:rFonts w:ascii="Bookman Old Style" w:eastAsia="Times New Roman" w:hAnsi="Bookman Old Style" w:cs="Calibri"/>
                <w:color w:val="000000"/>
                <w:sz w:val="20"/>
                <w:szCs w:val="20"/>
                <w:lang w:eastAsia="es-CR"/>
              </w:rPr>
              <w:br/>
              <w:t>1 Técnico del MP</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Atienden Quepos, Aguirre y Parrita; así como soporte legal al III Circuito Judicial de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25602B21"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de Psicología de adultos atiende la materia Penal Juvenil</w:t>
            </w:r>
            <w:r w:rsidRPr="005149C4">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56364D5"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0120230A"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br/>
              <w:t>La persona de Psicología de adultos atiende la materia contravencional</w:t>
            </w:r>
            <w:r w:rsidRPr="005149C4">
              <w:rPr>
                <w:rFonts w:ascii="Bookman Old Style" w:eastAsia="Times New Roman" w:hAnsi="Bookman Old Style" w:cs="Calibri"/>
                <w:color w:val="000000"/>
                <w:sz w:val="20"/>
                <w:szCs w:val="20"/>
                <w:lang w:eastAsia="es-CR"/>
              </w:rPr>
              <w:br/>
              <w:t xml:space="preserve">1 Defensor (a)  </w:t>
            </w:r>
            <w:r w:rsidRPr="005149C4">
              <w:rPr>
                <w:rFonts w:ascii="Bookman Old Style" w:eastAsia="Times New Roman" w:hAnsi="Bookman Old Style" w:cs="Calibri"/>
                <w:color w:val="000000"/>
                <w:sz w:val="20"/>
                <w:szCs w:val="20"/>
                <w:lang w:eastAsia="es-CR"/>
              </w:rPr>
              <w:br/>
              <w:t>Participación de juez conciliador</w:t>
            </w:r>
          </w:p>
        </w:tc>
      </w:tr>
      <w:tr w:rsidR="00E251BE" w:rsidRPr="005149C4" w14:paraId="42AA3BB1" w14:textId="77777777" w:rsidTr="00E251BE">
        <w:trPr>
          <w:trHeight w:val="303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17CA143"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5436380"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Fiscal (a)</w:t>
            </w:r>
            <w:r w:rsidRPr="005149C4">
              <w:rPr>
                <w:rFonts w:ascii="Bookman Old Style" w:eastAsia="Times New Roman" w:hAnsi="Bookman Old Style" w:cs="Calibri"/>
                <w:color w:val="000000"/>
                <w:sz w:val="20"/>
                <w:szCs w:val="20"/>
                <w:lang w:eastAsia="es-CR"/>
              </w:rPr>
              <w:br/>
              <w:t>1 Defensor (a) Público</w:t>
            </w:r>
            <w:r w:rsidRPr="005149C4">
              <w:rPr>
                <w:rFonts w:ascii="Bookman Old Style" w:eastAsia="Times New Roman" w:hAnsi="Bookman Old Style" w:cs="Calibri"/>
                <w:color w:val="000000"/>
                <w:sz w:val="20"/>
                <w:szCs w:val="20"/>
                <w:lang w:eastAsia="es-CR"/>
              </w:rPr>
              <w:br/>
              <w:t>1 Psicólogo (a)</w:t>
            </w:r>
            <w:r w:rsidRPr="005149C4">
              <w:rPr>
                <w:rFonts w:ascii="Bookman Old Style" w:eastAsia="Times New Roman" w:hAnsi="Bookman Old Style" w:cs="Calibri"/>
                <w:color w:val="000000"/>
                <w:sz w:val="20"/>
                <w:szCs w:val="20"/>
                <w:lang w:eastAsia="es-CR"/>
              </w:rPr>
              <w:br/>
              <w:t>1 Técnico (a) Judicial por 44 LOPJ</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 xml:space="preserve">Atienden Cañas </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654D0F5F" w14:textId="08B485C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 xml:space="preserve">La persona de Psicología de JJR de </w:t>
            </w:r>
            <w:r w:rsidR="002D74EB" w:rsidRPr="005149C4">
              <w:rPr>
                <w:rFonts w:ascii="Bookman Old Style" w:eastAsia="Times New Roman" w:hAnsi="Bookman Old Style" w:cs="Calibri"/>
                <w:color w:val="000000"/>
                <w:sz w:val="20"/>
                <w:szCs w:val="20"/>
                <w:lang w:eastAsia="es-CR"/>
              </w:rPr>
              <w:t>Nicoya atiende</w:t>
            </w:r>
            <w:r w:rsidRPr="005149C4">
              <w:rPr>
                <w:rFonts w:ascii="Bookman Old Style" w:eastAsia="Times New Roman" w:hAnsi="Bookman Old Style" w:cs="Calibri"/>
                <w:color w:val="000000"/>
                <w:sz w:val="20"/>
                <w:szCs w:val="20"/>
                <w:lang w:eastAsia="es-CR"/>
              </w:rPr>
              <w:t xml:space="preserve"> la materia Penal Juvenil </w:t>
            </w:r>
            <w:r w:rsidRPr="005149C4">
              <w:rPr>
                <w:rFonts w:ascii="Bookman Old Style" w:eastAsia="Times New Roman" w:hAnsi="Bookman Old Style" w:cs="Calibri"/>
                <w:color w:val="000000"/>
                <w:sz w:val="20"/>
                <w:szCs w:val="20"/>
                <w:lang w:eastAsia="es-CR"/>
              </w:rPr>
              <w:br/>
              <w:t>Las plazas ordinarias de Fiscal (a) y Defensor (a) Público especializadas de Penal Juvenil.</w:t>
            </w:r>
            <w:r w:rsidRPr="005149C4">
              <w:rPr>
                <w:rFonts w:ascii="Bookman Old Style" w:eastAsia="Times New Roman" w:hAnsi="Bookman Old Style" w:cs="Calibri"/>
                <w:color w:val="000000"/>
                <w:sz w:val="20"/>
                <w:szCs w:val="20"/>
                <w:lang w:eastAsia="es-CR"/>
              </w:rPr>
              <w:br/>
            </w:r>
            <w:r w:rsidRPr="005149C4">
              <w:rPr>
                <w:rFonts w:ascii="Bookman Old Style" w:eastAsia="Times New Roman" w:hAnsi="Bookman Old Style" w:cs="Calibri"/>
                <w:color w:val="000000"/>
                <w:sz w:val="20"/>
                <w:szCs w:val="20"/>
                <w:lang w:eastAsia="es-CR"/>
              </w:rPr>
              <w:br/>
              <w:t>La plaza de Psicólogo (a) atiende durante una semana en Liberia y una semana en Cañas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5853A29A"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B91C7C9"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La persona de Psicología de adultos atiende la materia contravencional</w:t>
            </w:r>
          </w:p>
        </w:tc>
      </w:tr>
      <w:tr w:rsidR="00204C10" w:rsidRPr="005149C4" w14:paraId="2F1257A3" w14:textId="77777777" w:rsidTr="00E251BE">
        <w:trPr>
          <w:trHeight w:val="17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17C0CEB1"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II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AC62A86" w14:textId="77777777" w:rsidR="00204C10" w:rsidRPr="005149C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F5A48CB"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1 Psicólogo (a)</w:t>
            </w:r>
            <w:r w:rsidRPr="005149C4">
              <w:rPr>
                <w:rFonts w:ascii="Bookman Old Style" w:eastAsia="Times New Roman" w:hAnsi="Bookman Old Style" w:cs="Calibri"/>
                <w:color w:val="000000"/>
                <w:sz w:val="20"/>
                <w:szCs w:val="20"/>
                <w:lang w:eastAsia="es-CR"/>
              </w:rPr>
              <w:br/>
              <w:t>Las plazas ordinarias de Fiscal (a) y Defensor (a) Público especializadas de Penal Juvenil.</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5A78616"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noWrap/>
            <w:vAlign w:val="center"/>
            <w:hideMark/>
          </w:tcPr>
          <w:p w14:paraId="46CFDB06" w14:textId="77777777" w:rsidR="00204C10" w:rsidRPr="005149C4"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5149C4">
              <w:rPr>
                <w:rFonts w:ascii="Bookman Old Style" w:eastAsia="Times New Roman" w:hAnsi="Bookman Old Style" w:cs="Calibri"/>
                <w:color w:val="000000"/>
                <w:sz w:val="20"/>
                <w:szCs w:val="20"/>
                <w:lang w:eastAsia="es-CR"/>
              </w:rPr>
              <w:t>Casa de Justicia Nicoya</w:t>
            </w:r>
          </w:p>
        </w:tc>
      </w:tr>
    </w:tbl>
    <w:p w14:paraId="79F9AE6A" w14:textId="06B08FD5" w:rsidR="00AB3BE0" w:rsidRPr="005149C4" w:rsidRDefault="00AB3BE0" w:rsidP="00AB3BE0">
      <w:pPr>
        <w:tabs>
          <w:tab w:val="left" w:pos="0"/>
        </w:tabs>
        <w:rPr>
          <w:rFonts w:cs="Calibri"/>
          <w:bCs/>
          <w:sz w:val="20"/>
          <w:szCs w:val="20"/>
        </w:rPr>
      </w:pPr>
      <w:r w:rsidRPr="005149C4">
        <w:rPr>
          <w:rFonts w:cs="Calibri"/>
          <w:b/>
          <w:sz w:val="20"/>
          <w:szCs w:val="20"/>
        </w:rPr>
        <w:t>Fuente:</w:t>
      </w:r>
      <w:r w:rsidRPr="005149C4">
        <w:rPr>
          <w:rFonts w:cs="Calibri"/>
          <w:bCs/>
          <w:sz w:val="20"/>
          <w:szCs w:val="20"/>
        </w:rPr>
        <w:t xml:space="preserve"> Modernización Institucional a partir de información suministrada por parte de la Oficina Rectora de Justicia Restaurativa.</w:t>
      </w:r>
    </w:p>
    <w:p w14:paraId="2435EC69" w14:textId="1A8777DE" w:rsidR="47A75149" w:rsidRPr="005149C4" w:rsidRDefault="00EC1FCC" w:rsidP="008A3258">
      <w:pPr>
        <w:pStyle w:val="Ttulo2"/>
        <w:numPr>
          <w:ilvl w:val="1"/>
          <w:numId w:val="1"/>
        </w:numPr>
      </w:pPr>
      <w:r w:rsidRPr="005149C4">
        <w:t>Análisis del comportamiento estadístico</w:t>
      </w:r>
    </w:p>
    <w:p w14:paraId="175596DD" w14:textId="0DCF6E41" w:rsidR="00410F64" w:rsidRPr="005149C4" w:rsidRDefault="00786F31" w:rsidP="00351912">
      <w:pPr>
        <w:pStyle w:val="Ttulo3"/>
      </w:pPr>
      <w:r w:rsidRPr="005149C4">
        <w:t>Justicia Restaurativa</w:t>
      </w:r>
      <w:r w:rsidR="00132713" w:rsidRPr="005149C4">
        <w:t xml:space="preserve"> Penal de Adultos</w:t>
      </w:r>
    </w:p>
    <w:p w14:paraId="45F0F400" w14:textId="6CBC026C" w:rsidR="00DB6B0B" w:rsidRPr="005149C4" w:rsidRDefault="00DB6B0B" w:rsidP="00DB6B0B">
      <w:pPr>
        <w:tabs>
          <w:tab w:val="left" w:pos="0"/>
        </w:tabs>
        <w:rPr>
          <w:sz w:val="18"/>
          <w:szCs w:val="18"/>
          <w:lang w:val="es-ES"/>
        </w:rPr>
      </w:pPr>
      <w:r w:rsidRPr="005149C4">
        <w:t>En el cuadro siguiente, se presenta el detalle de las variables estadísticas, en Justicia Restaurativa Penal de Adultos, para el período 201</w:t>
      </w:r>
      <w:r w:rsidR="00266EF4" w:rsidRPr="005149C4">
        <w:t>9</w:t>
      </w:r>
      <w:r w:rsidRPr="005149C4">
        <w:t xml:space="preserve"> a 202</w:t>
      </w:r>
      <w:r w:rsidR="00591B69" w:rsidRPr="005149C4">
        <w:t>2</w:t>
      </w:r>
      <w:r w:rsidRPr="005149C4">
        <w:t>.</w:t>
      </w:r>
      <w:r w:rsidRPr="005149C4">
        <w:rPr>
          <w:sz w:val="18"/>
          <w:szCs w:val="18"/>
          <w:lang w:val="es-ES"/>
        </w:rPr>
        <w:t xml:space="preserve"> </w:t>
      </w:r>
    </w:p>
    <w:p w14:paraId="05138EC6" w14:textId="58AB74F1" w:rsidR="00DB6B0B" w:rsidRPr="005149C4" w:rsidRDefault="00DB6B0B" w:rsidP="00DB6B0B">
      <w:pPr>
        <w:pStyle w:val="Descripcin"/>
        <w:spacing w:before="0" w:after="0"/>
        <w:ind w:left="851" w:right="333"/>
        <w:jc w:val="center"/>
      </w:pPr>
      <w:bookmarkStart w:id="7" w:name="_Ref30424287"/>
      <w:bookmarkStart w:id="8" w:name="_Ref30424269"/>
      <w:r w:rsidRPr="005149C4">
        <w:t xml:space="preserve">Cuadro </w:t>
      </w:r>
      <w:r w:rsidRPr="005149C4">
        <w:fldChar w:fldCharType="begin"/>
      </w:r>
      <w:r w:rsidRPr="005149C4">
        <w:instrText>SEQ Cuadro \* ARABIC</w:instrText>
      </w:r>
      <w:r w:rsidRPr="005149C4">
        <w:fldChar w:fldCharType="separate"/>
      </w:r>
      <w:r w:rsidR="00607DCE" w:rsidRPr="005149C4">
        <w:rPr>
          <w:noProof/>
        </w:rPr>
        <w:t>3</w:t>
      </w:r>
      <w:r w:rsidRPr="005149C4">
        <w:fldChar w:fldCharType="end"/>
      </w:r>
      <w:bookmarkEnd w:id="7"/>
      <w:r w:rsidRPr="005149C4">
        <w:t>. Comportamiento de las variables estadísticas de Justicia Restaurativa Penal de Adultos periodo 201</w:t>
      </w:r>
      <w:r w:rsidR="00266EF4" w:rsidRPr="005149C4">
        <w:t>9</w:t>
      </w:r>
      <w:r w:rsidR="00591B69" w:rsidRPr="005149C4">
        <w:t xml:space="preserve"> al 2022</w:t>
      </w:r>
      <w:r w:rsidRPr="005149C4">
        <w:t>.</w:t>
      </w:r>
      <w:bookmarkEnd w:id="8"/>
      <w:r w:rsidR="00EA2FF2" w:rsidRPr="005149C4">
        <w:t xml:space="preserve"> </w:t>
      </w:r>
    </w:p>
    <w:tbl>
      <w:tblPr>
        <w:tblW w:w="9370" w:type="dxa"/>
        <w:jc w:val="center"/>
        <w:tblCellMar>
          <w:left w:w="70" w:type="dxa"/>
          <w:right w:w="70" w:type="dxa"/>
        </w:tblCellMar>
        <w:tblLook w:val="04A0" w:firstRow="1" w:lastRow="0" w:firstColumn="1" w:lastColumn="0" w:noHBand="0" w:noVBand="1"/>
      </w:tblPr>
      <w:tblGrid>
        <w:gridCol w:w="3480"/>
        <w:gridCol w:w="1178"/>
        <w:gridCol w:w="1178"/>
        <w:gridCol w:w="1178"/>
        <w:gridCol w:w="1178"/>
        <w:gridCol w:w="1178"/>
      </w:tblGrid>
      <w:tr w:rsidR="004811F2" w:rsidRPr="005149C4" w14:paraId="7C50C153" w14:textId="77777777" w:rsidTr="004811F2">
        <w:trPr>
          <w:trHeight w:val="660"/>
          <w:jc w:val="center"/>
        </w:trPr>
        <w:tc>
          <w:tcPr>
            <w:tcW w:w="3480" w:type="dxa"/>
            <w:vMerge w:val="restart"/>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67AD1271"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Variable</w:t>
            </w:r>
          </w:p>
        </w:tc>
        <w:tc>
          <w:tcPr>
            <w:tcW w:w="5890" w:type="dxa"/>
            <w:gridSpan w:val="5"/>
            <w:tcBorders>
              <w:top w:val="nil"/>
              <w:left w:val="nil"/>
              <w:bottom w:val="double" w:sz="6" w:space="0" w:color="305496"/>
              <w:right w:val="nil"/>
            </w:tcBorders>
            <w:shd w:val="clear" w:color="000000" w:fill="B4C6E7"/>
            <w:noWrap/>
            <w:vAlign w:val="center"/>
            <w:hideMark/>
          </w:tcPr>
          <w:p w14:paraId="75A955E2"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Año</w:t>
            </w:r>
          </w:p>
        </w:tc>
      </w:tr>
      <w:tr w:rsidR="004811F2" w:rsidRPr="005149C4" w14:paraId="4C689159" w14:textId="77777777" w:rsidTr="004811F2">
        <w:trPr>
          <w:trHeight w:val="345"/>
          <w:jc w:val="center"/>
        </w:trPr>
        <w:tc>
          <w:tcPr>
            <w:tcW w:w="3480" w:type="dxa"/>
            <w:vMerge/>
            <w:tcBorders>
              <w:top w:val="double" w:sz="6" w:space="0" w:color="305496"/>
              <w:left w:val="double" w:sz="6" w:space="0" w:color="305496"/>
              <w:bottom w:val="double" w:sz="6" w:space="0" w:color="305496"/>
              <w:right w:val="double" w:sz="6" w:space="0" w:color="305496"/>
            </w:tcBorders>
            <w:vAlign w:val="center"/>
            <w:hideMark/>
          </w:tcPr>
          <w:p w14:paraId="411581AB" w14:textId="77777777" w:rsidR="004811F2" w:rsidRPr="005149C4" w:rsidRDefault="004811F2" w:rsidP="004811F2">
            <w:pPr>
              <w:spacing w:before="0" w:after="0" w:line="240" w:lineRule="auto"/>
              <w:jc w:val="left"/>
              <w:rPr>
                <w:rFonts w:eastAsia="Times New Roman" w:cs="Calibri"/>
                <w:color w:val="000000"/>
                <w:szCs w:val="24"/>
                <w:lang w:eastAsia="es-CR"/>
              </w:rPr>
            </w:pPr>
          </w:p>
        </w:tc>
        <w:tc>
          <w:tcPr>
            <w:tcW w:w="1178" w:type="dxa"/>
            <w:tcBorders>
              <w:top w:val="nil"/>
              <w:left w:val="nil"/>
              <w:bottom w:val="double" w:sz="6" w:space="0" w:color="305496"/>
              <w:right w:val="double" w:sz="6" w:space="0" w:color="305496"/>
            </w:tcBorders>
            <w:shd w:val="clear" w:color="000000" w:fill="B4C6E7"/>
            <w:noWrap/>
            <w:vAlign w:val="bottom"/>
            <w:hideMark/>
          </w:tcPr>
          <w:p w14:paraId="711C41FA"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2018</w:t>
            </w:r>
          </w:p>
        </w:tc>
        <w:tc>
          <w:tcPr>
            <w:tcW w:w="1178" w:type="dxa"/>
            <w:tcBorders>
              <w:top w:val="nil"/>
              <w:left w:val="nil"/>
              <w:bottom w:val="double" w:sz="6" w:space="0" w:color="305496"/>
              <w:right w:val="double" w:sz="6" w:space="0" w:color="305496"/>
            </w:tcBorders>
            <w:shd w:val="clear" w:color="000000" w:fill="B4C6E7"/>
            <w:noWrap/>
            <w:vAlign w:val="bottom"/>
            <w:hideMark/>
          </w:tcPr>
          <w:p w14:paraId="641C1140"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2019</w:t>
            </w:r>
          </w:p>
        </w:tc>
        <w:tc>
          <w:tcPr>
            <w:tcW w:w="1178" w:type="dxa"/>
            <w:tcBorders>
              <w:top w:val="nil"/>
              <w:left w:val="nil"/>
              <w:bottom w:val="double" w:sz="6" w:space="0" w:color="305496"/>
              <w:right w:val="double" w:sz="6" w:space="0" w:color="305496"/>
            </w:tcBorders>
            <w:shd w:val="clear" w:color="000000" w:fill="B4C6E7"/>
            <w:noWrap/>
            <w:vAlign w:val="bottom"/>
            <w:hideMark/>
          </w:tcPr>
          <w:p w14:paraId="23CEA0CA"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2020</w:t>
            </w:r>
          </w:p>
        </w:tc>
        <w:tc>
          <w:tcPr>
            <w:tcW w:w="1178" w:type="dxa"/>
            <w:tcBorders>
              <w:top w:val="nil"/>
              <w:left w:val="nil"/>
              <w:bottom w:val="double" w:sz="6" w:space="0" w:color="305496"/>
              <w:right w:val="double" w:sz="6" w:space="0" w:color="305496"/>
            </w:tcBorders>
            <w:shd w:val="clear" w:color="000000" w:fill="B4C6E7"/>
            <w:noWrap/>
            <w:vAlign w:val="bottom"/>
            <w:hideMark/>
          </w:tcPr>
          <w:p w14:paraId="48FB255F"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2021</w:t>
            </w:r>
          </w:p>
        </w:tc>
        <w:tc>
          <w:tcPr>
            <w:tcW w:w="1178" w:type="dxa"/>
            <w:tcBorders>
              <w:top w:val="nil"/>
              <w:left w:val="nil"/>
              <w:bottom w:val="double" w:sz="6" w:space="0" w:color="305496"/>
              <w:right w:val="double" w:sz="6" w:space="0" w:color="305496"/>
            </w:tcBorders>
            <w:shd w:val="clear" w:color="000000" w:fill="B4C6E7"/>
            <w:noWrap/>
            <w:vAlign w:val="bottom"/>
            <w:hideMark/>
          </w:tcPr>
          <w:p w14:paraId="65D58BFF"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2022</w:t>
            </w:r>
          </w:p>
        </w:tc>
      </w:tr>
      <w:tr w:rsidR="004811F2" w:rsidRPr="005149C4" w14:paraId="7E527BA3" w14:textId="77777777" w:rsidTr="004811F2">
        <w:trPr>
          <w:trHeight w:val="390"/>
          <w:jc w:val="center"/>
        </w:trPr>
        <w:tc>
          <w:tcPr>
            <w:tcW w:w="3480" w:type="dxa"/>
            <w:tcBorders>
              <w:top w:val="nil"/>
              <w:left w:val="double" w:sz="6" w:space="0" w:color="305496"/>
              <w:bottom w:val="double" w:sz="6" w:space="0" w:color="305496"/>
              <w:right w:val="double" w:sz="6" w:space="0" w:color="305496"/>
            </w:tcBorders>
            <w:shd w:val="clear" w:color="auto" w:fill="auto"/>
            <w:noWrap/>
            <w:vAlign w:val="bottom"/>
            <w:hideMark/>
          </w:tcPr>
          <w:p w14:paraId="629CE9C2"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Entrados</w:t>
            </w:r>
          </w:p>
        </w:tc>
        <w:tc>
          <w:tcPr>
            <w:tcW w:w="1178" w:type="dxa"/>
            <w:tcBorders>
              <w:top w:val="nil"/>
              <w:left w:val="nil"/>
              <w:bottom w:val="double" w:sz="6" w:space="0" w:color="305496"/>
              <w:right w:val="double" w:sz="6" w:space="0" w:color="305496"/>
            </w:tcBorders>
            <w:shd w:val="clear" w:color="auto" w:fill="auto"/>
            <w:noWrap/>
            <w:vAlign w:val="bottom"/>
            <w:hideMark/>
          </w:tcPr>
          <w:p w14:paraId="38C09CEE"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2411</w:t>
            </w:r>
          </w:p>
        </w:tc>
        <w:tc>
          <w:tcPr>
            <w:tcW w:w="1178" w:type="dxa"/>
            <w:tcBorders>
              <w:top w:val="nil"/>
              <w:left w:val="nil"/>
              <w:bottom w:val="double" w:sz="6" w:space="0" w:color="305496"/>
              <w:right w:val="double" w:sz="6" w:space="0" w:color="305496"/>
            </w:tcBorders>
            <w:shd w:val="clear" w:color="auto" w:fill="auto"/>
            <w:noWrap/>
            <w:vAlign w:val="bottom"/>
            <w:hideMark/>
          </w:tcPr>
          <w:p w14:paraId="50512E0D"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2729</w:t>
            </w:r>
          </w:p>
        </w:tc>
        <w:tc>
          <w:tcPr>
            <w:tcW w:w="1178" w:type="dxa"/>
            <w:tcBorders>
              <w:top w:val="nil"/>
              <w:left w:val="nil"/>
              <w:bottom w:val="double" w:sz="6" w:space="0" w:color="305496"/>
              <w:right w:val="double" w:sz="6" w:space="0" w:color="305496"/>
            </w:tcBorders>
            <w:shd w:val="clear" w:color="auto" w:fill="auto"/>
            <w:noWrap/>
            <w:vAlign w:val="bottom"/>
            <w:hideMark/>
          </w:tcPr>
          <w:p w14:paraId="55608F86"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2428</w:t>
            </w:r>
          </w:p>
        </w:tc>
        <w:tc>
          <w:tcPr>
            <w:tcW w:w="1178" w:type="dxa"/>
            <w:tcBorders>
              <w:top w:val="nil"/>
              <w:left w:val="nil"/>
              <w:bottom w:val="double" w:sz="6" w:space="0" w:color="305496"/>
              <w:right w:val="double" w:sz="6" w:space="0" w:color="305496"/>
            </w:tcBorders>
            <w:shd w:val="clear" w:color="auto" w:fill="auto"/>
            <w:noWrap/>
            <w:vAlign w:val="bottom"/>
            <w:hideMark/>
          </w:tcPr>
          <w:p w14:paraId="746EE99C"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3144</w:t>
            </w:r>
          </w:p>
        </w:tc>
        <w:tc>
          <w:tcPr>
            <w:tcW w:w="1178" w:type="dxa"/>
            <w:tcBorders>
              <w:top w:val="nil"/>
              <w:left w:val="nil"/>
              <w:bottom w:val="double" w:sz="6" w:space="0" w:color="305496"/>
              <w:right w:val="double" w:sz="6" w:space="0" w:color="305496"/>
            </w:tcBorders>
            <w:shd w:val="clear" w:color="auto" w:fill="auto"/>
            <w:noWrap/>
            <w:vAlign w:val="bottom"/>
            <w:hideMark/>
          </w:tcPr>
          <w:p w14:paraId="5E04EF05"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3726</w:t>
            </w:r>
          </w:p>
        </w:tc>
      </w:tr>
      <w:tr w:rsidR="004811F2" w:rsidRPr="005149C4" w14:paraId="17468DB3" w14:textId="77777777" w:rsidTr="004811F2">
        <w:trPr>
          <w:trHeight w:val="390"/>
          <w:jc w:val="center"/>
        </w:trPr>
        <w:tc>
          <w:tcPr>
            <w:tcW w:w="3480" w:type="dxa"/>
            <w:tcBorders>
              <w:top w:val="nil"/>
              <w:left w:val="double" w:sz="6" w:space="0" w:color="305496"/>
              <w:bottom w:val="double" w:sz="6" w:space="0" w:color="305496"/>
              <w:right w:val="double" w:sz="6" w:space="0" w:color="305496"/>
            </w:tcBorders>
            <w:shd w:val="clear" w:color="auto" w:fill="auto"/>
            <w:noWrap/>
            <w:vAlign w:val="bottom"/>
            <w:hideMark/>
          </w:tcPr>
          <w:p w14:paraId="3D5E20D7"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Reentrados</w:t>
            </w:r>
          </w:p>
        </w:tc>
        <w:tc>
          <w:tcPr>
            <w:tcW w:w="1178" w:type="dxa"/>
            <w:tcBorders>
              <w:top w:val="nil"/>
              <w:left w:val="nil"/>
              <w:bottom w:val="double" w:sz="6" w:space="0" w:color="305496"/>
              <w:right w:val="double" w:sz="6" w:space="0" w:color="305496"/>
            </w:tcBorders>
            <w:shd w:val="clear" w:color="auto" w:fill="auto"/>
            <w:noWrap/>
            <w:vAlign w:val="bottom"/>
            <w:hideMark/>
          </w:tcPr>
          <w:p w14:paraId="5F1E9F10"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49</w:t>
            </w:r>
          </w:p>
        </w:tc>
        <w:tc>
          <w:tcPr>
            <w:tcW w:w="1178" w:type="dxa"/>
            <w:tcBorders>
              <w:top w:val="nil"/>
              <w:left w:val="nil"/>
              <w:bottom w:val="double" w:sz="6" w:space="0" w:color="305496"/>
              <w:right w:val="double" w:sz="6" w:space="0" w:color="305496"/>
            </w:tcBorders>
            <w:shd w:val="clear" w:color="auto" w:fill="auto"/>
            <w:noWrap/>
            <w:vAlign w:val="bottom"/>
            <w:hideMark/>
          </w:tcPr>
          <w:p w14:paraId="34C9032D"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100</w:t>
            </w:r>
          </w:p>
        </w:tc>
        <w:tc>
          <w:tcPr>
            <w:tcW w:w="1178" w:type="dxa"/>
            <w:tcBorders>
              <w:top w:val="nil"/>
              <w:left w:val="nil"/>
              <w:bottom w:val="double" w:sz="6" w:space="0" w:color="305496"/>
              <w:right w:val="double" w:sz="6" w:space="0" w:color="305496"/>
            </w:tcBorders>
            <w:shd w:val="clear" w:color="auto" w:fill="auto"/>
            <w:noWrap/>
            <w:vAlign w:val="bottom"/>
            <w:hideMark/>
          </w:tcPr>
          <w:p w14:paraId="1E8BB170"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70</w:t>
            </w:r>
          </w:p>
        </w:tc>
        <w:tc>
          <w:tcPr>
            <w:tcW w:w="1178" w:type="dxa"/>
            <w:tcBorders>
              <w:top w:val="nil"/>
              <w:left w:val="nil"/>
              <w:bottom w:val="double" w:sz="6" w:space="0" w:color="305496"/>
              <w:right w:val="double" w:sz="6" w:space="0" w:color="305496"/>
            </w:tcBorders>
            <w:shd w:val="clear" w:color="auto" w:fill="auto"/>
            <w:noWrap/>
            <w:vAlign w:val="bottom"/>
            <w:hideMark/>
          </w:tcPr>
          <w:p w14:paraId="7022D23A"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77</w:t>
            </w:r>
          </w:p>
        </w:tc>
        <w:tc>
          <w:tcPr>
            <w:tcW w:w="1178" w:type="dxa"/>
            <w:tcBorders>
              <w:top w:val="nil"/>
              <w:left w:val="nil"/>
              <w:bottom w:val="double" w:sz="6" w:space="0" w:color="305496"/>
              <w:right w:val="double" w:sz="6" w:space="0" w:color="305496"/>
            </w:tcBorders>
            <w:shd w:val="clear" w:color="auto" w:fill="auto"/>
            <w:noWrap/>
            <w:vAlign w:val="bottom"/>
            <w:hideMark/>
          </w:tcPr>
          <w:p w14:paraId="02E7F249"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102</w:t>
            </w:r>
          </w:p>
        </w:tc>
      </w:tr>
      <w:tr w:rsidR="004811F2" w:rsidRPr="005149C4" w14:paraId="056F0CEA" w14:textId="77777777" w:rsidTr="004811F2">
        <w:trPr>
          <w:trHeight w:val="390"/>
          <w:jc w:val="center"/>
        </w:trPr>
        <w:tc>
          <w:tcPr>
            <w:tcW w:w="3480" w:type="dxa"/>
            <w:tcBorders>
              <w:top w:val="nil"/>
              <w:left w:val="double" w:sz="6" w:space="0" w:color="305496"/>
              <w:bottom w:val="double" w:sz="6" w:space="0" w:color="305496"/>
              <w:right w:val="double" w:sz="6" w:space="0" w:color="305496"/>
            </w:tcBorders>
            <w:shd w:val="clear" w:color="auto" w:fill="auto"/>
            <w:noWrap/>
            <w:vAlign w:val="bottom"/>
            <w:hideMark/>
          </w:tcPr>
          <w:p w14:paraId="08B6C1D5"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Total de entrados</w:t>
            </w:r>
          </w:p>
        </w:tc>
        <w:tc>
          <w:tcPr>
            <w:tcW w:w="1178" w:type="dxa"/>
            <w:tcBorders>
              <w:top w:val="nil"/>
              <w:left w:val="nil"/>
              <w:bottom w:val="double" w:sz="6" w:space="0" w:color="305496"/>
              <w:right w:val="double" w:sz="6" w:space="0" w:color="305496"/>
            </w:tcBorders>
            <w:shd w:val="clear" w:color="auto" w:fill="auto"/>
            <w:noWrap/>
            <w:vAlign w:val="bottom"/>
            <w:hideMark/>
          </w:tcPr>
          <w:p w14:paraId="6636BC87"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2460</w:t>
            </w:r>
          </w:p>
        </w:tc>
        <w:tc>
          <w:tcPr>
            <w:tcW w:w="1178" w:type="dxa"/>
            <w:tcBorders>
              <w:top w:val="nil"/>
              <w:left w:val="nil"/>
              <w:bottom w:val="double" w:sz="6" w:space="0" w:color="305496"/>
              <w:right w:val="double" w:sz="6" w:space="0" w:color="305496"/>
            </w:tcBorders>
            <w:shd w:val="clear" w:color="auto" w:fill="auto"/>
            <w:noWrap/>
            <w:vAlign w:val="bottom"/>
            <w:hideMark/>
          </w:tcPr>
          <w:p w14:paraId="5CEB7111"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2829</w:t>
            </w:r>
          </w:p>
        </w:tc>
        <w:tc>
          <w:tcPr>
            <w:tcW w:w="1178" w:type="dxa"/>
            <w:tcBorders>
              <w:top w:val="nil"/>
              <w:left w:val="nil"/>
              <w:bottom w:val="double" w:sz="6" w:space="0" w:color="305496"/>
              <w:right w:val="double" w:sz="6" w:space="0" w:color="305496"/>
            </w:tcBorders>
            <w:shd w:val="clear" w:color="auto" w:fill="auto"/>
            <w:noWrap/>
            <w:vAlign w:val="bottom"/>
            <w:hideMark/>
          </w:tcPr>
          <w:p w14:paraId="4F5D73D7"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2498</w:t>
            </w:r>
          </w:p>
        </w:tc>
        <w:tc>
          <w:tcPr>
            <w:tcW w:w="1178" w:type="dxa"/>
            <w:tcBorders>
              <w:top w:val="nil"/>
              <w:left w:val="nil"/>
              <w:bottom w:val="double" w:sz="6" w:space="0" w:color="305496"/>
              <w:right w:val="double" w:sz="6" w:space="0" w:color="305496"/>
            </w:tcBorders>
            <w:shd w:val="clear" w:color="auto" w:fill="auto"/>
            <w:noWrap/>
            <w:vAlign w:val="bottom"/>
            <w:hideMark/>
          </w:tcPr>
          <w:p w14:paraId="4F31D0B4"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3221</w:t>
            </w:r>
          </w:p>
        </w:tc>
        <w:tc>
          <w:tcPr>
            <w:tcW w:w="1178" w:type="dxa"/>
            <w:tcBorders>
              <w:top w:val="nil"/>
              <w:left w:val="nil"/>
              <w:bottom w:val="double" w:sz="6" w:space="0" w:color="305496"/>
              <w:right w:val="double" w:sz="6" w:space="0" w:color="305496"/>
            </w:tcBorders>
            <w:shd w:val="clear" w:color="auto" w:fill="auto"/>
            <w:noWrap/>
            <w:vAlign w:val="bottom"/>
            <w:hideMark/>
          </w:tcPr>
          <w:p w14:paraId="45205BD0"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3828</w:t>
            </w:r>
          </w:p>
        </w:tc>
      </w:tr>
      <w:tr w:rsidR="004811F2" w:rsidRPr="005149C4" w14:paraId="73B9168B" w14:textId="77777777" w:rsidTr="004811F2">
        <w:trPr>
          <w:trHeight w:val="390"/>
          <w:jc w:val="center"/>
        </w:trPr>
        <w:tc>
          <w:tcPr>
            <w:tcW w:w="3480" w:type="dxa"/>
            <w:tcBorders>
              <w:top w:val="nil"/>
              <w:left w:val="double" w:sz="6" w:space="0" w:color="305496"/>
              <w:bottom w:val="double" w:sz="6" w:space="0" w:color="305496"/>
              <w:right w:val="double" w:sz="6" w:space="0" w:color="305496"/>
            </w:tcBorders>
            <w:shd w:val="clear" w:color="auto" w:fill="auto"/>
            <w:noWrap/>
            <w:vAlign w:val="bottom"/>
            <w:hideMark/>
          </w:tcPr>
          <w:p w14:paraId="104F1207"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Terminados</w:t>
            </w:r>
          </w:p>
        </w:tc>
        <w:tc>
          <w:tcPr>
            <w:tcW w:w="1178" w:type="dxa"/>
            <w:tcBorders>
              <w:top w:val="nil"/>
              <w:left w:val="nil"/>
              <w:bottom w:val="double" w:sz="6" w:space="0" w:color="305496"/>
              <w:right w:val="double" w:sz="6" w:space="0" w:color="305496"/>
            </w:tcBorders>
            <w:shd w:val="clear" w:color="auto" w:fill="auto"/>
            <w:noWrap/>
            <w:vAlign w:val="bottom"/>
            <w:hideMark/>
          </w:tcPr>
          <w:p w14:paraId="44733FAE"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2318</w:t>
            </w:r>
          </w:p>
        </w:tc>
        <w:tc>
          <w:tcPr>
            <w:tcW w:w="1178" w:type="dxa"/>
            <w:tcBorders>
              <w:top w:val="nil"/>
              <w:left w:val="nil"/>
              <w:bottom w:val="double" w:sz="6" w:space="0" w:color="305496"/>
              <w:right w:val="double" w:sz="6" w:space="0" w:color="305496"/>
            </w:tcBorders>
            <w:shd w:val="clear" w:color="auto" w:fill="auto"/>
            <w:noWrap/>
            <w:vAlign w:val="bottom"/>
            <w:hideMark/>
          </w:tcPr>
          <w:p w14:paraId="145EC557"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2985</w:t>
            </w:r>
          </w:p>
        </w:tc>
        <w:tc>
          <w:tcPr>
            <w:tcW w:w="1178" w:type="dxa"/>
            <w:tcBorders>
              <w:top w:val="nil"/>
              <w:left w:val="nil"/>
              <w:bottom w:val="double" w:sz="6" w:space="0" w:color="305496"/>
              <w:right w:val="double" w:sz="6" w:space="0" w:color="305496"/>
            </w:tcBorders>
            <w:shd w:val="clear" w:color="auto" w:fill="auto"/>
            <w:noWrap/>
            <w:vAlign w:val="bottom"/>
            <w:hideMark/>
          </w:tcPr>
          <w:p w14:paraId="12C546E4"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2287</w:t>
            </w:r>
          </w:p>
        </w:tc>
        <w:tc>
          <w:tcPr>
            <w:tcW w:w="1178" w:type="dxa"/>
            <w:tcBorders>
              <w:top w:val="nil"/>
              <w:left w:val="nil"/>
              <w:bottom w:val="double" w:sz="6" w:space="0" w:color="305496"/>
              <w:right w:val="double" w:sz="6" w:space="0" w:color="305496"/>
            </w:tcBorders>
            <w:shd w:val="clear" w:color="auto" w:fill="auto"/>
            <w:noWrap/>
            <w:vAlign w:val="bottom"/>
            <w:hideMark/>
          </w:tcPr>
          <w:p w14:paraId="353D59B8"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3256</w:t>
            </w:r>
          </w:p>
        </w:tc>
        <w:tc>
          <w:tcPr>
            <w:tcW w:w="1178" w:type="dxa"/>
            <w:tcBorders>
              <w:top w:val="nil"/>
              <w:left w:val="nil"/>
              <w:bottom w:val="double" w:sz="6" w:space="0" w:color="305496"/>
              <w:right w:val="double" w:sz="6" w:space="0" w:color="305496"/>
            </w:tcBorders>
            <w:shd w:val="clear" w:color="auto" w:fill="auto"/>
            <w:noWrap/>
            <w:vAlign w:val="bottom"/>
            <w:hideMark/>
          </w:tcPr>
          <w:p w14:paraId="0DA7A6DD"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3806</w:t>
            </w:r>
          </w:p>
        </w:tc>
      </w:tr>
      <w:tr w:rsidR="004811F2" w:rsidRPr="005149C4" w14:paraId="3B946C87" w14:textId="77777777" w:rsidTr="004811F2">
        <w:trPr>
          <w:trHeight w:val="345"/>
          <w:jc w:val="center"/>
        </w:trPr>
        <w:tc>
          <w:tcPr>
            <w:tcW w:w="3480" w:type="dxa"/>
            <w:tcBorders>
              <w:top w:val="nil"/>
              <w:left w:val="double" w:sz="6" w:space="0" w:color="305496"/>
              <w:bottom w:val="double" w:sz="6" w:space="0" w:color="305496"/>
              <w:right w:val="double" w:sz="6" w:space="0" w:color="305496"/>
            </w:tcBorders>
            <w:shd w:val="clear" w:color="auto" w:fill="auto"/>
            <w:noWrap/>
            <w:vAlign w:val="bottom"/>
            <w:hideMark/>
          </w:tcPr>
          <w:p w14:paraId="1EA2BD6C"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Circulante final</w:t>
            </w:r>
          </w:p>
        </w:tc>
        <w:tc>
          <w:tcPr>
            <w:tcW w:w="1178" w:type="dxa"/>
            <w:tcBorders>
              <w:top w:val="nil"/>
              <w:left w:val="nil"/>
              <w:bottom w:val="double" w:sz="6" w:space="0" w:color="305496"/>
              <w:right w:val="double" w:sz="6" w:space="0" w:color="305496"/>
            </w:tcBorders>
            <w:shd w:val="clear" w:color="auto" w:fill="auto"/>
            <w:noWrap/>
            <w:vAlign w:val="bottom"/>
            <w:hideMark/>
          </w:tcPr>
          <w:p w14:paraId="64499380"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499</w:t>
            </w:r>
          </w:p>
        </w:tc>
        <w:tc>
          <w:tcPr>
            <w:tcW w:w="1178" w:type="dxa"/>
            <w:tcBorders>
              <w:top w:val="nil"/>
              <w:left w:val="nil"/>
              <w:bottom w:val="double" w:sz="6" w:space="0" w:color="305496"/>
              <w:right w:val="double" w:sz="6" w:space="0" w:color="305496"/>
            </w:tcBorders>
            <w:shd w:val="clear" w:color="auto" w:fill="auto"/>
            <w:noWrap/>
            <w:vAlign w:val="bottom"/>
            <w:hideMark/>
          </w:tcPr>
          <w:p w14:paraId="75AC8956"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329</w:t>
            </w:r>
          </w:p>
        </w:tc>
        <w:tc>
          <w:tcPr>
            <w:tcW w:w="1178" w:type="dxa"/>
            <w:tcBorders>
              <w:top w:val="nil"/>
              <w:left w:val="nil"/>
              <w:bottom w:val="double" w:sz="6" w:space="0" w:color="305496"/>
              <w:right w:val="double" w:sz="6" w:space="0" w:color="305496"/>
            </w:tcBorders>
            <w:shd w:val="clear" w:color="auto" w:fill="auto"/>
            <w:noWrap/>
            <w:vAlign w:val="bottom"/>
            <w:hideMark/>
          </w:tcPr>
          <w:p w14:paraId="771DA166"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540</w:t>
            </w:r>
          </w:p>
        </w:tc>
        <w:tc>
          <w:tcPr>
            <w:tcW w:w="1178" w:type="dxa"/>
            <w:tcBorders>
              <w:top w:val="nil"/>
              <w:left w:val="nil"/>
              <w:bottom w:val="double" w:sz="6" w:space="0" w:color="305496"/>
              <w:right w:val="double" w:sz="6" w:space="0" w:color="305496"/>
            </w:tcBorders>
            <w:shd w:val="clear" w:color="auto" w:fill="auto"/>
            <w:noWrap/>
            <w:vAlign w:val="bottom"/>
            <w:hideMark/>
          </w:tcPr>
          <w:p w14:paraId="46C5BB51"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573</w:t>
            </w:r>
          </w:p>
        </w:tc>
        <w:tc>
          <w:tcPr>
            <w:tcW w:w="1178" w:type="dxa"/>
            <w:tcBorders>
              <w:top w:val="nil"/>
              <w:left w:val="nil"/>
              <w:bottom w:val="double" w:sz="6" w:space="0" w:color="305496"/>
              <w:right w:val="double" w:sz="6" w:space="0" w:color="305496"/>
            </w:tcBorders>
            <w:shd w:val="clear" w:color="auto" w:fill="auto"/>
            <w:noWrap/>
            <w:vAlign w:val="bottom"/>
            <w:hideMark/>
          </w:tcPr>
          <w:p w14:paraId="2AAFF69B" w14:textId="77777777" w:rsidR="004811F2" w:rsidRPr="005149C4" w:rsidRDefault="004811F2" w:rsidP="004811F2">
            <w:pPr>
              <w:spacing w:before="0" w:after="0" w:line="240" w:lineRule="auto"/>
              <w:jc w:val="center"/>
              <w:rPr>
                <w:rFonts w:eastAsia="Times New Roman" w:cs="Calibri"/>
                <w:color w:val="000000"/>
                <w:szCs w:val="24"/>
                <w:lang w:eastAsia="es-CR"/>
              </w:rPr>
            </w:pPr>
            <w:r w:rsidRPr="005149C4">
              <w:rPr>
                <w:rFonts w:eastAsia="Times New Roman" w:cs="Calibri"/>
                <w:color w:val="000000"/>
                <w:szCs w:val="24"/>
                <w:lang w:eastAsia="es-CR"/>
              </w:rPr>
              <w:t>590</w:t>
            </w:r>
          </w:p>
        </w:tc>
      </w:tr>
    </w:tbl>
    <w:p w14:paraId="2670E2F8" w14:textId="508BBE05" w:rsidR="00DB6B0B" w:rsidRPr="005149C4" w:rsidRDefault="00DB6B0B" w:rsidP="004811F2">
      <w:pPr>
        <w:ind w:right="758"/>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w:t>
      </w:r>
      <w:r w:rsidR="00D01E91" w:rsidRPr="005149C4">
        <w:rPr>
          <w:rFonts w:cs="Calibri"/>
          <w:bCs/>
          <w:color w:val="000000"/>
          <w:sz w:val="20"/>
          <w:szCs w:val="20"/>
          <w:lang w:eastAsia="es-CR"/>
        </w:rPr>
        <w:t>extr</w:t>
      </w:r>
      <w:r w:rsidR="00B079D4" w:rsidRPr="005149C4">
        <w:rPr>
          <w:rFonts w:cs="Calibri"/>
          <w:bCs/>
          <w:color w:val="000000"/>
          <w:sz w:val="20"/>
          <w:szCs w:val="20"/>
          <w:lang w:eastAsia="es-CR"/>
        </w:rPr>
        <w:t>a</w:t>
      </w:r>
      <w:r w:rsidR="00CC0DFF" w:rsidRPr="005149C4">
        <w:rPr>
          <w:rFonts w:cs="Calibri"/>
          <w:bCs/>
          <w:color w:val="000000"/>
          <w:sz w:val="20"/>
          <w:szCs w:val="20"/>
          <w:lang w:eastAsia="es-CR"/>
        </w:rPr>
        <w:t>í</w:t>
      </w:r>
      <w:r w:rsidR="00D01E91" w:rsidRPr="005149C4">
        <w:rPr>
          <w:rFonts w:cs="Calibri"/>
          <w:bCs/>
          <w:color w:val="000000"/>
          <w:sz w:val="20"/>
          <w:szCs w:val="20"/>
          <w:lang w:eastAsia="es-CR"/>
        </w:rPr>
        <w:t>da de la base de dat</w:t>
      </w:r>
      <w:r w:rsidR="00B079D4" w:rsidRPr="005149C4">
        <w:rPr>
          <w:rFonts w:cs="Calibri"/>
          <w:bCs/>
          <w:color w:val="000000"/>
          <w:sz w:val="20"/>
          <w:szCs w:val="20"/>
          <w:lang w:eastAsia="es-CR"/>
        </w:rPr>
        <w:t>os de SIGMA</w:t>
      </w:r>
      <w:r w:rsidRPr="005149C4">
        <w:rPr>
          <w:rFonts w:cs="Calibri"/>
          <w:bCs/>
          <w:color w:val="000000"/>
          <w:sz w:val="20"/>
          <w:szCs w:val="20"/>
          <w:lang w:eastAsia="es-CR"/>
        </w:rPr>
        <w:t xml:space="preserve">. </w:t>
      </w:r>
    </w:p>
    <w:p w14:paraId="3354D511" w14:textId="466240B0" w:rsidR="00DB6B0B" w:rsidRPr="005149C4" w:rsidRDefault="00DB6B0B" w:rsidP="00DB6B0B">
      <w:pPr>
        <w:tabs>
          <w:tab w:val="left" w:pos="0"/>
        </w:tabs>
      </w:pPr>
      <w:r w:rsidRPr="005149C4">
        <w:t xml:space="preserve">A partir de la información mostrada en el </w:t>
      </w:r>
      <w:r w:rsidRPr="005149C4">
        <w:fldChar w:fldCharType="begin"/>
      </w:r>
      <w:r w:rsidRPr="005149C4">
        <w:instrText xml:space="preserve"> REF _Ref30424287 \h  \* MERGEFORMAT </w:instrText>
      </w:r>
      <w:r w:rsidRPr="005149C4">
        <w:fldChar w:fldCharType="separate"/>
      </w:r>
      <w:r w:rsidR="00EC44E6" w:rsidRPr="005149C4">
        <w:t>Cuadro 3</w:t>
      </w:r>
      <w:r w:rsidRPr="005149C4">
        <w:fldChar w:fldCharType="end"/>
      </w:r>
      <w:r w:rsidRPr="005149C4">
        <w:t xml:space="preserve"> se determina </w:t>
      </w:r>
      <w:r w:rsidR="0077262B" w:rsidRPr="005149C4">
        <w:t xml:space="preserve">para </w:t>
      </w:r>
      <w:r w:rsidR="00B85C27" w:rsidRPr="005149C4">
        <w:t>el año 202</w:t>
      </w:r>
      <w:r w:rsidR="004811F2" w:rsidRPr="005149C4">
        <w:t>2</w:t>
      </w:r>
      <w:r w:rsidR="00B85C27" w:rsidRPr="005149C4">
        <w:t xml:space="preserve"> </w:t>
      </w:r>
      <w:r w:rsidR="003D27FA" w:rsidRPr="005149C4">
        <w:t xml:space="preserve">la cantidad </w:t>
      </w:r>
      <w:r w:rsidR="008D6307" w:rsidRPr="005149C4">
        <w:t xml:space="preserve">total </w:t>
      </w:r>
      <w:r w:rsidR="003D27FA" w:rsidRPr="005149C4">
        <w:t xml:space="preserve">de asuntos entrados </w:t>
      </w:r>
      <w:r w:rsidR="00825FB2" w:rsidRPr="005149C4">
        <w:t xml:space="preserve">difiere en </w:t>
      </w:r>
      <w:r w:rsidR="000F0A87" w:rsidRPr="005149C4">
        <w:t>607</w:t>
      </w:r>
      <w:r w:rsidR="00800536" w:rsidRPr="005149C4">
        <w:t xml:space="preserve"> </w:t>
      </w:r>
      <w:r w:rsidR="00B51D05" w:rsidRPr="005149C4">
        <w:t>asuntos respecto a la totalidad de asuntos ingresados</w:t>
      </w:r>
      <w:r w:rsidR="006072F1" w:rsidRPr="005149C4">
        <w:t xml:space="preserve"> en 202</w:t>
      </w:r>
      <w:r w:rsidR="00EB2C33" w:rsidRPr="005149C4">
        <w:t>1</w:t>
      </w:r>
      <w:r w:rsidRPr="005149C4">
        <w:t>,</w:t>
      </w:r>
      <w:r w:rsidR="006072F1" w:rsidRPr="005149C4">
        <w:t xml:space="preserve"> por lo que se </w:t>
      </w:r>
      <w:r w:rsidR="00EB2C33" w:rsidRPr="005149C4">
        <w:t>refleja</w:t>
      </w:r>
      <w:r w:rsidR="009D4756" w:rsidRPr="005149C4">
        <w:t xml:space="preserve"> un crecimiento en la entrada de asuntos</w:t>
      </w:r>
      <w:r w:rsidR="005E1189" w:rsidRPr="005149C4">
        <w:t xml:space="preserve">, que corresponde al </w:t>
      </w:r>
      <w:r w:rsidR="00EB2C33" w:rsidRPr="005149C4">
        <w:t>1</w:t>
      </w:r>
      <w:r w:rsidR="000F3596" w:rsidRPr="005149C4">
        <w:t>9% respecto a la entrada obtenida en 202</w:t>
      </w:r>
      <w:r w:rsidR="00EB2C33" w:rsidRPr="005149C4">
        <w:t>1</w:t>
      </w:r>
      <w:r w:rsidR="000F3596" w:rsidRPr="005149C4">
        <w:t xml:space="preserve">. </w:t>
      </w:r>
    </w:p>
    <w:p w14:paraId="65A109D2" w14:textId="0BF1E760" w:rsidR="00336DC6" w:rsidRPr="005149C4" w:rsidRDefault="00336DC6" w:rsidP="00DB6B0B">
      <w:pPr>
        <w:tabs>
          <w:tab w:val="left" w:pos="0"/>
        </w:tabs>
      </w:pPr>
      <w:r w:rsidRPr="005149C4">
        <w:t xml:space="preserve">En este caso, es importante mencionar que </w:t>
      </w:r>
      <w:r w:rsidR="00DC24C5" w:rsidRPr="005149C4">
        <w:t>para el año 202</w:t>
      </w:r>
      <w:r w:rsidR="009519F0" w:rsidRPr="005149C4">
        <w:t>2</w:t>
      </w:r>
      <w:r w:rsidR="00DC24C5" w:rsidRPr="005149C4">
        <w:t xml:space="preserve"> se </w:t>
      </w:r>
      <w:r w:rsidR="009519F0" w:rsidRPr="005149C4">
        <w:t xml:space="preserve">continuo </w:t>
      </w:r>
      <w:r w:rsidR="00DC24C5" w:rsidRPr="005149C4">
        <w:t xml:space="preserve">con la </w:t>
      </w:r>
      <w:r w:rsidR="00C03A79" w:rsidRPr="005149C4">
        <w:t>atención en Justicia Restaurativa en los siguientes Circuitos Judiciales</w:t>
      </w:r>
      <w:r w:rsidR="001B380D" w:rsidRPr="005149C4">
        <w:t xml:space="preserve">: </w:t>
      </w:r>
      <w:r w:rsidR="00236D8D" w:rsidRPr="005149C4">
        <w:t xml:space="preserve">I y </w:t>
      </w:r>
      <w:r w:rsidR="001B380D" w:rsidRPr="005149C4">
        <w:t xml:space="preserve">III Circuito Judicial de </w:t>
      </w:r>
      <w:r w:rsidR="00236D8D" w:rsidRPr="005149C4">
        <w:t xml:space="preserve">Alajuela, </w:t>
      </w:r>
      <w:r w:rsidR="00C9788E" w:rsidRPr="005149C4">
        <w:t>I Circuito Judicial de la Zona Atlántic</w:t>
      </w:r>
      <w:r w:rsidR="00BA4ECC" w:rsidRPr="005149C4">
        <w:t xml:space="preserve">a, </w:t>
      </w:r>
      <w:r w:rsidR="00C9788E" w:rsidRPr="005149C4">
        <w:t>II Ci</w:t>
      </w:r>
      <w:r w:rsidR="00BA4ECC" w:rsidRPr="005149C4">
        <w:t xml:space="preserve">rcuito Judicial de la Zona Sur y </w:t>
      </w:r>
      <w:r w:rsidR="007E169F" w:rsidRPr="005149C4">
        <w:t>I Circuito Judicial de Guanacaste.</w:t>
      </w:r>
      <w:r w:rsidR="009519F0" w:rsidRPr="005149C4">
        <w:t xml:space="preserve"> Dicha ampliación se inició en el año 2021</w:t>
      </w:r>
      <w:r w:rsidR="009507AC" w:rsidRPr="005149C4">
        <w:t>.</w:t>
      </w:r>
    </w:p>
    <w:p w14:paraId="47683688" w14:textId="7FA08157" w:rsidR="00DB6B0B" w:rsidRPr="005149C4" w:rsidRDefault="0085469A" w:rsidP="00DB6B0B">
      <w:pPr>
        <w:tabs>
          <w:tab w:val="left" w:pos="0"/>
        </w:tabs>
      </w:pPr>
      <w:r w:rsidRPr="005149C4">
        <w:t>Respecto a los</w:t>
      </w:r>
      <w:r w:rsidR="00DB6B0B" w:rsidRPr="005149C4">
        <w:t xml:space="preserve"> asuntos terminados, </w:t>
      </w:r>
      <w:r w:rsidR="002E390A" w:rsidRPr="005149C4">
        <w:t>en el</w:t>
      </w:r>
      <w:r w:rsidR="00E633D3" w:rsidRPr="005149C4">
        <w:t xml:space="preserve"> 202</w:t>
      </w:r>
      <w:r w:rsidR="009507AC" w:rsidRPr="005149C4">
        <w:t>2</w:t>
      </w:r>
      <w:r w:rsidR="00E633D3" w:rsidRPr="005149C4">
        <w:t xml:space="preserve"> </w:t>
      </w:r>
      <w:r w:rsidR="00DB6B0B" w:rsidRPr="005149C4">
        <w:t>se identifica</w:t>
      </w:r>
      <w:r w:rsidR="0081381A" w:rsidRPr="005149C4">
        <w:t xml:space="preserve"> un incremento</w:t>
      </w:r>
      <w:r w:rsidR="00DB6B0B" w:rsidRPr="005149C4">
        <w:t xml:space="preserve"> </w:t>
      </w:r>
      <w:r w:rsidR="00FE6EDD" w:rsidRPr="005149C4">
        <w:t xml:space="preserve">de asuntos finalizados </w:t>
      </w:r>
      <w:r w:rsidR="00DB6B0B" w:rsidRPr="005149C4">
        <w:t>respecto a</w:t>
      </w:r>
      <w:r w:rsidR="00482D8C" w:rsidRPr="005149C4">
        <w:t xml:space="preserve"> </w:t>
      </w:r>
      <w:r w:rsidR="0053334B" w:rsidRPr="005149C4">
        <w:t>la totalidad de</w:t>
      </w:r>
      <w:r w:rsidR="00482D8C" w:rsidRPr="005149C4">
        <w:t xml:space="preserve"> los asuntos terminados en</w:t>
      </w:r>
      <w:r w:rsidR="00DB6B0B" w:rsidRPr="005149C4">
        <w:t xml:space="preserve"> 20</w:t>
      </w:r>
      <w:r w:rsidR="00482D8C" w:rsidRPr="005149C4">
        <w:t>2</w:t>
      </w:r>
      <w:r w:rsidR="009507AC" w:rsidRPr="005149C4">
        <w:t>1</w:t>
      </w:r>
      <w:r w:rsidR="00DB6B0B" w:rsidRPr="005149C4">
        <w:t xml:space="preserve">, </w:t>
      </w:r>
      <w:r w:rsidR="008A7C9C" w:rsidRPr="005149C4">
        <w:t>siendo esta cantidad de</w:t>
      </w:r>
      <w:r w:rsidR="003355AF" w:rsidRPr="005149C4">
        <w:t xml:space="preserve"> </w:t>
      </w:r>
      <w:r w:rsidR="00615C39" w:rsidRPr="005149C4">
        <w:t>550</w:t>
      </w:r>
      <w:r w:rsidR="008A7C9C" w:rsidRPr="005149C4">
        <w:t>;</w:t>
      </w:r>
      <w:r w:rsidR="003355AF" w:rsidRPr="005149C4" w:rsidDel="00967252">
        <w:t xml:space="preserve"> que </w:t>
      </w:r>
      <w:r w:rsidR="00DB6B0B" w:rsidRPr="005149C4">
        <w:t xml:space="preserve">representa un </w:t>
      </w:r>
      <w:r w:rsidR="00615C39" w:rsidRPr="005149C4">
        <w:t>17</w:t>
      </w:r>
      <w:r w:rsidR="0078226D" w:rsidRPr="005149C4">
        <w:t>% m</w:t>
      </w:r>
      <w:r w:rsidR="00F814E7" w:rsidRPr="005149C4">
        <w:t>ás</w:t>
      </w:r>
      <w:r w:rsidR="0078226D" w:rsidRPr="005149C4">
        <w:t xml:space="preserve"> </w:t>
      </w:r>
      <w:r w:rsidR="002E6D12" w:rsidRPr="005149C4">
        <w:t>respecto a la</w:t>
      </w:r>
      <w:r w:rsidR="00DB6B0B" w:rsidRPr="005149C4">
        <w:t xml:space="preserve"> cantidad terminada en </w:t>
      </w:r>
      <w:r w:rsidR="00ED546A" w:rsidRPr="005149C4">
        <w:t xml:space="preserve">el </w:t>
      </w:r>
      <w:r w:rsidR="00DB6B0B" w:rsidRPr="005149C4">
        <w:t>20</w:t>
      </w:r>
      <w:r w:rsidR="00F814E7" w:rsidRPr="005149C4">
        <w:t>2</w:t>
      </w:r>
      <w:r w:rsidR="00615C39" w:rsidRPr="005149C4">
        <w:t>1</w:t>
      </w:r>
      <w:r w:rsidR="00DB6B0B" w:rsidRPr="005149C4">
        <w:t>.</w:t>
      </w:r>
    </w:p>
    <w:p w14:paraId="2E81643C" w14:textId="190C1231" w:rsidR="00DB6B0B" w:rsidRPr="005149C4" w:rsidRDefault="00DB6B0B" w:rsidP="00DB6B0B">
      <w:pPr>
        <w:tabs>
          <w:tab w:val="left" w:pos="0"/>
        </w:tabs>
      </w:pPr>
      <w:r w:rsidRPr="005149C4">
        <w:t xml:space="preserve">Por otra parte, en la </w:t>
      </w:r>
      <w:r w:rsidRPr="005149C4">
        <w:fldChar w:fldCharType="begin"/>
      </w:r>
      <w:r w:rsidRPr="005149C4">
        <w:instrText xml:space="preserve"> REF _Ref31184945 \h  \* MERGEFORMAT </w:instrText>
      </w:r>
      <w:r w:rsidRPr="005149C4">
        <w:fldChar w:fldCharType="separate"/>
      </w:r>
      <w:r w:rsidR="00EC44E6" w:rsidRPr="005149C4">
        <w:t>Figura 1</w:t>
      </w:r>
      <w:r w:rsidRPr="005149C4">
        <w:fldChar w:fldCharType="end"/>
      </w:r>
      <w:r w:rsidRPr="005149C4">
        <w:t>, se presenta el comportamiento de los casos entrados y terminados para el periodo comprendido entre el año 201</w:t>
      </w:r>
      <w:r w:rsidR="00644097" w:rsidRPr="005149C4">
        <w:t>9</w:t>
      </w:r>
      <w:r w:rsidRPr="005149C4">
        <w:t xml:space="preserve"> </w:t>
      </w:r>
      <w:r w:rsidR="00644097" w:rsidRPr="005149C4">
        <w:t xml:space="preserve">el </w:t>
      </w:r>
      <w:r w:rsidRPr="005149C4">
        <w:t>20</w:t>
      </w:r>
      <w:r w:rsidR="0078226D" w:rsidRPr="005149C4">
        <w:t>2</w:t>
      </w:r>
      <w:r w:rsidR="00446835" w:rsidRPr="005149C4">
        <w:t>2</w:t>
      </w:r>
      <w:r w:rsidR="00644097" w:rsidRPr="005149C4">
        <w:t>.</w:t>
      </w:r>
    </w:p>
    <w:p w14:paraId="210B8C72" w14:textId="5317BF1D" w:rsidR="00853639" w:rsidRPr="005149C4" w:rsidRDefault="002D74EB" w:rsidP="002D74EB">
      <w:pPr>
        <w:spacing w:before="0" w:after="0" w:line="240" w:lineRule="auto"/>
        <w:jc w:val="left"/>
      </w:pPr>
      <w:r>
        <w:br w:type="page"/>
      </w:r>
    </w:p>
    <w:p w14:paraId="052D97D0" w14:textId="488EAC3D" w:rsidR="00BA32B6" w:rsidRPr="005149C4" w:rsidRDefault="00127AAE" w:rsidP="00446835">
      <w:pPr>
        <w:pStyle w:val="Descripcin"/>
        <w:jc w:val="center"/>
      </w:pPr>
      <w:bookmarkStart w:id="9" w:name="_Ref31184945"/>
      <w:bookmarkStart w:id="10" w:name="_Ref31184936"/>
      <w:r w:rsidRPr="005149C4">
        <w:t xml:space="preserve">Figura </w:t>
      </w:r>
      <w:r w:rsidRPr="005149C4">
        <w:fldChar w:fldCharType="begin"/>
      </w:r>
      <w:r w:rsidRPr="005149C4">
        <w:instrText>SEQ Figura \* ARABIC</w:instrText>
      </w:r>
      <w:r w:rsidRPr="005149C4">
        <w:fldChar w:fldCharType="separate"/>
      </w:r>
      <w:r w:rsidR="00607DCE" w:rsidRPr="005149C4">
        <w:rPr>
          <w:noProof/>
        </w:rPr>
        <w:t>1</w:t>
      </w:r>
      <w:r w:rsidRPr="005149C4">
        <w:fldChar w:fldCharType="end"/>
      </w:r>
      <w:bookmarkEnd w:id="9"/>
      <w:r w:rsidRPr="005149C4">
        <w:t>. Comportamiento</w:t>
      </w:r>
      <w:bookmarkEnd w:id="10"/>
      <w:r w:rsidRPr="005149C4">
        <w:t xml:space="preserve"> de los asuntos totales entrados y terminados de Justicia Restaurativa para el periodo 201</w:t>
      </w:r>
      <w:r w:rsidR="00644097" w:rsidRPr="005149C4">
        <w:t>9</w:t>
      </w:r>
      <w:r w:rsidRPr="005149C4">
        <w:t>-</w:t>
      </w:r>
      <w:r w:rsidR="00644097" w:rsidRPr="005149C4">
        <w:t xml:space="preserve"> </w:t>
      </w:r>
      <w:r w:rsidRPr="005149C4">
        <w:t>20</w:t>
      </w:r>
      <w:r w:rsidR="007021AF" w:rsidRPr="005149C4">
        <w:t>2</w:t>
      </w:r>
      <w:r w:rsidR="00615C39" w:rsidRPr="005149C4">
        <w:t>2</w:t>
      </w:r>
    </w:p>
    <w:p w14:paraId="5BE77DC8" w14:textId="77777777" w:rsidR="00446835" w:rsidRPr="005149C4" w:rsidRDefault="00446835" w:rsidP="00446835">
      <w:pPr>
        <w:jc w:val="center"/>
      </w:pPr>
      <w:r w:rsidRPr="005149C4">
        <w:rPr>
          <w:noProof/>
        </w:rPr>
        <w:drawing>
          <wp:inline distT="0" distB="0" distL="0" distR="0" wp14:anchorId="12041A5E" wp14:editId="5EBD8CEC">
            <wp:extent cx="4572000" cy="2743200"/>
            <wp:effectExtent l="0" t="0" r="0" b="0"/>
            <wp:docPr id="6" name="Gráfico 6">
              <a:extLst xmlns:a="http://schemas.openxmlformats.org/drawingml/2006/main">
                <a:ext uri="{FF2B5EF4-FFF2-40B4-BE49-F238E27FC236}">
                  <a16:creationId xmlns:a16="http://schemas.microsoft.com/office/drawing/2014/main" id="{FCC6AA79-616C-169E-3C97-C2B78AF15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988A66" w14:textId="5AD146BC" w:rsidR="00127AAE" w:rsidRPr="005149C4" w:rsidRDefault="00446835" w:rsidP="00446835">
      <w:pPr>
        <w:jc w:val="center"/>
      </w:pPr>
      <w:r w:rsidRPr="005149C4">
        <w:rPr>
          <w:rFonts w:cs="Calibri"/>
          <w:b/>
          <w:color w:val="000000"/>
          <w:sz w:val="20"/>
          <w:szCs w:val="20"/>
          <w:lang w:eastAsia="es-CR"/>
        </w:rPr>
        <w:t xml:space="preserve"> </w:t>
      </w:r>
      <w:r w:rsidR="00127AAE" w:rsidRPr="005149C4">
        <w:rPr>
          <w:rFonts w:cs="Calibri"/>
          <w:b/>
          <w:color w:val="000000"/>
          <w:sz w:val="20"/>
          <w:szCs w:val="20"/>
          <w:lang w:eastAsia="es-CR"/>
        </w:rPr>
        <w:t xml:space="preserve">Fuente: </w:t>
      </w:r>
      <w:r w:rsidR="00127AAE" w:rsidRPr="005149C4">
        <w:rPr>
          <w:rFonts w:cs="Calibri"/>
          <w:bCs/>
          <w:color w:val="000000"/>
          <w:sz w:val="20"/>
          <w:szCs w:val="20"/>
          <w:lang w:eastAsia="es-CR"/>
        </w:rPr>
        <w:t xml:space="preserve">Modernización Institucional a partir de la información </w:t>
      </w:r>
      <w:r w:rsidR="00CC0DFF" w:rsidRPr="005149C4">
        <w:rPr>
          <w:rFonts w:cs="Calibri"/>
          <w:bCs/>
          <w:color w:val="000000"/>
          <w:sz w:val="20"/>
          <w:szCs w:val="20"/>
          <w:lang w:eastAsia="es-CR"/>
        </w:rPr>
        <w:t>extraída de SIGMA</w:t>
      </w:r>
      <w:r w:rsidR="00127AAE" w:rsidRPr="005149C4">
        <w:rPr>
          <w:rFonts w:cs="Calibri"/>
          <w:bCs/>
          <w:color w:val="000000"/>
          <w:sz w:val="20"/>
          <w:szCs w:val="20"/>
          <w:lang w:eastAsia="es-CR"/>
        </w:rPr>
        <w:t xml:space="preserve">. </w:t>
      </w:r>
    </w:p>
    <w:p w14:paraId="2806764A" w14:textId="487F148C" w:rsidR="00777CD9" w:rsidRPr="005149C4" w:rsidRDefault="00C202D3" w:rsidP="00C202D3">
      <w:pPr>
        <w:tabs>
          <w:tab w:val="left" w:pos="0"/>
        </w:tabs>
      </w:pPr>
      <w:r w:rsidRPr="005149C4">
        <w:t xml:space="preserve">En el </w:t>
      </w:r>
      <w:r w:rsidRPr="005149C4">
        <w:fldChar w:fldCharType="begin"/>
      </w:r>
      <w:r w:rsidRPr="005149C4">
        <w:instrText xml:space="preserve"> REF _Ref31188259 \h  \* MERGEFORMAT </w:instrText>
      </w:r>
      <w:r w:rsidRPr="005149C4">
        <w:fldChar w:fldCharType="separate"/>
      </w:r>
      <w:r w:rsidR="00EC44E6" w:rsidRPr="005149C4">
        <w:t>Cuadro 4</w:t>
      </w:r>
      <w:r w:rsidRPr="005149C4">
        <w:fldChar w:fldCharType="end"/>
      </w:r>
      <w:r w:rsidRPr="005149C4">
        <w:t xml:space="preserve"> se muestra el promedio mensual de asuntos totales entrados, así como el promedio mensual de asuntos terminados.</w:t>
      </w:r>
    </w:p>
    <w:p w14:paraId="253EF9B5" w14:textId="6DB42BBA" w:rsidR="00777CD9" w:rsidRPr="005149C4" w:rsidRDefault="00777CD9" w:rsidP="00777CD9">
      <w:pPr>
        <w:tabs>
          <w:tab w:val="left" w:pos="993"/>
        </w:tabs>
        <w:ind w:left="993" w:right="1041"/>
        <w:jc w:val="center"/>
        <w:rPr>
          <w:b/>
          <w:bCs/>
          <w:sz w:val="20"/>
          <w:szCs w:val="20"/>
          <w:lang w:val="es-ES"/>
        </w:rPr>
      </w:pPr>
      <w:bookmarkStart w:id="11" w:name="_Ref31188259"/>
      <w:r w:rsidRPr="005149C4">
        <w:rPr>
          <w:b/>
          <w:bCs/>
          <w:sz w:val="20"/>
          <w:szCs w:val="20"/>
          <w:lang w:val="es-ES"/>
        </w:rPr>
        <w:t xml:space="preserve">Cuadro </w:t>
      </w:r>
      <w:r w:rsidRPr="005149C4">
        <w:rPr>
          <w:b/>
          <w:bCs/>
          <w:sz w:val="20"/>
          <w:szCs w:val="20"/>
          <w:lang w:val="es-ES"/>
        </w:rPr>
        <w:fldChar w:fldCharType="begin"/>
      </w:r>
      <w:r w:rsidRPr="005149C4">
        <w:rPr>
          <w:b/>
          <w:bCs/>
          <w:sz w:val="20"/>
          <w:szCs w:val="20"/>
          <w:lang w:val="es-ES"/>
        </w:rPr>
        <w:instrText xml:space="preserve"> SEQ Cuadro \* ARABIC </w:instrText>
      </w:r>
      <w:r w:rsidRPr="005149C4">
        <w:rPr>
          <w:b/>
          <w:bCs/>
          <w:sz w:val="20"/>
          <w:szCs w:val="20"/>
          <w:lang w:val="es-ES"/>
        </w:rPr>
        <w:fldChar w:fldCharType="separate"/>
      </w:r>
      <w:r w:rsidR="00607DCE" w:rsidRPr="005149C4">
        <w:rPr>
          <w:b/>
          <w:bCs/>
          <w:noProof/>
          <w:sz w:val="20"/>
          <w:szCs w:val="20"/>
          <w:lang w:val="es-ES"/>
        </w:rPr>
        <w:t>4</w:t>
      </w:r>
      <w:r w:rsidRPr="005149C4">
        <w:rPr>
          <w:b/>
          <w:bCs/>
          <w:sz w:val="20"/>
          <w:szCs w:val="20"/>
          <w:lang w:val="es-ES"/>
        </w:rPr>
        <w:fldChar w:fldCharType="end"/>
      </w:r>
      <w:bookmarkEnd w:id="11"/>
      <w:r w:rsidRPr="005149C4">
        <w:rPr>
          <w:b/>
          <w:bCs/>
          <w:sz w:val="20"/>
          <w:szCs w:val="20"/>
          <w:lang w:val="es-ES"/>
        </w:rPr>
        <w:t>. Promedio mensual de asuntos totales entrados y terminados para el periodo 201</w:t>
      </w:r>
      <w:r w:rsidR="00433724" w:rsidRPr="005149C4">
        <w:rPr>
          <w:b/>
          <w:bCs/>
          <w:sz w:val="20"/>
          <w:szCs w:val="20"/>
          <w:lang w:val="es-ES"/>
        </w:rPr>
        <w:t>9</w:t>
      </w:r>
      <w:r w:rsidRPr="005149C4">
        <w:rPr>
          <w:b/>
          <w:bCs/>
          <w:sz w:val="20"/>
          <w:szCs w:val="20"/>
          <w:lang w:val="es-ES"/>
        </w:rPr>
        <w:t>-</w:t>
      </w:r>
      <w:r w:rsidR="00433724" w:rsidRPr="005149C4">
        <w:t xml:space="preserve"> </w:t>
      </w:r>
      <w:r w:rsidR="00433724" w:rsidRPr="005149C4">
        <w:rPr>
          <w:b/>
          <w:bCs/>
          <w:sz w:val="20"/>
          <w:szCs w:val="20"/>
          <w:lang w:val="es-ES"/>
        </w:rPr>
        <w:t>202</w:t>
      </w:r>
      <w:r w:rsidR="00446835" w:rsidRPr="005149C4">
        <w:rPr>
          <w:b/>
          <w:bCs/>
          <w:sz w:val="20"/>
          <w:szCs w:val="20"/>
          <w:lang w:val="es-ES"/>
        </w:rPr>
        <w:t>2</w:t>
      </w:r>
    </w:p>
    <w:tbl>
      <w:tblPr>
        <w:tblW w:w="7005" w:type="dxa"/>
        <w:jc w:val="center"/>
        <w:tblCellMar>
          <w:left w:w="70" w:type="dxa"/>
          <w:right w:w="70" w:type="dxa"/>
        </w:tblCellMar>
        <w:tblLook w:val="04A0" w:firstRow="1" w:lastRow="0" w:firstColumn="1" w:lastColumn="0" w:noHBand="0" w:noVBand="1"/>
      </w:tblPr>
      <w:tblGrid>
        <w:gridCol w:w="1902"/>
        <w:gridCol w:w="1275"/>
        <w:gridCol w:w="1276"/>
        <w:gridCol w:w="1276"/>
        <w:gridCol w:w="1276"/>
      </w:tblGrid>
      <w:tr w:rsidR="00065F57" w:rsidRPr="005149C4" w14:paraId="35E0BC74" w14:textId="7E01958E" w:rsidTr="00065F57">
        <w:trPr>
          <w:trHeight w:val="390"/>
          <w:jc w:val="center"/>
        </w:trPr>
        <w:tc>
          <w:tcPr>
            <w:tcW w:w="1902" w:type="dxa"/>
            <w:tcBorders>
              <w:top w:val="double" w:sz="6" w:space="0" w:color="305496"/>
              <w:left w:val="double" w:sz="6" w:space="0" w:color="305496"/>
              <w:bottom w:val="double" w:sz="6" w:space="0" w:color="305496"/>
              <w:right w:val="double" w:sz="6" w:space="0" w:color="305496"/>
            </w:tcBorders>
            <w:shd w:val="clear" w:color="000000" w:fill="B4C6E7"/>
            <w:vAlign w:val="center"/>
          </w:tcPr>
          <w:p w14:paraId="671BCFDF" w14:textId="50EA599A" w:rsidR="00065F57" w:rsidRPr="005149C4" w:rsidRDefault="00065F57" w:rsidP="00777CD9">
            <w:pPr>
              <w:spacing w:before="0" w:after="0" w:line="240" w:lineRule="auto"/>
              <w:jc w:val="center"/>
              <w:rPr>
                <w:rFonts w:eastAsia="Times New Roman" w:cs="Calibri"/>
                <w:color w:val="000000"/>
                <w:sz w:val="22"/>
                <w:lang w:eastAsia="es-CR"/>
              </w:rPr>
            </w:pPr>
            <w:r w:rsidRPr="005149C4">
              <w:rPr>
                <w:color w:val="000000"/>
                <w:sz w:val="22"/>
                <w:lang w:eastAsia="es-CR"/>
              </w:rPr>
              <w:t>Variable</w:t>
            </w:r>
          </w:p>
        </w:tc>
        <w:tc>
          <w:tcPr>
            <w:tcW w:w="1275" w:type="dxa"/>
            <w:tcBorders>
              <w:top w:val="double" w:sz="6" w:space="0" w:color="305496"/>
              <w:left w:val="nil"/>
              <w:bottom w:val="double" w:sz="6" w:space="0" w:color="305496"/>
              <w:right w:val="double" w:sz="6" w:space="0" w:color="305496"/>
            </w:tcBorders>
            <w:shd w:val="clear" w:color="000000" w:fill="B4C6E7"/>
            <w:noWrap/>
            <w:vAlign w:val="center"/>
            <w:hideMark/>
          </w:tcPr>
          <w:p w14:paraId="20EE1C68" w14:textId="77777777" w:rsidR="00065F57" w:rsidRPr="005149C4" w:rsidRDefault="00065F57" w:rsidP="00777CD9">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2019</w:t>
            </w:r>
          </w:p>
        </w:tc>
        <w:tc>
          <w:tcPr>
            <w:tcW w:w="1276" w:type="dxa"/>
            <w:tcBorders>
              <w:top w:val="double" w:sz="6" w:space="0" w:color="305496"/>
              <w:left w:val="nil"/>
              <w:bottom w:val="double" w:sz="6" w:space="0" w:color="305496"/>
              <w:right w:val="double" w:sz="6" w:space="0" w:color="305496"/>
            </w:tcBorders>
            <w:shd w:val="clear" w:color="000000" w:fill="B4C6E7"/>
            <w:noWrap/>
            <w:vAlign w:val="center"/>
            <w:hideMark/>
          </w:tcPr>
          <w:p w14:paraId="69C496F9" w14:textId="77777777" w:rsidR="00065F57" w:rsidRPr="005149C4" w:rsidRDefault="00065F57" w:rsidP="00777CD9">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2020</w:t>
            </w:r>
          </w:p>
        </w:tc>
        <w:tc>
          <w:tcPr>
            <w:tcW w:w="1276" w:type="dxa"/>
            <w:tcBorders>
              <w:top w:val="double" w:sz="6" w:space="0" w:color="305496"/>
              <w:left w:val="nil"/>
              <w:bottom w:val="double" w:sz="6" w:space="0" w:color="305496"/>
              <w:right w:val="double" w:sz="6" w:space="0" w:color="305496"/>
            </w:tcBorders>
            <w:shd w:val="clear" w:color="000000" w:fill="B4C6E7"/>
            <w:vAlign w:val="center"/>
          </w:tcPr>
          <w:p w14:paraId="5ACDD225" w14:textId="4BE74844" w:rsidR="00065F57" w:rsidRPr="005149C4" w:rsidRDefault="00065F57" w:rsidP="00777CD9">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2021</w:t>
            </w:r>
          </w:p>
        </w:tc>
        <w:tc>
          <w:tcPr>
            <w:tcW w:w="1276" w:type="dxa"/>
            <w:tcBorders>
              <w:top w:val="double" w:sz="6" w:space="0" w:color="305496"/>
              <w:left w:val="nil"/>
              <w:bottom w:val="double" w:sz="6" w:space="0" w:color="305496"/>
              <w:right w:val="double" w:sz="6" w:space="0" w:color="305496"/>
            </w:tcBorders>
            <w:shd w:val="clear" w:color="000000" w:fill="B4C6E7"/>
          </w:tcPr>
          <w:p w14:paraId="1DD36E56" w14:textId="4A8E356D" w:rsidR="00065F57" w:rsidRPr="005149C4" w:rsidRDefault="00065F57" w:rsidP="00777CD9">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2022</w:t>
            </w:r>
          </w:p>
        </w:tc>
      </w:tr>
      <w:tr w:rsidR="00065F57" w:rsidRPr="005149C4" w14:paraId="7D0EC110" w14:textId="533C958F" w:rsidTr="00065F57">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48CAC033" w14:textId="497C54FE" w:rsidR="00065F57" w:rsidRPr="005149C4" w:rsidRDefault="00065F57" w:rsidP="002C0CBB">
            <w:pPr>
              <w:spacing w:before="0" w:after="0" w:line="240" w:lineRule="auto"/>
              <w:jc w:val="center"/>
              <w:rPr>
                <w:rFonts w:eastAsia="Times New Roman" w:cs="Calibri"/>
                <w:color w:val="000000"/>
                <w:sz w:val="22"/>
                <w:lang w:eastAsia="es-CR"/>
              </w:rPr>
            </w:pPr>
            <w:r w:rsidRPr="005149C4">
              <w:rPr>
                <w:color w:val="000000"/>
                <w:sz w:val="22"/>
                <w:lang w:eastAsia="es-CR"/>
              </w:rPr>
              <w:t>Total entrados</w:t>
            </w:r>
          </w:p>
        </w:tc>
        <w:tc>
          <w:tcPr>
            <w:tcW w:w="1275" w:type="dxa"/>
            <w:tcBorders>
              <w:top w:val="nil"/>
              <w:left w:val="nil"/>
              <w:bottom w:val="double" w:sz="6" w:space="0" w:color="305496"/>
              <w:right w:val="double" w:sz="6" w:space="0" w:color="305496"/>
            </w:tcBorders>
            <w:shd w:val="clear" w:color="auto" w:fill="auto"/>
            <w:noWrap/>
            <w:vAlign w:val="center"/>
            <w:hideMark/>
          </w:tcPr>
          <w:p w14:paraId="24E02BA1" w14:textId="77777777"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251</w:t>
            </w:r>
          </w:p>
        </w:tc>
        <w:tc>
          <w:tcPr>
            <w:tcW w:w="1276" w:type="dxa"/>
            <w:tcBorders>
              <w:top w:val="nil"/>
              <w:left w:val="nil"/>
              <w:bottom w:val="double" w:sz="6" w:space="0" w:color="305496"/>
              <w:right w:val="double" w:sz="6" w:space="0" w:color="305496"/>
            </w:tcBorders>
            <w:shd w:val="clear" w:color="auto" w:fill="auto"/>
            <w:noWrap/>
            <w:vAlign w:val="center"/>
            <w:hideMark/>
          </w:tcPr>
          <w:p w14:paraId="46F69714" w14:textId="77777777"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222</w:t>
            </w:r>
          </w:p>
        </w:tc>
        <w:tc>
          <w:tcPr>
            <w:tcW w:w="1276" w:type="dxa"/>
            <w:tcBorders>
              <w:top w:val="nil"/>
              <w:left w:val="nil"/>
              <w:bottom w:val="double" w:sz="6" w:space="0" w:color="305496"/>
              <w:right w:val="double" w:sz="6" w:space="0" w:color="305496"/>
            </w:tcBorders>
            <w:vAlign w:val="center"/>
          </w:tcPr>
          <w:p w14:paraId="6A2341F1" w14:textId="207833DE"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286</w:t>
            </w:r>
          </w:p>
        </w:tc>
        <w:tc>
          <w:tcPr>
            <w:tcW w:w="1276" w:type="dxa"/>
            <w:tcBorders>
              <w:top w:val="nil"/>
              <w:left w:val="nil"/>
              <w:bottom w:val="double" w:sz="6" w:space="0" w:color="305496"/>
              <w:right w:val="double" w:sz="6" w:space="0" w:color="305496"/>
            </w:tcBorders>
          </w:tcPr>
          <w:p w14:paraId="56427141" w14:textId="7D8384CF"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340</w:t>
            </w:r>
          </w:p>
        </w:tc>
      </w:tr>
      <w:tr w:rsidR="00065F57" w:rsidRPr="005149C4" w14:paraId="25FE0D05" w14:textId="4DFFB071" w:rsidTr="00065F57">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151737F8" w14:textId="41D56B44" w:rsidR="00065F57" w:rsidRPr="005149C4" w:rsidRDefault="00065F57" w:rsidP="002C0CBB">
            <w:pPr>
              <w:spacing w:before="0" w:after="0" w:line="240" w:lineRule="auto"/>
              <w:jc w:val="center"/>
              <w:rPr>
                <w:rFonts w:eastAsia="Times New Roman" w:cs="Calibri"/>
                <w:color w:val="000000"/>
                <w:sz w:val="22"/>
                <w:lang w:eastAsia="es-CR"/>
              </w:rPr>
            </w:pPr>
            <w:r w:rsidRPr="005149C4">
              <w:rPr>
                <w:color w:val="000000"/>
                <w:sz w:val="22"/>
                <w:lang w:eastAsia="es-CR"/>
              </w:rPr>
              <w:t>Terminados</w:t>
            </w:r>
          </w:p>
        </w:tc>
        <w:tc>
          <w:tcPr>
            <w:tcW w:w="1275" w:type="dxa"/>
            <w:tcBorders>
              <w:top w:val="nil"/>
              <w:left w:val="nil"/>
              <w:bottom w:val="double" w:sz="6" w:space="0" w:color="305496"/>
              <w:right w:val="double" w:sz="6" w:space="0" w:color="305496"/>
            </w:tcBorders>
            <w:shd w:val="clear" w:color="auto" w:fill="auto"/>
            <w:noWrap/>
            <w:vAlign w:val="center"/>
            <w:hideMark/>
          </w:tcPr>
          <w:p w14:paraId="3501EB14" w14:textId="77777777"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265</w:t>
            </w:r>
          </w:p>
        </w:tc>
        <w:tc>
          <w:tcPr>
            <w:tcW w:w="1276" w:type="dxa"/>
            <w:tcBorders>
              <w:top w:val="nil"/>
              <w:left w:val="nil"/>
              <w:bottom w:val="double" w:sz="6" w:space="0" w:color="305496"/>
              <w:right w:val="double" w:sz="6" w:space="0" w:color="305496"/>
            </w:tcBorders>
            <w:shd w:val="clear" w:color="auto" w:fill="auto"/>
            <w:noWrap/>
            <w:vAlign w:val="center"/>
            <w:hideMark/>
          </w:tcPr>
          <w:p w14:paraId="25A42A78" w14:textId="77777777"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203</w:t>
            </w:r>
          </w:p>
        </w:tc>
        <w:tc>
          <w:tcPr>
            <w:tcW w:w="1276" w:type="dxa"/>
            <w:tcBorders>
              <w:top w:val="nil"/>
              <w:left w:val="nil"/>
              <w:bottom w:val="double" w:sz="6" w:space="0" w:color="305496"/>
              <w:right w:val="double" w:sz="6" w:space="0" w:color="305496"/>
            </w:tcBorders>
            <w:vAlign w:val="center"/>
          </w:tcPr>
          <w:p w14:paraId="1054DF8C" w14:textId="34A70B38"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289</w:t>
            </w:r>
          </w:p>
        </w:tc>
        <w:tc>
          <w:tcPr>
            <w:tcW w:w="1276" w:type="dxa"/>
            <w:tcBorders>
              <w:top w:val="nil"/>
              <w:left w:val="nil"/>
              <w:bottom w:val="double" w:sz="6" w:space="0" w:color="305496"/>
              <w:right w:val="double" w:sz="6" w:space="0" w:color="305496"/>
            </w:tcBorders>
          </w:tcPr>
          <w:p w14:paraId="6520B31E" w14:textId="704A4CB1" w:rsidR="00065F57" w:rsidRPr="005149C4" w:rsidRDefault="00065F57" w:rsidP="002C0CBB">
            <w:pPr>
              <w:spacing w:before="0" w:after="0" w:line="240" w:lineRule="auto"/>
              <w:jc w:val="center"/>
              <w:rPr>
                <w:rFonts w:eastAsia="Times New Roman" w:cs="Calibri"/>
                <w:color w:val="000000"/>
                <w:sz w:val="22"/>
                <w:lang w:eastAsia="es-CR"/>
              </w:rPr>
            </w:pPr>
            <w:r w:rsidRPr="005149C4">
              <w:rPr>
                <w:rFonts w:eastAsia="Times New Roman" w:cs="Calibri"/>
                <w:color w:val="000000"/>
                <w:sz w:val="22"/>
                <w:lang w:eastAsia="es-CR"/>
              </w:rPr>
              <w:t>338</w:t>
            </w:r>
          </w:p>
        </w:tc>
      </w:tr>
    </w:tbl>
    <w:p w14:paraId="722F7CEB" w14:textId="5C9E61BB" w:rsidR="00777CD9" w:rsidRPr="005149C4" w:rsidRDefault="00777CD9" w:rsidP="00777CD9">
      <w:pPr>
        <w:ind w:left="993" w:right="900"/>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w:t>
      </w:r>
      <w:r w:rsidR="005F359A" w:rsidRPr="005149C4">
        <w:rPr>
          <w:rFonts w:cs="Calibri"/>
          <w:bCs/>
          <w:color w:val="000000"/>
          <w:sz w:val="20"/>
          <w:szCs w:val="20"/>
          <w:lang w:eastAsia="es-CR"/>
        </w:rPr>
        <w:t xml:space="preserve">extraída </w:t>
      </w:r>
      <w:r w:rsidR="00091E80" w:rsidRPr="005149C4">
        <w:rPr>
          <w:rFonts w:cs="Calibri"/>
          <w:bCs/>
          <w:color w:val="000000"/>
          <w:sz w:val="20"/>
          <w:szCs w:val="20"/>
          <w:lang w:eastAsia="es-CR"/>
        </w:rPr>
        <w:t>de SIGMA</w:t>
      </w:r>
    </w:p>
    <w:p w14:paraId="06E3B28D" w14:textId="59C8F555" w:rsidR="00F00A43" w:rsidRPr="005149C4" w:rsidRDefault="004B279F" w:rsidP="00C202D3">
      <w:r w:rsidRPr="005149C4">
        <w:t xml:space="preserve">A partir de la información mostrada en el </w:t>
      </w:r>
      <w:r w:rsidRPr="005149C4">
        <w:fldChar w:fldCharType="begin"/>
      </w:r>
      <w:r w:rsidRPr="005149C4">
        <w:instrText xml:space="preserve"> REF _Ref31188259 \h  \* MERGEFORMAT </w:instrText>
      </w:r>
      <w:r w:rsidRPr="005149C4">
        <w:fldChar w:fldCharType="separate"/>
      </w:r>
      <w:r w:rsidR="00EC44E6" w:rsidRPr="005149C4">
        <w:t>Cuadro 4</w:t>
      </w:r>
      <w:r w:rsidRPr="005149C4">
        <w:fldChar w:fldCharType="end"/>
      </w:r>
      <w:r w:rsidRPr="005149C4">
        <w:t xml:space="preserve"> se determina </w:t>
      </w:r>
      <w:r w:rsidR="00FC3BD3" w:rsidRPr="005149C4">
        <w:t>un incremento</w:t>
      </w:r>
      <w:r w:rsidR="00BC4174" w:rsidRPr="005149C4">
        <w:t xml:space="preserve"> mensual de </w:t>
      </w:r>
      <w:r w:rsidR="00BC1A76" w:rsidRPr="005149C4">
        <w:t>5</w:t>
      </w:r>
      <w:r w:rsidR="0032339B" w:rsidRPr="005149C4">
        <w:t>4</w:t>
      </w:r>
      <w:r w:rsidR="00BC4174" w:rsidRPr="005149C4">
        <w:t xml:space="preserve"> asuntos entrados en el 202</w:t>
      </w:r>
      <w:r w:rsidR="00BC1A76" w:rsidRPr="005149C4">
        <w:t>2</w:t>
      </w:r>
      <w:r w:rsidR="00BC4174" w:rsidRPr="005149C4">
        <w:t xml:space="preserve"> respecto a la cantidad mensual registrada para el 20</w:t>
      </w:r>
      <w:r w:rsidR="0017528B" w:rsidRPr="005149C4">
        <w:t>2</w:t>
      </w:r>
      <w:r w:rsidR="00BC1A76" w:rsidRPr="005149C4">
        <w:t>1</w:t>
      </w:r>
      <w:r w:rsidRPr="005149C4">
        <w:t>. En el caso de los asuntos terminados</w:t>
      </w:r>
      <w:r w:rsidR="00BC4174" w:rsidRPr="005149C4">
        <w:t>, en 202</w:t>
      </w:r>
      <w:r w:rsidR="00BC1A76" w:rsidRPr="005149C4">
        <w:t>2</w:t>
      </w:r>
      <w:r w:rsidRPr="005149C4">
        <w:t xml:space="preserve"> </w:t>
      </w:r>
      <w:r w:rsidR="00BC4174" w:rsidRPr="005149C4">
        <w:t xml:space="preserve">se presenta </w:t>
      </w:r>
      <w:r w:rsidR="00DC74ED" w:rsidRPr="005149C4">
        <w:t>un incremento</w:t>
      </w:r>
      <w:r w:rsidR="00BC4174" w:rsidRPr="005149C4">
        <w:t xml:space="preserve"> que cor</w:t>
      </w:r>
      <w:r w:rsidRPr="005149C4">
        <w:t xml:space="preserve">responde a </w:t>
      </w:r>
      <w:r w:rsidR="00BC1A76" w:rsidRPr="005149C4">
        <w:t>49</w:t>
      </w:r>
      <w:r w:rsidR="00BC4174" w:rsidRPr="005149C4">
        <w:t xml:space="preserve"> asuntos m</w:t>
      </w:r>
      <w:r w:rsidR="00DC74ED" w:rsidRPr="005149C4">
        <w:t>ás</w:t>
      </w:r>
      <w:r w:rsidR="00BC4174" w:rsidRPr="005149C4">
        <w:t xml:space="preserve"> respecto</w:t>
      </w:r>
      <w:r w:rsidRPr="005149C4">
        <w:t xml:space="preserve"> al promedio mensual para el año 20</w:t>
      </w:r>
      <w:r w:rsidR="003C6834" w:rsidRPr="005149C4">
        <w:t>2</w:t>
      </w:r>
      <w:r w:rsidR="00351912" w:rsidRPr="005149C4">
        <w:t>1</w:t>
      </w:r>
      <w:r w:rsidRPr="005149C4">
        <w:t>.</w:t>
      </w:r>
      <w:r w:rsidR="00351912" w:rsidRPr="005149C4">
        <w:t xml:space="preserve"> Lo anterior evidencia un incremento en los casos terminados de 135 asuntos en tres años (2020 al 2022), pero la entrada de asuntos también aumento en 118 asuntos en el mismo periodo.</w:t>
      </w:r>
    </w:p>
    <w:p w14:paraId="3A2A5044" w14:textId="0DD378A1" w:rsidR="00132713" w:rsidRPr="005149C4" w:rsidRDefault="004B279F" w:rsidP="006E06EB">
      <w:pPr>
        <w:pStyle w:val="Ttulo4"/>
        <w:numPr>
          <w:ilvl w:val="1"/>
          <w:numId w:val="11"/>
        </w:numPr>
      </w:pPr>
      <w:r w:rsidRPr="005149C4">
        <w:t>Procedencia de las causas ingresadas Justicia Restaurativa Penal de Adultos.</w:t>
      </w:r>
    </w:p>
    <w:p w14:paraId="3FE6DD58" w14:textId="6AF380D1" w:rsidR="003C5AC9" w:rsidRPr="005149C4" w:rsidRDefault="003C5AC9" w:rsidP="003C5AC9">
      <w:pPr>
        <w:tabs>
          <w:tab w:val="left" w:pos="0"/>
        </w:tabs>
      </w:pPr>
      <w:bookmarkStart w:id="12" w:name="_Ref31117586"/>
      <w:bookmarkStart w:id="13" w:name="_Ref30490301"/>
      <w:r w:rsidRPr="005149C4">
        <w:t xml:space="preserve">A continuación, se presenta el detalle de la procedencia de las causas ingresada en materia Penal de Adultos, </w:t>
      </w:r>
      <w:r w:rsidR="00A67618" w:rsidRPr="005149C4">
        <w:t>durante el año</w:t>
      </w:r>
      <w:r w:rsidR="00111F28" w:rsidRPr="005149C4">
        <w:t xml:space="preserve"> 202</w:t>
      </w:r>
      <w:r w:rsidR="00351912" w:rsidRPr="005149C4">
        <w:t>2</w:t>
      </w:r>
      <w:r w:rsidRPr="005149C4">
        <w:t>.</w:t>
      </w:r>
    </w:p>
    <w:p w14:paraId="3D07FB76" w14:textId="2327457D" w:rsidR="00A02DD6" w:rsidRPr="005149C4" w:rsidRDefault="008F23F1" w:rsidP="00A02DD6">
      <w:pPr>
        <w:ind w:left="1418" w:right="1183"/>
        <w:jc w:val="center"/>
        <w:rPr>
          <w:b/>
          <w:bCs/>
          <w:sz w:val="20"/>
          <w:szCs w:val="20"/>
          <w:lang w:val="es-ES"/>
        </w:rPr>
      </w:pPr>
      <w:bookmarkStart w:id="14" w:name="_Ref63946975"/>
      <w:r w:rsidRPr="005149C4">
        <w:rPr>
          <w:b/>
          <w:bCs/>
          <w:sz w:val="20"/>
          <w:szCs w:val="20"/>
          <w:lang w:val="es-ES"/>
        </w:rPr>
        <w:t xml:space="preserve">Cuadro </w:t>
      </w:r>
      <w:r w:rsidRPr="005149C4">
        <w:rPr>
          <w:b/>
          <w:bCs/>
          <w:sz w:val="20"/>
          <w:szCs w:val="20"/>
          <w:lang w:val="es-ES"/>
        </w:rPr>
        <w:fldChar w:fldCharType="begin"/>
      </w:r>
      <w:r w:rsidRPr="005149C4">
        <w:rPr>
          <w:b/>
          <w:bCs/>
          <w:sz w:val="20"/>
          <w:szCs w:val="20"/>
          <w:lang w:val="es-ES"/>
        </w:rPr>
        <w:instrText xml:space="preserve"> SEQ Cuadro \* ARABIC </w:instrText>
      </w:r>
      <w:r w:rsidRPr="005149C4">
        <w:rPr>
          <w:b/>
          <w:bCs/>
          <w:sz w:val="20"/>
          <w:szCs w:val="20"/>
          <w:lang w:val="es-ES"/>
        </w:rPr>
        <w:fldChar w:fldCharType="separate"/>
      </w:r>
      <w:r w:rsidR="00607DCE" w:rsidRPr="005149C4">
        <w:rPr>
          <w:b/>
          <w:bCs/>
          <w:noProof/>
          <w:sz w:val="20"/>
          <w:szCs w:val="20"/>
          <w:lang w:val="es-ES"/>
        </w:rPr>
        <w:t>5</w:t>
      </w:r>
      <w:r w:rsidRPr="005149C4">
        <w:rPr>
          <w:b/>
          <w:bCs/>
          <w:sz w:val="20"/>
          <w:szCs w:val="20"/>
          <w:lang w:val="es-ES"/>
        </w:rPr>
        <w:fldChar w:fldCharType="end"/>
      </w:r>
      <w:bookmarkEnd w:id="12"/>
      <w:bookmarkEnd w:id="14"/>
      <w:r w:rsidRPr="005149C4">
        <w:rPr>
          <w:b/>
          <w:bCs/>
          <w:sz w:val="20"/>
          <w:szCs w:val="20"/>
          <w:lang w:val="es-ES"/>
        </w:rPr>
        <w:t xml:space="preserve">. Procedencia de las causas ingresadas a Justicia Restaurativa Penal de Adultos </w:t>
      </w:r>
      <w:r w:rsidR="00375437" w:rsidRPr="005149C4">
        <w:rPr>
          <w:b/>
          <w:bCs/>
          <w:sz w:val="20"/>
          <w:szCs w:val="20"/>
          <w:lang w:val="es-ES"/>
        </w:rPr>
        <w:t>para el</w:t>
      </w:r>
      <w:r w:rsidRPr="005149C4">
        <w:rPr>
          <w:b/>
          <w:bCs/>
          <w:sz w:val="20"/>
          <w:szCs w:val="20"/>
          <w:lang w:val="es-ES"/>
        </w:rPr>
        <w:t xml:space="preserve"> año 20</w:t>
      </w:r>
      <w:bookmarkEnd w:id="13"/>
      <w:r w:rsidRPr="005149C4">
        <w:rPr>
          <w:b/>
          <w:bCs/>
          <w:sz w:val="20"/>
          <w:szCs w:val="20"/>
          <w:lang w:val="es-ES"/>
        </w:rPr>
        <w:t>2</w:t>
      </w:r>
      <w:r w:rsidR="00A02DD6" w:rsidRPr="005149C4">
        <w:rPr>
          <w:b/>
          <w:bCs/>
          <w:sz w:val="20"/>
          <w:szCs w:val="20"/>
          <w:lang w:val="es-ES"/>
        </w:rPr>
        <w:t>2</w:t>
      </w:r>
    </w:p>
    <w:tbl>
      <w:tblPr>
        <w:tblW w:w="6340" w:type="dxa"/>
        <w:jc w:val="center"/>
        <w:tblCellMar>
          <w:left w:w="70" w:type="dxa"/>
          <w:right w:w="70" w:type="dxa"/>
        </w:tblCellMar>
        <w:tblLook w:val="04A0" w:firstRow="1" w:lastRow="0" w:firstColumn="1" w:lastColumn="0" w:noHBand="0" w:noVBand="1"/>
      </w:tblPr>
      <w:tblGrid>
        <w:gridCol w:w="4180"/>
        <w:gridCol w:w="1060"/>
        <w:gridCol w:w="1100"/>
      </w:tblGrid>
      <w:tr w:rsidR="00A02DD6" w:rsidRPr="005149C4" w14:paraId="29AAC012" w14:textId="77777777" w:rsidTr="00A02DD6">
        <w:trPr>
          <w:trHeight w:val="330"/>
          <w:jc w:val="center"/>
        </w:trPr>
        <w:tc>
          <w:tcPr>
            <w:tcW w:w="4180" w:type="dxa"/>
            <w:tcBorders>
              <w:top w:val="double" w:sz="6" w:space="0" w:color="002060"/>
              <w:left w:val="double" w:sz="6" w:space="0" w:color="002060"/>
              <w:bottom w:val="double" w:sz="6" w:space="0" w:color="002060"/>
              <w:right w:val="double" w:sz="6" w:space="0" w:color="002060"/>
            </w:tcBorders>
            <w:shd w:val="clear" w:color="000000" w:fill="365F91"/>
            <w:noWrap/>
            <w:vAlign w:val="center"/>
            <w:hideMark/>
          </w:tcPr>
          <w:p w14:paraId="7646B408" w14:textId="77777777" w:rsidR="00A02DD6" w:rsidRPr="005149C4" w:rsidRDefault="00A02DD6" w:rsidP="00A02DD6">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Circuito Judicial</w:t>
            </w:r>
          </w:p>
        </w:tc>
        <w:tc>
          <w:tcPr>
            <w:tcW w:w="1060" w:type="dxa"/>
            <w:tcBorders>
              <w:top w:val="double" w:sz="6" w:space="0" w:color="002060"/>
              <w:left w:val="nil"/>
              <w:bottom w:val="double" w:sz="6" w:space="0" w:color="002060"/>
              <w:right w:val="double" w:sz="6" w:space="0" w:color="002060"/>
            </w:tcBorders>
            <w:shd w:val="clear" w:color="000000" w:fill="365F91"/>
            <w:noWrap/>
            <w:vAlign w:val="center"/>
            <w:hideMark/>
          </w:tcPr>
          <w:p w14:paraId="117592C4" w14:textId="77777777" w:rsidR="00A02DD6" w:rsidRPr="005149C4" w:rsidRDefault="00A02DD6" w:rsidP="00A02DD6">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Entrados</w:t>
            </w:r>
          </w:p>
        </w:tc>
        <w:tc>
          <w:tcPr>
            <w:tcW w:w="1100" w:type="dxa"/>
            <w:tcBorders>
              <w:top w:val="double" w:sz="6" w:space="0" w:color="002060"/>
              <w:left w:val="nil"/>
              <w:bottom w:val="double" w:sz="6" w:space="0" w:color="002060"/>
              <w:right w:val="double" w:sz="6" w:space="0" w:color="002060"/>
            </w:tcBorders>
            <w:shd w:val="clear" w:color="000000" w:fill="365F91"/>
            <w:noWrap/>
            <w:vAlign w:val="center"/>
            <w:hideMark/>
          </w:tcPr>
          <w:p w14:paraId="668C266B" w14:textId="77777777" w:rsidR="00A02DD6" w:rsidRPr="005149C4" w:rsidRDefault="00A02DD6" w:rsidP="00A02DD6">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Porcentaje</w:t>
            </w:r>
          </w:p>
        </w:tc>
      </w:tr>
      <w:tr w:rsidR="00A02DD6" w:rsidRPr="005149C4" w14:paraId="225443EE" w14:textId="77777777" w:rsidTr="00A02DD6">
        <w:trPr>
          <w:trHeight w:val="330"/>
          <w:jc w:val="center"/>
        </w:trPr>
        <w:tc>
          <w:tcPr>
            <w:tcW w:w="418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16974D48"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San José</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457C755C"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0</w:t>
            </w:r>
          </w:p>
        </w:tc>
        <w:tc>
          <w:tcPr>
            <w:tcW w:w="1100" w:type="dxa"/>
            <w:tcBorders>
              <w:top w:val="nil"/>
              <w:left w:val="nil"/>
              <w:bottom w:val="double" w:sz="6" w:space="0" w:color="002060"/>
              <w:right w:val="double" w:sz="6" w:space="0" w:color="002060"/>
            </w:tcBorders>
            <w:shd w:val="clear" w:color="auto" w:fill="auto"/>
            <w:noWrap/>
            <w:vAlign w:val="bottom"/>
            <w:hideMark/>
          </w:tcPr>
          <w:p w14:paraId="52AF18B9"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0,00%</w:t>
            </w:r>
          </w:p>
        </w:tc>
      </w:tr>
      <w:tr w:rsidR="00A02DD6" w:rsidRPr="005149C4" w14:paraId="23277B71"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15BEC952"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San José-Flagrancia</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533E09AF"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505</w:t>
            </w:r>
          </w:p>
        </w:tc>
        <w:tc>
          <w:tcPr>
            <w:tcW w:w="1100" w:type="dxa"/>
            <w:tcBorders>
              <w:top w:val="nil"/>
              <w:left w:val="nil"/>
              <w:bottom w:val="double" w:sz="6" w:space="0" w:color="002060"/>
              <w:right w:val="double" w:sz="6" w:space="0" w:color="002060"/>
            </w:tcBorders>
            <w:shd w:val="clear" w:color="auto" w:fill="auto"/>
            <w:noWrap/>
            <w:vAlign w:val="bottom"/>
            <w:hideMark/>
          </w:tcPr>
          <w:p w14:paraId="0E064F93"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13,55%</w:t>
            </w:r>
          </w:p>
        </w:tc>
      </w:tr>
      <w:tr w:rsidR="00A02DD6" w:rsidRPr="005149C4" w14:paraId="2512D02E"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3CB76B01"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III Circuito Judicial de San José</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6390CDBE"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348</w:t>
            </w:r>
          </w:p>
        </w:tc>
        <w:tc>
          <w:tcPr>
            <w:tcW w:w="1100" w:type="dxa"/>
            <w:tcBorders>
              <w:top w:val="nil"/>
              <w:left w:val="nil"/>
              <w:bottom w:val="double" w:sz="6" w:space="0" w:color="002060"/>
              <w:right w:val="double" w:sz="6" w:space="0" w:color="002060"/>
            </w:tcBorders>
            <w:shd w:val="clear" w:color="auto" w:fill="auto"/>
            <w:noWrap/>
            <w:vAlign w:val="bottom"/>
            <w:hideMark/>
          </w:tcPr>
          <w:p w14:paraId="4531DDB2"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9,34%</w:t>
            </w:r>
          </w:p>
        </w:tc>
      </w:tr>
      <w:tr w:rsidR="00A02DD6" w:rsidRPr="005149C4" w14:paraId="7A743055"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5DC9385F"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Cartago</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0B846F2E"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432</w:t>
            </w:r>
          </w:p>
        </w:tc>
        <w:tc>
          <w:tcPr>
            <w:tcW w:w="1100" w:type="dxa"/>
            <w:tcBorders>
              <w:top w:val="nil"/>
              <w:left w:val="nil"/>
              <w:bottom w:val="double" w:sz="6" w:space="0" w:color="002060"/>
              <w:right w:val="double" w:sz="6" w:space="0" w:color="002060"/>
            </w:tcBorders>
            <w:shd w:val="clear" w:color="auto" w:fill="auto"/>
            <w:noWrap/>
            <w:vAlign w:val="bottom"/>
            <w:hideMark/>
          </w:tcPr>
          <w:p w14:paraId="72A9E2F1"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11,59%</w:t>
            </w:r>
          </w:p>
        </w:tc>
      </w:tr>
      <w:tr w:rsidR="00A02DD6" w:rsidRPr="005149C4" w14:paraId="2A579AA1" w14:textId="77777777" w:rsidTr="00A02DD6">
        <w:trPr>
          <w:trHeight w:val="330"/>
          <w:jc w:val="center"/>
        </w:trPr>
        <w:tc>
          <w:tcPr>
            <w:tcW w:w="418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566F2596"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Alajuela</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0101DD50"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181</w:t>
            </w:r>
          </w:p>
        </w:tc>
        <w:tc>
          <w:tcPr>
            <w:tcW w:w="1100" w:type="dxa"/>
            <w:tcBorders>
              <w:top w:val="nil"/>
              <w:left w:val="nil"/>
              <w:bottom w:val="double" w:sz="6" w:space="0" w:color="002060"/>
              <w:right w:val="double" w:sz="6" w:space="0" w:color="002060"/>
            </w:tcBorders>
            <w:shd w:val="clear" w:color="auto" w:fill="auto"/>
            <w:noWrap/>
            <w:vAlign w:val="bottom"/>
            <w:hideMark/>
          </w:tcPr>
          <w:p w14:paraId="3F93F62B"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4,86%</w:t>
            </w:r>
          </w:p>
        </w:tc>
      </w:tr>
      <w:tr w:rsidR="00A02DD6" w:rsidRPr="005149C4" w14:paraId="49097DFF" w14:textId="77777777" w:rsidTr="00A02DD6">
        <w:trPr>
          <w:trHeight w:val="330"/>
          <w:jc w:val="center"/>
        </w:trPr>
        <w:tc>
          <w:tcPr>
            <w:tcW w:w="4180" w:type="dxa"/>
            <w:tcBorders>
              <w:top w:val="nil"/>
              <w:left w:val="double" w:sz="6" w:space="0" w:color="203764"/>
              <w:bottom w:val="double" w:sz="6" w:space="0" w:color="203764"/>
              <w:right w:val="double" w:sz="6" w:space="0" w:color="203764"/>
            </w:tcBorders>
            <w:shd w:val="clear" w:color="000000" w:fill="D9E1F2"/>
            <w:noWrap/>
            <w:vAlign w:val="center"/>
            <w:hideMark/>
          </w:tcPr>
          <w:p w14:paraId="7DD3CA9B"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San Ramón</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41109E62"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147</w:t>
            </w:r>
          </w:p>
        </w:tc>
        <w:tc>
          <w:tcPr>
            <w:tcW w:w="1100" w:type="dxa"/>
            <w:tcBorders>
              <w:top w:val="nil"/>
              <w:left w:val="nil"/>
              <w:bottom w:val="double" w:sz="6" w:space="0" w:color="002060"/>
              <w:right w:val="double" w:sz="6" w:space="0" w:color="002060"/>
            </w:tcBorders>
            <w:shd w:val="clear" w:color="auto" w:fill="auto"/>
            <w:noWrap/>
            <w:vAlign w:val="bottom"/>
            <w:hideMark/>
          </w:tcPr>
          <w:p w14:paraId="3598FC08"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3,95%</w:t>
            </w:r>
          </w:p>
        </w:tc>
      </w:tr>
      <w:tr w:rsidR="00A02DD6" w:rsidRPr="005149C4" w14:paraId="3EB284E6" w14:textId="77777777" w:rsidTr="00A02DD6">
        <w:trPr>
          <w:trHeight w:val="330"/>
          <w:jc w:val="center"/>
        </w:trPr>
        <w:tc>
          <w:tcPr>
            <w:tcW w:w="418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0C33773B"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Heredia</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2D71D2E0"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342</w:t>
            </w:r>
          </w:p>
        </w:tc>
        <w:tc>
          <w:tcPr>
            <w:tcW w:w="1100" w:type="dxa"/>
            <w:tcBorders>
              <w:top w:val="nil"/>
              <w:left w:val="nil"/>
              <w:bottom w:val="double" w:sz="6" w:space="0" w:color="002060"/>
              <w:right w:val="double" w:sz="6" w:space="0" w:color="002060"/>
            </w:tcBorders>
            <w:shd w:val="clear" w:color="auto" w:fill="auto"/>
            <w:noWrap/>
            <w:vAlign w:val="bottom"/>
            <w:hideMark/>
          </w:tcPr>
          <w:p w14:paraId="02B396F2"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9,18%</w:t>
            </w:r>
          </w:p>
        </w:tc>
      </w:tr>
      <w:tr w:rsidR="00A02DD6" w:rsidRPr="005149C4" w14:paraId="76408327"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61A1543B"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Puntarenas</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052942C3"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320</w:t>
            </w:r>
          </w:p>
        </w:tc>
        <w:tc>
          <w:tcPr>
            <w:tcW w:w="1100" w:type="dxa"/>
            <w:tcBorders>
              <w:top w:val="nil"/>
              <w:left w:val="nil"/>
              <w:bottom w:val="double" w:sz="6" w:space="0" w:color="002060"/>
              <w:right w:val="double" w:sz="6" w:space="0" w:color="002060"/>
            </w:tcBorders>
            <w:shd w:val="clear" w:color="auto" w:fill="auto"/>
            <w:noWrap/>
            <w:vAlign w:val="bottom"/>
            <w:hideMark/>
          </w:tcPr>
          <w:p w14:paraId="1AF2F8D3"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8,59%</w:t>
            </w:r>
          </w:p>
        </w:tc>
      </w:tr>
      <w:tr w:rsidR="00A02DD6" w:rsidRPr="005149C4" w14:paraId="28173809"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23F45A78"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Sur</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703F6543"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372</w:t>
            </w:r>
          </w:p>
        </w:tc>
        <w:tc>
          <w:tcPr>
            <w:tcW w:w="1100" w:type="dxa"/>
            <w:tcBorders>
              <w:top w:val="nil"/>
              <w:left w:val="nil"/>
              <w:bottom w:val="double" w:sz="6" w:space="0" w:color="002060"/>
              <w:right w:val="double" w:sz="6" w:space="0" w:color="002060"/>
            </w:tcBorders>
            <w:shd w:val="clear" w:color="auto" w:fill="auto"/>
            <w:noWrap/>
            <w:vAlign w:val="bottom"/>
            <w:hideMark/>
          </w:tcPr>
          <w:p w14:paraId="4B1CB9F8"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9,98%</w:t>
            </w:r>
          </w:p>
        </w:tc>
      </w:tr>
      <w:tr w:rsidR="00A02DD6" w:rsidRPr="005149C4" w14:paraId="6107DA64"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1DCD7C0D"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la Zona Sur</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6F1CBCD6"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283</w:t>
            </w:r>
          </w:p>
        </w:tc>
        <w:tc>
          <w:tcPr>
            <w:tcW w:w="1100" w:type="dxa"/>
            <w:tcBorders>
              <w:top w:val="nil"/>
              <w:left w:val="nil"/>
              <w:bottom w:val="double" w:sz="6" w:space="0" w:color="002060"/>
              <w:right w:val="double" w:sz="6" w:space="0" w:color="002060"/>
            </w:tcBorders>
            <w:shd w:val="clear" w:color="auto" w:fill="auto"/>
            <w:noWrap/>
            <w:vAlign w:val="bottom"/>
            <w:hideMark/>
          </w:tcPr>
          <w:p w14:paraId="3C854DD6"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7,60%</w:t>
            </w:r>
          </w:p>
        </w:tc>
      </w:tr>
      <w:tr w:rsidR="00A02DD6" w:rsidRPr="005149C4" w14:paraId="546B7528" w14:textId="77777777" w:rsidTr="00A02DD6">
        <w:trPr>
          <w:trHeight w:val="330"/>
          <w:jc w:val="center"/>
        </w:trPr>
        <w:tc>
          <w:tcPr>
            <w:tcW w:w="418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05520B65"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Atlántica</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378BC5BC"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42</w:t>
            </w:r>
          </w:p>
        </w:tc>
        <w:tc>
          <w:tcPr>
            <w:tcW w:w="1100" w:type="dxa"/>
            <w:tcBorders>
              <w:top w:val="nil"/>
              <w:left w:val="nil"/>
              <w:bottom w:val="double" w:sz="6" w:space="0" w:color="002060"/>
              <w:right w:val="double" w:sz="6" w:space="0" w:color="002060"/>
            </w:tcBorders>
            <w:shd w:val="clear" w:color="auto" w:fill="auto"/>
            <w:noWrap/>
            <w:vAlign w:val="bottom"/>
            <w:hideMark/>
          </w:tcPr>
          <w:p w14:paraId="082D7EF0"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1,13%</w:t>
            </w:r>
          </w:p>
        </w:tc>
      </w:tr>
      <w:tr w:rsidR="00A02DD6" w:rsidRPr="005149C4" w14:paraId="2E5229A1" w14:textId="77777777" w:rsidTr="00A02DD6">
        <w:trPr>
          <w:trHeight w:val="330"/>
          <w:jc w:val="center"/>
        </w:trPr>
        <w:tc>
          <w:tcPr>
            <w:tcW w:w="418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397A73AC"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la Zona Atlántica</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29B455CB"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412</w:t>
            </w:r>
          </w:p>
        </w:tc>
        <w:tc>
          <w:tcPr>
            <w:tcW w:w="1100" w:type="dxa"/>
            <w:tcBorders>
              <w:top w:val="nil"/>
              <w:left w:val="nil"/>
              <w:bottom w:val="double" w:sz="6" w:space="0" w:color="002060"/>
              <w:right w:val="double" w:sz="6" w:space="0" w:color="002060"/>
            </w:tcBorders>
            <w:shd w:val="clear" w:color="auto" w:fill="auto"/>
            <w:noWrap/>
            <w:vAlign w:val="bottom"/>
            <w:hideMark/>
          </w:tcPr>
          <w:p w14:paraId="064C0B17"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11,06%</w:t>
            </w:r>
          </w:p>
        </w:tc>
      </w:tr>
      <w:tr w:rsidR="00A02DD6" w:rsidRPr="005149C4" w14:paraId="238BEB36" w14:textId="77777777" w:rsidTr="00A02DD6">
        <w:trPr>
          <w:trHeight w:val="330"/>
          <w:jc w:val="center"/>
        </w:trPr>
        <w:tc>
          <w:tcPr>
            <w:tcW w:w="4180" w:type="dxa"/>
            <w:tcBorders>
              <w:top w:val="nil"/>
              <w:left w:val="double" w:sz="6" w:space="0" w:color="1F4E78"/>
              <w:bottom w:val="double" w:sz="6" w:space="0" w:color="1F4E78"/>
              <w:right w:val="double" w:sz="6" w:space="0" w:color="1F4E78"/>
            </w:tcBorders>
            <w:shd w:val="clear" w:color="000000" w:fill="D9E1F2"/>
            <w:noWrap/>
            <w:vAlign w:val="center"/>
            <w:hideMark/>
          </w:tcPr>
          <w:p w14:paraId="2113C8C7"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Guanacaste</w:t>
            </w:r>
          </w:p>
        </w:tc>
        <w:tc>
          <w:tcPr>
            <w:tcW w:w="1060" w:type="dxa"/>
            <w:tcBorders>
              <w:top w:val="nil"/>
              <w:left w:val="double" w:sz="6" w:space="0" w:color="002060"/>
              <w:bottom w:val="double" w:sz="6" w:space="0" w:color="002060"/>
              <w:right w:val="double" w:sz="6" w:space="0" w:color="002060"/>
            </w:tcBorders>
            <w:shd w:val="clear" w:color="auto" w:fill="auto"/>
            <w:noWrap/>
            <w:vAlign w:val="bottom"/>
            <w:hideMark/>
          </w:tcPr>
          <w:p w14:paraId="0F0A321E"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342</w:t>
            </w:r>
          </w:p>
        </w:tc>
        <w:tc>
          <w:tcPr>
            <w:tcW w:w="1100" w:type="dxa"/>
            <w:tcBorders>
              <w:top w:val="nil"/>
              <w:left w:val="nil"/>
              <w:bottom w:val="double" w:sz="6" w:space="0" w:color="002060"/>
              <w:right w:val="double" w:sz="6" w:space="0" w:color="002060"/>
            </w:tcBorders>
            <w:shd w:val="clear" w:color="auto" w:fill="auto"/>
            <w:noWrap/>
            <w:vAlign w:val="bottom"/>
            <w:hideMark/>
          </w:tcPr>
          <w:p w14:paraId="153168BE" w14:textId="77777777" w:rsidR="00A02DD6" w:rsidRPr="005149C4" w:rsidRDefault="00A02DD6" w:rsidP="00A02DD6">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9,18%</w:t>
            </w:r>
          </w:p>
        </w:tc>
      </w:tr>
    </w:tbl>
    <w:p w14:paraId="2F5C5B19" w14:textId="6D4E6763" w:rsidR="008F23F1" w:rsidRPr="005149C4" w:rsidRDefault="00EF225A" w:rsidP="00351912">
      <w:pPr>
        <w:spacing w:line="240" w:lineRule="auto"/>
        <w:ind w:right="1467"/>
        <w:rPr>
          <w:sz w:val="18"/>
          <w:szCs w:val="18"/>
          <w:lang w:val="es-ES"/>
        </w:rPr>
      </w:pPr>
      <w:r w:rsidRPr="005149C4">
        <w:rPr>
          <w:b/>
          <w:bCs/>
          <w:sz w:val="18"/>
          <w:szCs w:val="18"/>
        </w:rPr>
        <w:t xml:space="preserve">                    </w:t>
      </w:r>
      <w:r w:rsidR="008F23F1" w:rsidRPr="005149C4">
        <w:rPr>
          <w:b/>
          <w:bCs/>
          <w:sz w:val="18"/>
          <w:szCs w:val="18"/>
          <w:lang w:val="es-ES"/>
        </w:rPr>
        <w:t>Fuente:</w:t>
      </w:r>
      <w:r w:rsidR="008F23F1" w:rsidRPr="005149C4">
        <w:rPr>
          <w:sz w:val="18"/>
          <w:szCs w:val="18"/>
          <w:lang w:val="es-ES"/>
        </w:rPr>
        <w:t xml:space="preserve"> Modernización Institucional a partir de la información </w:t>
      </w:r>
      <w:r w:rsidR="00B001EF" w:rsidRPr="005149C4">
        <w:rPr>
          <w:sz w:val="18"/>
          <w:szCs w:val="18"/>
          <w:lang w:val="es-ES"/>
        </w:rPr>
        <w:t>extraída de SIGMA</w:t>
      </w:r>
    </w:p>
    <w:p w14:paraId="1B5F9F33" w14:textId="4038A1FE" w:rsidR="00A9177A" w:rsidRPr="005149C4" w:rsidRDefault="00A9177A" w:rsidP="00A9177A">
      <w:pPr>
        <w:tabs>
          <w:tab w:val="left" w:pos="0"/>
        </w:tabs>
      </w:pPr>
      <w:r w:rsidRPr="005149C4">
        <w:t xml:space="preserve">Con base en lo mostrado en el </w:t>
      </w:r>
      <w:r w:rsidRPr="005149C4">
        <w:fldChar w:fldCharType="begin"/>
      </w:r>
      <w:r w:rsidRPr="005149C4">
        <w:instrText xml:space="preserve"> REF _Ref63946975 \h  \* MERGEFORMAT </w:instrText>
      </w:r>
      <w:r w:rsidRPr="005149C4">
        <w:fldChar w:fldCharType="separate"/>
      </w:r>
      <w:r w:rsidR="00EC44E6" w:rsidRPr="005149C4">
        <w:t>Cuadro 5</w:t>
      </w:r>
      <w:r w:rsidRPr="005149C4">
        <w:fldChar w:fldCharType="end"/>
      </w:r>
      <w:r w:rsidRPr="005149C4">
        <w:t xml:space="preserve"> es posible identificar que </w:t>
      </w:r>
      <w:r w:rsidR="00282675" w:rsidRPr="005149C4">
        <w:t>para el</w:t>
      </w:r>
      <w:r w:rsidR="00BF4571" w:rsidRPr="005149C4">
        <w:t xml:space="preserve"> 202</w:t>
      </w:r>
      <w:r w:rsidR="00402255" w:rsidRPr="005149C4">
        <w:t>2</w:t>
      </w:r>
      <w:r w:rsidR="00BF4571" w:rsidRPr="005149C4">
        <w:t xml:space="preserve"> </w:t>
      </w:r>
      <w:r w:rsidRPr="005149C4">
        <w:t>el II Circuito Judicial</w:t>
      </w:r>
      <w:r w:rsidR="00282675" w:rsidRPr="005149C4">
        <w:t>-Flagrancia</w:t>
      </w:r>
      <w:r w:rsidRPr="005149C4">
        <w:t xml:space="preserve"> de San José recibió la mayor cantidad de casos, los cuales corresponden a un </w:t>
      </w:r>
      <w:r w:rsidR="00402255" w:rsidRPr="005149C4">
        <w:t>1</w:t>
      </w:r>
      <w:r w:rsidR="005E37D8" w:rsidRPr="005149C4">
        <w:t>4</w:t>
      </w:r>
      <w:r w:rsidRPr="005149C4">
        <w:t>% de la totalidad ingresada durante el 202</w:t>
      </w:r>
      <w:r w:rsidR="00402255" w:rsidRPr="005149C4">
        <w:t>2</w:t>
      </w:r>
      <w:r w:rsidRPr="005149C4">
        <w:t>.</w:t>
      </w:r>
      <w:r w:rsidR="00B54742" w:rsidRPr="005149C4">
        <w:t xml:space="preserve"> En segundo lugar, se ubica </w:t>
      </w:r>
      <w:r w:rsidR="004E49A8" w:rsidRPr="005149C4">
        <w:t xml:space="preserve">Circuito Judicial de </w:t>
      </w:r>
      <w:r w:rsidR="00402255" w:rsidRPr="005149C4">
        <w:t xml:space="preserve">Cartago </w:t>
      </w:r>
      <w:r w:rsidR="00B54742" w:rsidRPr="005149C4">
        <w:t xml:space="preserve">con </w:t>
      </w:r>
      <w:r w:rsidR="00402255" w:rsidRPr="005149C4">
        <w:t>1</w:t>
      </w:r>
      <w:r w:rsidR="004E49A8" w:rsidRPr="005149C4">
        <w:t>2</w:t>
      </w:r>
      <w:r w:rsidR="00B54742" w:rsidRPr="005149C4">
        <w:t>% del total de las causas ingresadas</w:t>
      </w:r>
      <w:r w:rsidR="006E363A" w:rsidRPr="005149C4">
        <w:t xml:space="preserve">, mientras en </w:t>
      </w:r>
      <w:r w:rsidR="00D47EAD" w:rsidRPr="005149C4">
        <w:t xml:space="preserve">tercer </w:t>
      </w:r>
      <w:r w:rsidR="006E363A" w:rsidRPr="005149C4">
        <w:t>lugar se ubica</w:t>
      </w:r>
      <w:r w:rsidR="004E49A8" w:rsidRPr="005149C4">
        <w:t xml:space="preserve"> el</w:t>
      </w:r>
      <w:r w:rsidR="006E363A" w:rsidRPr="005149C4">
        <w:t xml:space="preserve"> </w:t>
      </w:r>
      <w:r w:rsidR="004E49A8" w:rsidRPr="005149C4">
        <w:t xml:space="preserve">II Circuito Judicial de la Zona Atlántica </w:t>
      </w:r>
      <w:r w:rsidR="006E363A" w:rsidRPr="005149C4">
        <w:t>con el 1</w:t>
      </w:r>
      <w:r w:rsidR="004E49A8" w:rsidRPr="005149C4">
        <w:t>1</w:t>
      </w:r>
      <w:r w:rsidR="006E363A" w:rsidRPr="005149C4">
        <w:t>% de los casos ingresados</w:t>
      </w:r>
      <w:r w:rsidR="00B54742" w:rsidRPr="005149C4">
        <w:t>.</w:t>
      </w:r>
    </w:p>
    <w:p w14:paraId="30C0A6F7" w14:textId="3341386E" w:rsidR="00A9177A" w:rsidRPr="005149C4" w:rsidRDefault="00A9177A" w:rsidP="00A9177A">
      <w:pPr>
        <w:tabs>
          <w:tab w:val="left" w:pos="0"/>
        </w:tabs>
      </w:pPr>
      <w:r w:rsidRPr="005149C4">
        <w:t xml:space="preserve">En la </w:t>
      </w:r>
      <w:r w:rsidRPr="005149C4">
        <w:fldChar w:fldCharType="begin"/>
      </w:r>
      <w:r w:rsidRPr="005149C4">
        <w:instrText xml:space="preserve"> REF _Ref31196218 \h  \* MERGEFORMAT </w:instrText>
      </w:r>
      <w:r w:rsidRPr="005149C4">
        <w:fldChar w:fldCharType="separate"/>
      </w:r>
      <w:r w:rsidR="00EC44E6" w:rsidRPr="005149C4">
        <w:t>Figura 2</w:t>
      </w:r>
      <w:r w:rsidRPr="005149C4">
        <w:fldChar w:fldCharType="end"/>
      </w:r>
      <w:r w:rsidRPr="005149C4">
        <w:t xml:space="preserve"> se muestra el comportamiento histórico de las causas ingresadas a Justicia Restaurativa durante el periodo comprendido entre 201</w:t>
      </w:r>
      <w:r w:rsidR="000E575A" w:rsidRPr="005149C4">
        <w:t>9</w:t>
      </w:r>
      <w:r w:rsidRPr="005149C4">
        <w:t xml:space="preserve"> y 20</w:t>
      </w:r>
      <w:r w:rsidR="00B54742" w:rsidRPr="005149C4">
        <w:t>2</w:t>
      </w:r>
      <w:r w:rsidR="000E575A" w:rsidRPr="005149C4">
        <w:t>1</w:t>
      </w:r>
      <w:r w:rsidRPr="005149C4">
        <w:t>.</w:t>
      </w:r>
    </w:p>
    <w:p w14:paraId="67DDEEFC" w14:textId="3D2E6397" w:rsidR="00A32410" w:rsidRPr="005149C4" w:rsidRDefault="008F23F1" w:rsidP="000D6A90">
      <w:pPr>
        <w:tabs>
          <w:tab w:val="left" w:pos="0"/>
        </w:tabs>
        <w:ind w:right="-376"/>
        <w:jc w:val="center"/>
        <w:rPr>
          <w:b/>
          <w:bCs/>
          <w:sz w:val="22"/>
        </w:rPr>
      </w:pPr>
      <w:bookmarkStart w:id="15" w:name="_Ref31196218"/>
      <w:r w:rsidRPr="005149C4">
        <w:rPr>
          <w:b/>
          <w:bCs/>
          <w:sz w:val="22"/>
        </w:rPr>
        <w:t xml:space="preserve">Figura </w:t>
      </w:r>
      <w:r w:rsidRPr="005149C4">
        <w:rPr>
          <w:b/>
          <w:bCs/>
          <w:sz w:val="22"/>
        </w:rPr>
        <w:fldChar w:fldCharType="begin"/>
      </w:r>
      <w:r w:rsidRPr="005149C4">
        <w:rPr>
          <w:b/>
          <w:bCs/>
          <w:sz w:val="22"/>
        </w:rPr>
        <w:instrText xml:space="preserve"> SEQ Figura \* ARABIC </w:instrText>
      </w:r>
      <w:r w:rsidRPr="005149C4">
        <w:rPr>
          <w:b/>
          <w:bCs/>
          <w:sz w:val="22"/>
        </w:rPr>
        <w:fldChar w:fldCharType="separate"/>
      </w:r>
      <w:r w:rsidR="00607DCE" w:rsidRPr="005149C4">
        <w:rPr>
          <w:b/>
          <w:bCs/>
          <w:noProof/>
          <w:sz w:val="22"/>
        </w:rPr>
        <w:t>2</w:t>
      </w:r>
      <w:r w:rsidRPr="005149C4">
        <w:rPr>
          <w:b/>
          <w:bCs/>
          <w:sz w:val="22"/>
        </w:rPr>
        <w:fldChar w:fldCharType="end"/>
      </w:r>
      <w:bookmarkEnd w:id="15"/>
      <w:r w:rsidRPr="005149C4">
        <w:rPr>
          <w:b/>
          <w:bCs/>
          <w:sz w:val="22"/>
        </w:rPr>
        <w:t>. Histórico de causas ingresadas a Justicia Restaurativa Penal de Adultos durante el periodo 201</w:t>
      </w:r>
      <w:r w:rsidR="000E575A" w:rsidRPr="005149C4">
        <w:rPr>
          <w:b/>
          <w:bCs/>
          <w:sz w:val="22"/>
        </w:rPr>
        <w:t>9</w:t>
      </w:r>
      <w:r w:rsidRPr="005149C4">
        <w:rPr>
          <w:b/>
          <w:bCs/>
          <w:sz w:val="22"/>
        </w:rPr>
        <w:t>-</w:t>
      </w:r>
      <w:r w:rsidR="00014029" w:rsidRPr="005149C4">
        <w:rPr>
          <w:b/>
          <w:bCs/>
          <w:sz w:val="22"/>
        </w:rPr>
        <w:t xml:space="preserve"> </w:t>
      </w:r>
      <w:r w:rsidRPr="005149C4">
        <w:rPr>
          <w:b/>
          <w:bCs/>
          <w:sz w:val="22"/>
        </w:rPr>
        <w:t>202</w:t>
      </w:r>
      <w:r w:rsidR="00A32410" w:rsidRPr="005149C4">
        <w:rPr>
          <w:b/>
          <w:bCs/>
          <w:sz w:val="22"/>
        </w:rPr>
        <w:t>2</w:t>
      </w:r>
    </w:p>
    <w:p w14:paraId="19E774EB" w14:textId="625B97CE" w:rsidR="008F23F1" w:rsidRPr="005149C4" w:rsidRDefault="00EA730D" w:rsidP="000D6A90">
      <w:pPr>
        <w:tabs>
          <w:tab w:val="left" w:pos="0"/>
        </w:tabs>
        <w:ind w:right="-376" w:hanging="284"/>
        <w:rPr>
          <w:b/>
          <w:bCs/>
          <w:sz w:val="22"/>
        </w:rPr>
      </w:pPr>
      <w:r w:rsidRPr="005149C4">
        <w:rPr>
          <w:b/>
          <w:bCs/>
          <w:noProof/>
          <w:sz w:val="22"/>
        </w:rPr>
        <w:drawing>
          <wp:inline distT="0" distB="0" distL="0" distR="0" wp14:anchorId="2A6950A6" wp14:editId="1FAC57AF">
            <wp:extent cx="6297101" cy="22382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9029" cy="2256716"/>
                    </a:xfrm>
                    <a:prstGeom prst="rect">
                      <a:avLst/>
                    </a:prstGeom>
                    <a:noFill/>
                  </pic:spPr>
                </pic:pic>
              </a:graphicData>
            </a:graphic>
          </wp:inline>
        </w:drawing>
      </w:r>
      <w:r w:rsidR="008F23F1" w:rsidRPr="005149C4">
        <w:rPr>
          <w:rFonts w:cs="Calibri"/>
          <w:b/>
          <w:color w:val="000000"/>
          <w:sz w:val="20"/>
          <w:szCs w:val="20"/>
          <w:lang w:eastAsia="es-CR"/>
        </w:rPr>
        <w:t xml:space="preserve">Fuente: </w:t>
      </w:r>
      <w:r w:rsidR="008F23F1" w:rsidRPr="005149C4">
        <w:rPr>
          <w:rFonts w:cs="Calibri"/>
          <w:bCs/>
          <w:color w:val="000000"/>
          <w:sz w:val="20"/>
          <w:szCs w:val="20"/>
          <w:lang w:eastAsia="es-CR"/>
        </w:rPr>
        <w:t xml:space="preserve">Modernización Institucional a partir de la información </w:t>
      </w:r>
      <w:r w:rsidR="00315F04" w:rsidRPr="005149C4">
        <w:rPr>
          <w:rFonts w:cs="Calibri"/>
          <w:bCs/>
          <w:color w:val="000000"/>
          <w:sz w:val="20"/>
          <w:szCs w:val="20"/>
          <w:lang w:eastAsia="es-CR"/>
        </w:rPr>
        <w:t>extraída de SIGMA</w:t>
      </w:r>
    </w:p>
    <w:p w14:paraId="45408A4C" w14:textId="3AF1D63E" w:rsidR="00D87942" w:rsidRPr="005149C4" w:rsidRDefault="00B54742" w:rsidP="00B54742">
      <w:pPr>
        <w:tabs>
          <w:tab w:val="left" w:pos="0"/>
        </w:tabs>
      </w:pPr>
      <w:r w:rsidRPr="005149C4">
        <w:t>En el caso del Segundo Circuito Judicial de San José se observa un</w:t>
      </w:r>
      <w:r w:rsidR="00EA730D" w:rsidRPr="005149C4">
        <w:t xml:space="preserve">a disminución de 148 asuntos para el 2022, comparado con el año 2021.  </w:t>
      </w:r>
    </w:p>
    <w:p w14:paraId="6185D815" w14:textId="598C3CFB" w:rsidR="00B54742" w:rsidRPr="005149C4" w:rsidRDefault="00B54742" w:rsidP="00B54742">
      <w:pPr>
        <w:tabs>
          <w:tab w:val="left" w:pos="0"/>
        </w:tabs>
      </w:pPr>
      <w:r w:rsidRPr="005149C4">
        <w:t xml:space="preserve"> </w:t>
      </w:r>
      <w:r w:rsidR="00FD6FF8" w:rsidRPr="005149C4">
        <w:t>Respecto al</w:t>
      </w:r>
      <w:r w:rsidRPr="005149C4">
        <w:t xml:space="preserve"> Tercer Circuito Judicial de San José se </w:t>
      </w:r>
      <w:r w:rsidR="00445DB7" w:rsidRPr="005149C4">
        <w:t>experimentó</w:t>
      </w:r>
      <w:r w:rsidRPr="005149C4">
        <w:t xml:space="preserve"> un</w:t>
      </w:r>
      <w:r w:rsidR="00EA730D" w:rsidRPr="005149C4">
        <w:t xml:space="preserve"> aumento </w:t>
      </w:r>
      <w:r w:rsidRPr="005149C4">
        <w:t>de los casos ingresados</w:t>
      </w:r>
      <w:r w:rsidR="00445DB7" w:rsidRPr="005149C4">
        <w:t xml:space="preserve"> en el</w:t>
      </w:r>
      <w:r w:rsidRPr="005149C4">
        <w:t xml:space="preserve"> 202</w:t>
      </w:r>
      <w:r w:rsidR="00EA730D" w:rsidRPr="005149C4">
        <w:t>1</w:t>
      </w:r>
      <w:r w:rsidR="00445DB7" w:rsidRPr="005149C4">
        <w:t xml:space="preserve"> tomando como base la cantidad entrada en 20</w:t>
      </w:r>
      <w:r w:rsidR="00EA730D" w:rsidRPr="005149C4">
        <w:t>20</w:t>
      </w:r>
      <w:r w:rsidR="00E066E5" w:rsidRPr="005149C4">
        <w:t>, no obstante, para el 202</w:t>
      </w:r>
      <w:r w:rsidR="00EA730D" w:rsidRPr="005149C4">
        <w:t>2</w:t>
      </w:r>
      <w:r w:rsidR="00E066E5" w:rsidRPr="005149C4">
        <w:t xml:space="preserve"> esta cifra </w:t>
      </w:r>
      <w:r w:rsidR="000C367B" w:rsidRPr="005149C4">
        <w:t>disminuye</w:t>
      </w:r>
      <w:r w:rsidR="00E066E5" w:rsidRPr="005149C4">
        <w:t xml:space="preserve"> a </w:t>
      </w:r>
      <w:r w:rsidR="000C367B" w:rsidRPr="005149C4">
        <w:t>348</w:t>
      </w:r>
      <w:r w:rsidR="00E066E5" w:rsidRPr="005149C4">
        <w:t xml:space="preserve"> asuntos</w:t>
      </w:r>
      <w:r w:rsidR="00017E43" w:rsidRPr="005149C4">
        <w:t>.</w:t>
      </w:r>
      <w:r w:rsidRPr="005149C4">
        <w:t xml:space="preserve"> Es importante indicar que en este </w:t>
      </w:r>
      <w:r w:rsidR="00642B7C" w:rsidRPr="005149C4">
        <w:t xml:space="preserve">último </w:t>
      </w:r>
      <w:r w:rsidRPr="005149C4">
        <w:t xml:space="preserve">Circuito Judicial se inició en el mes de octubre de 2019 con el plan piloto para la atención de casos en materia contravencional, los cuales aún no son registrados a nivel del sistema informático, esto de acuerdo con lo indicado por </w:t>
      </w:r>
      <w:r w:rsidR="00642B7C" w:rsidRPr="005149C4">
        <w:t>el Sub</w:t>
      </w:r>
      <w:r w:rsidR="00944E93">
        <w:t>p</w:t>
      </w:r>
      <w:r w:rsidR="00642B7C" w:rsidRPr="005149C4">
        <w:t>roceso de Estadística</w:t>
      </w:r>
      <w:r w:rsidRPr="005149C4">
        <w:t>, en consulta realizada a través de correo electrónico el 1</w:t>
      </w:r>
      <w:r w:rsidR="00642B7C" w:rsidRPr="005149C4">
        <w:t>0</w:t>
      </w:r>
      <w:r w:rsidRPr="005149C4">
        <w:t xml:space="preserve"> de febrero del 202</w:t>
      </w:r>
      <w:r w:rsidR="00642B7C" w:rsidRPr="005149C4">
        <w:t>1</w:t>
      </w:r>
      <w:r w:rsidRPr="005149C4">
        <w:t xml:space="preserve"> </w:t>
      </w:r>
      <w:r w:rsidR="00642B7C" w:rsidRPr="005149C4">
        <w:t>(</w:t>
      </w:r>
      <w:r w:rsidRPr="005149C4">
        <w:t>Ver a</w:t>
      </w:r>
      <w:r w:rsidR="00642B7C" w:rsidRPr="005149C4">
        <w:t>péndice</w:t>
      </w:r>
      <w:r w:rsidR="00C43276" w:rsidRPr="005149C4">
        <w:t xml:space="preserve"> </w:t>
      </w:r>
      <w:r w:rsidR="00BE6661" w:rsidRPr="005149C4">
        <w:t>7</w:t>
      </w:r>
      <w:r w:rsidR="00642B7C" w:rsidRPr="005149C4">
        <w:t>)</w:t>
      </w:r>
      <w:r w:rsidRPr="005149C4">
        <w:t xml:space="preserve">.   </w:t>
      </w:r>
    </w:p>
    <w:p w14:paraId="47D829DD" w14:textId="117D1FF7" w:rsidR="00377337" w:rsidRPr="005149C4" w:rsidRDefault="0063499C" w:rsidP="008F23F1">
      <w:r w:rsidRPr="005149C4">
        <w:t>En el caso</w:t>
      </w:r>
      <w:r w:rsidR="00017E43" w:rsidRPr="005149C4">
        <w:t xml:space="preserve"> del Circuito Judicial de Cartago, se identifica un</w:t>
      </w:r>
      <w:r w:rsidR="000C367B" w:rsidRPr="005149C4">
        <w:t xml:space="preserve"> aumento </w:t>
      </w:r>
      <w:r w:rsidR="00017E43" w:rsidRPr="005149C4">
        <w:t>en los casos ingresados en 202</w:t>
      </w:r>
      <w:r w:rsidR="000C367B" w:rsidRPr="005149C4">
        <w:t>1</w:t>
      </w:r>
      <w:r w:rsidR="00017E43" w:rsidRPr="005149C4">
        <w:t xml:space="preserve"> respecto al año 20</w:t>
      </w:r>
      <w:r w:rsidR="000C367B" w:rsidRPr="005149C4">
        <w:t>20</w:t>
      </w:r>
      <w:r w:rsidR="00017E43" w:rsidRPr="005149C4">
        <w:t xml:space="preserve">, </w:t>
      </w:r>
      <w:r w:rsidR="004216A7" w:rsidRPr="005149C4">
        <w:t xml:space="preserve">situación que </w:t>
      </w:r>
      <w:r w:rsidR="000C367B" w:rsidRPr="005149C4">
        <w:t>continua</w:t>
      </w:r>
      <w:r w:rsidR="00166D02" w:rsidRPr="005149C4">
        <w:t xml:space="preserve"> </w:t>
      </w:r>
      <w:r w:rsidR="004216A7" w:rsidRPr="005149C4">
        <w:t xml:space="preserve">para el </w:t>
      </w:r>
      <w:r w:rsidR="00377337" w:rsidRPr="005149C4">
        <w:t>202</w:t>
      </w:r>
      <w:r w:rsidR="000C367B" w:rsidRPr="005149C4">
        <w:t>2</w:t>
      </w:r>
      <w:r w:rsidR="00166D02" w:rsidRPr="005149C4">
        <w:t xml:space="preserve">, donde se observa un aumento en la entrada de </w:t>
      </w:r>
      <w:r w:rsidR="000C367B" w:rsidRPr="005149C4">
        <w:t>48 asuntos respecto al 2021</w:t>
      </w:r>
      <w:r w:rsidR="004216A7" w:rsidRPr="005149C4">
        <w:t>.</w:t>
      </w:r>
    </w:p>
    <w:p w14:paraId="28913DC1" w14:textId="35D9DEC5" w:rsidR="000C367B" w:rsidRPr="005149C4" w:rsidRDefault="0041595E" w:rsidP="008F23F1">
      <w:r w:rsidRPr="005149C4">
        <w:t xml:space="preserve">Adicionalmente, para el 2021 se </w:t>
      </w:r>
      <w:r w:rsidR="005F1904" w:rsidRPr="005149C4">
        <w:t xml:space="preserve">muestran los primeros registros para </w:t>
      </w:r>
      <w:r w:rsidR="00EA4FBD" w:rsidRPr="005149C4">
        <w:t>el I y III Circuito Judicial de Alajuela,</w:t>
      </w:r>
      <w:r w:rsidR="000C367B" w:rsidRPr="005149C4">
        <w:t xml:space="preserve"> en donde se da un aumento significativo para cada uno de estos despachos. </w:t>
      </w:r>
      <w:r w:rsidR="006D5B5C" w:rsidRPr="005149C4">
        <w:t>En</w:t>
      </w:r>
      <w:r w:rsidR="000C367B" w:rsidRPr="005149C4">
        <w:t xml:space="preserve"> el caso de Alajuela se refleja un aumento de 156 asuntos respecto al año 2021 y para el caso de San Ramón, un aumento de 65 asuntos. </w:t>
      </w:r>
    </w:p>
    <w:p w14:paraId="5F7D1FDB" w14:textId="58787D96" w:rsidR="008F23F1" w:rsidRPr="005149C4" w:rsidRDefault="00CD3C81" w:rsidP="008F23F1">
      <w:r w:rsidRPr="005149C4">
        <w:t>Para el</w:t>
      </w:r>
      <w:r w:rsidR="00017E43" w:rsidRPr="005149C4">
        <w:t xml:space="preserve"> Circuito Judicial de Heredia </w:t>
      </w:r>
      <w:r w:rsidR="0057726C" w:rsidRPr="005149C4">
        <w:t>durante 20</w:t>
      </w:r>
      <w:r w:rsidR="006D5B5C" w:rsidRPr="005149C4">
        <w:t xml:space="preserve">20, </w:t>
      </w:r>
      <w:r w:rsidR="0057726C" w:rsidRPr="005149C4">
        <w:t>202</w:t>
      </w:r>
      <w:r w:rsidR="006D5B5C" w:rsidRPr="005149C4">
        <w:t>1 y 2022</w:t>
      </w:r>
      <w:r w:rsidR="001D54A7" w:rsidRPr="005149C4">
        <w:t xml:space="preserve"> la cantidad de asuntos ingresados es bastante similar,</w:t>
      </w:r>
      <w:r w:rsidR="006D5B5C" w:rsidRPr="005149C4">
        <w:t xml:space="preserve"> </w:t>
      </w:r>
      <w:r w:rsidR="002173E3" w:rsidRPr="005149C4">
        <w:t>326</w:t>
      </w:r>
      <w:r w:rsidR="006D5B5C" w:rsidRPr="005149C4">
        <w:t>, 365</w:t>
      </w:r>
      <w:r w:rsidR="002173E3" w:rsidRPr="005149C4">
        <w:t xml:space="preserve"> </w:t>
      </w:r>
      <w:r w:rsidR="006D5B5C" w:rsidRPr="005149C4">
        <w:t xml:space="preserve">y 342 </w:t>
      </w:r>
      <w:r w:rsidR="002173E3" w:rsidRPr="005149C4">
        <w:t xml:space="preserve">respectivamente, </w:t>
      </w:r>
      <w:r w:rsidR="006D5B5C" w:rsidRPr="005149C4">
        <w:t>aun</w:t>
      </w:r>
      <w:r w:rsidR="00DF7111" w:rsidRPr="005149C4">
        <w:t>que para el 202</w:t>
      </w:r>
      <w:r w:rsidR="006D5B5C" w:rsidRPr="005149C4">
        <w:t>2</w:t>
      </w:r>
      <w:r w:rsidR="00C025B1" w:rsidRPr="005149C4">
        <w:t xml:space="preserve"> la cantidad </w:t>
      </w:r>
      <w:r w:rsidR="00D936E2" w:rsidRPr="005149C4">
        <w:t>se evidencia un</w:t>
      </w:r>
      <w:r w:rsidR="006D5B5C" w:rsidRPr="005149C4">
        <w:t>a</w:t>
      </w:r>
      <w:r w:rsidR="00D936E2" w:rsidRPr="005149C4">
        <w:t xml:space="preserve"> </w:t>
      </w:r>
      <w:r w:rsidR="006D5B5C" w:rsidRPr="005149C4">
        <w:t>disminución de 23 asuntos, respecto al 2021</w:t>
      </w:r>
      <w:r w:rsidR="00017E43" w:rsidRPr="005149C4">
        <w:t>.</w:t>
      </w:r>
      <w:r w:rsidR="003017D4" w:rsidRPr="005149C4">
        <w:t xml:space="preserve"> </w:t>
      </w:r>
    </w:p>
    <w:p w14:paraId="0126A02D" w14:textId="4296CE8F" w:rsidR="00017E43" w:rsidRPr="005149C4" w:rsidRDefault="00017E43" w:rsidP="008F23F1">
      <w:r w:rsidRPr="005149C4">
        <w:t>Se reporta un</w:t>
      </w:r>
      <w:r w:rsidR="006D5B5C" w:rsidRPr="005149C4">
        <w:t xml:space="preserve">a disminución de </w:t>
      </w:r>
      <w:r w:rsidRPr="005149C4">
        <w:t>casos entrados en el Circuito Judicial de Puntarenas</w:t>
      </w:r>
      <w:r w:rsidR="000F3C03" w:rsidRPr="005149C4">
        <w:t xml:space="preserve"> para el año 202</w:t>
      </w:r>
      <w:r w:rsidR="00C03EC9" w:rsidRPr="005149C4">
        <w:t>1</w:t>
      </w:r>
      <w:r w:rsidRPr="005149C4">
        <w:t xml:space="preserve">, </w:t>
      </w:r>
      <w:r w:rsidR="000F3C03" w:rsidRPr="005149C4">
        <w:t>ya que</w:t>
      </w:r>
      <w:r w:rsidRPr="005149C4">
        <w:t xml:space="preserve"> ingresaron </w:t>
      </w:r>
      <w:r w:rsidR="00C03EC9" w:rsidRPr="005149C4">
        <w:t>15</w:t>
      </w:r>
      <w:r w:rsidR="006D5B5C" w:rsidRPr="005149C4">
        <w:t xml:space="preserve"> </w:t>
      </w:r>
      <w:r w:rsidRPr="005149C4">
        <w:t xml:space="preserve">asuntos </w:t>
      </w:r>
      <w:r w:rsidR="006D5B5C" w:rsidRPr="005149C4">
        <w:t xml:space="preserve">menos </w:t>
      </w:r>
      <w:r w:rsidRPr="005149C4">
        <w:t>que en el 2</w:t>
      </w:r>
      <w:r w:rsidR="00C03EC9" w:rsidRPr="005149C4">
        <w:t>020</w:t>
      </w:r>
      <w:r w:rsidRPr="005149C4">
        <w:t>.</w:t>
      </w:r>
      <w:r w:rsidR="00D233BF" w:rsidRPr="005149C4">
        <w:t xml:space="preserve"> Para el</w:t>
      </w:r>
      <w:r w:rsidR="00D233BF" w:rsidRPr="005149C4" w:rsidDel="00731430">
        <w:t xml:space="preserve"> </w:t>
      </w:r>
      <w:r w:rsidR="00D233BF" w:rsidRPr="005149C4">
        <w:t>202</w:t>
      </w:r>
      <w:r w:rsidR="00C03EC9" w:rsidRPr="005149C4">
        <w:t>2</w:t>
      </w:r>
      <w:r w:rsidR="00D233BF" w:rsidRPr="005149C4">
        <w:t xml:space="preserve"> se reporta un</w:t>
      </w:r>
      <w:r w:rsidR="00731430" w:rsidRPr="005149C4">
        <w:t xml:space="preserve">a disminución de </w:t>
      </w:r>
      <w:r w:rsidR="00C03EC9" w:rsidRPr="005149C4">
        <w:t>4</w:t>
      </w:r>
      <w:r w:rsidR="00731430" w:rsidRPr="005149C4">
        <w:t>5 asuntos, para un</w:t>
      </w:r>
      <w:r w:rsidR="00D233BF" w:rsidRPr="005149C4">
        <w:t xml:space="preserve"> total de </w:t>
      </w:r>
      <w:r w:rsidR="00731430" w:rsidRPr="005149C4">
        <w:t>3</w:t>
      </w:r>
      <w:r w:rsidR="00C03EC9" w:rsidRPr="005149C4">
        <w:t>20</w:t>
      </w:r>
      <w:r w:rsidR="00D233BF" w:rsidRPr="005149C4">
        <w:t xml:space="preserve"> casos ingresados.</w:t>
      </w:r>
    </w:p>
    <w:p w14:paraId="2C1B8871" w14:textId="20B7535E" w:rsidR="00C336E9" w:rsidRPr="005149C4" w:rsidRDefault="00126136" w:rsidP="008F23F1">
      <w:r w:rsidRPr="005149C4">
        <w:t xml:space="preserve">Respecto al Primer Circuito Judicial de la Zona Sur, se </w:t>
      </w:r>
      <w:r w:rsidR="000713BF" w:rsidRPr="005149C4">
        <w:t xml:space="preserve">evidencia una disminución de </w:t>
      </w:r>
      <w:r w:rsidR="00192AF1" w:rsidRPr="005149C4">
        <w:t>51</w:t>
      </w:r>
      <w:r w:rsidR="000713BF" w:rsidRPr="005149C4">
        <w:t xml:space="preserve"> asuntos para el 202</w:t>
      </w:r>
      <w:r w:rsidR="00192AF1" w:rsidRPr="005149C4">
        <w:t>1</w:t>
      </w:r>
      <w:r w:rsidR="000713BF" w:rsidRPr="005149C4">
        <w:t>, respecto a la cantidad ingresada en el 20</w:t>
      </w:r>
      <w:r w:rsidR="00192AF1" w:rsidRPr="005149C4">
        <w:t>20</w:t>
      </w:r>
      <w:r w:rsidR="00C9480D" w:rsidRPr="005149C4">
        <w:t>. Para el</w:t>
      </w:r>
      <w:r w:rsidR="00C9480D" w:rsidRPr="005149C4" w:rsidDel="00084406">
        <w:t xml:space="preserve"> </w:t>
      </w:r>
      <w:r w:rsidR="00C9480D" w:rsidRPr="005149C4">
        <w:t>202</w:t>
      </w:r>
      <w:r w:rsidR="00192AF1" w:rsidRPr="005149C4">
        <w:t>2</w:t>
      </w:r>
      <w:r w:rsidR="00C9480D" w:rsidRPr="005149C4">
        <w:t xml:space="preserve"> </w:t>
      </w:r>
      <w:r w:rsidR="00192AF1" w:rsidRPr="005149C4">
        <w:t xml:space="preserve">aumenta 35 asuntos, </w:t>
      </w:r>
      <w:r w:rsidR="00C9480D" w:rsidRPr="005149C4">
        <w:t xml:space="preserve">se tiene un total de </w:t>
      </w:r>
      <w:r w:rsidR="00084406" w:rsidRPr="005149C4">
        <w:t>37</w:t>
      </w:r>
      <w:r w:rsidR="00192AF1" w:rsidRPr="005149C4">
        <w:t>2</w:t>
      </w:r>
      <w:r w:rsidR="00084406" w:rsidRPr="005149C4">
        <w:t xml:space="preserve"> </w:t>
      </w:r>
      <w:r w:rsidR="00C9480D" w:rsidRPr="005149C4">
        <w:t>asuntos ingresados.</w:t>
      </w:r>
    </w:p>
    <w:p w14:paraId="2E285A6F" w14:textId="30019265" w:rsidR="00F74FB5" w:rsidRPr="005149C4" w:rsidRDefault="00A13B0F" w:rsidP="008F23F1">
      <w:r w:rsidRPr="005149C4">
        <w:t>Respecto al caso del I Circuito Judicial de la Zona Atlántica, disminuye en tres casos respecto al año 2021.</w:t>
      </w:r>
    </w:p>
    <w:p w14:paraId="3E13B435" w14:textId="54D1E010" w:rsidR="009007B2" w:rsidRPr="005149C4" w:rsidRDefault="00C9480D" w:rsidP="00F74FB5">
      <w:r w:rsidRPr="005149C4">
        <w:t>E</w:t>
      </w:r>
      <w:r w:rsidR="000713BF" w:rsidRPr="005149C4">
        <w:t>n el II Circuito Judicial de la Zona Atlántica</w:t>
      </w:r>
      <w:r w:rsidR="0034205F" w:rsidRPr="005149C4">
        <w:t xml:space="preserve">, el ingreso de asuntos </w:t>
      </w:r>
      <w:r w:rsidR="00A13B0F" w:rsidRPr="005149C4">
        <w:t xml:space="preserve">aumenta </w:t>
      </w:r>
      <w:r w:rsidR="00642B7C" w:rsidRPr="005149C4">
        <w:t xml:space="preserve">en </w:t>
      </w:r>
      <w:r w:rsidR="00A13B0F" w:rsidRPr="005149C4">
        <w:t xml:space="preserve">50 </w:t>
      </w:r>
      <w:r w:rsidR="00642B7C" w:rsidRPr="005149C4">
        <w:t>asuntos en el 202</w:t>
      </w:r>
      <w:r w:rsidR="00A13B0F" w:rsidRPr="005149C4">
        <w:t>1</w:t>
      </w:r>
      <w:r w:rsidRPr="005149C4">
        <w:t>, con base en la cantidad registrada en 20</w:t>
      </w:r>
      <w:r w:rsidR="00A13B0F" w:rsidRPr="005149C4">
        <w:t>20</w:t>
      </w:r>
      <w:r w:rsidR="00642B7C" w:rsidRPr="005149C4">
        <w:t>.</w:t>
      </w:r>
      <w:r w:rsidR="000713BF" w:rsidRPr="005149C4">
        <w:t xml:space="preserve"> </w:t>
      </w:r>
      <w:r w:rsidR="004C4E3C" w:rsidRPr="005149C4">
        <w:t>En el</w:t>
      </w:r>
      <w:r w:rsidR="004C4E3C" w:rsidRPr="005149C4" w:rsidDel="00D8534C">
        <w:t xml:space="preserve"> </w:t>
      </w:r>
      <w:r w:rsidR="004C4E3C" w:rsidRPr="005149C4">
        <w:t>202</w:t>
      </w:r>
      <w:r w:rsidR="00A13B0F" w:rsidRPr="005149C4">
        <w:t>2</w:t>
      </w:r>
      <w:r w:rsidR="004C4E3C" w:rsidRPr="005149C4">
        <w:t xml:space="preserve"> se reporta un total de </w:t>
      </w:r>
      <w:r w:rsidR="00A13B0F" w:rsidRPr="005149C4">
        <w:t>412</w:t>
      </w:r>
      <w:r w:rsidR="004C4E3C" w:rsidRPr="005149C4">
        <w:t xml:space="preserve"> asuntos ingresados</w:t>
      </w:r>
      <w:r w:rsidR="00A13B0F" w:rsidRPr="005149C4">
        <w:t>, reflejando un aumento de 89 asuntos en periodo 2020 al 2022</w:t>
      </w:r>
      <w:r w:rsidR="004C4E3C" w:rsidRPr="005149C4">
        <w:t>.</w:t>
      </w:r>
    </w:p>
    <w:p w14:paraId="128DABDE" w14:textId="0D539E2D" w:rsidR="00A13B0F" w:rsidRPr="005149C4" w:rsidRDefault="00A13B0F" w:rsidP="00F74FB5">
      <w:r w:rsidRPr="005149C4">
        <w:t>Referente al I Circuito Judicial de Guanacaste se logra determinar un aumento significativo en el 2022, de 270 asuntos respecto el 2021.</w:t>
      </w:r>
    </w:p>
    <w:p w14:paraId="11D2C6D3" w14:textId="46821D9F" w:rsidR="00642B7C" w:rsidRPr="005149C4" w:rsidRDefault="00642B7C" w:rsidP="00642B7C">
      <w:pPr>
        <w:tabs>
          <w:tab w:val="left" w:pos="0"/>
        </w:tabs>
      </w:pPr>
      <w:r w:rsidRPr="005149C4">
        <w:t xml:space="preserve">En el </w:t>
      </w:r>
      <w:r w:rsidRPr="005149C4">
        <w:fldChar w:fldCharType="begin"/>
      </w:r>
      <w:r w:rsidRPr="005149C4">
        <w:instrText xml:space="preserve"> REF _Ref31264531 \h  \* MERGEFORMAT </w:instrText>
      </w:r>
      <w:r w:rsidRPr="005149C4">
        <w:fldChar w:fldCharType="separate"/>
      </w:r>
      <w:r w:rsidR="00EC44E6" w:rsidRPr="005149C4">
        <w:t>Cuadro 6</w:t>
      </w:r>
      <w:r w:rsidRPr="005149C4">
        <w:fldChar w:fldCharType="end"/>
      </w:r>
      <w:r w:rsidRPr="005149C4">
        <w:t xml:space="preserve"> se muestra el promedio mensual de causas ingresadas por Circuito Judicial. Para el año 20</w:t>
      </w:r>
      <w:r w:rsidR="00817233" w:rsidRPr="005149C4">
        <w:t>2</w:t>
      </w:r>
      <w:r w:rsidR="00DD0C43" w:rsidRPr="005149C4">
        <w:t>1</w:t>
      </w:r>
      <w:r w:rsidRPr="005149C4">
        <w:t xml:space="preserve"> se observan los mayores ingresos en el </w:t>
      </w:r>
      <w:r w:rsidR="00DD0C43" w:rsidRPr="005149C4">
        <w:t>I</w:t>
      </w:r>
      <w:r w:rsidR="00D46A94" w:rsidRPr="005149C4">
        <w:t>I</w:t>
      </w:r>
      <w:r w:rsidR="00DD0C43" w:rsidRPr="005149C4">
        <w:t xml:space="preserve"> y el </w:t>
      </w:r>
      <w:r w:rsidR="00563C97" w:rsidRPr="005149C4">
        <w:t>I</w:t>
      </w:r>
      <w:r w:rsidR="00D46A94" w:rsidRPr="005149C4">
        <w:t>I</w:t>
      </w:r>
      <w:r w:rsidR="00DD0C43" w:rsidRPr="005149C4">
        <w:t>I</w:t>
      </w:r>
      <w:r w:rsidR="00563C97" w:rsidRPr="005149C4">
        <w:t xml:space="preserve"> Circuito Judicial de San José, </w:t>
      </w:r>
      <w:r w:rsidR="00817233" w:rsidRPr="005149C4">
        <w:t>Circuito Judicial de</w:t>
      </w:r>
      <w:r w:rsidR="00DD0C43" w:rsidRPr="005149C4">
        <w:t xml:space="preserve"> Cartago </w:t>
      </w:r>
      <w:r w:rsidR="00563C97" w:rsidRPr="005149C4">
        <w:t xml:space="preserve">y </w:t>
      </w:r>
      <w:r w:rsidR="004B03E4" w:rsidRPr="005149C4">
        <w:t>I</w:t>
      </w:r>
      <w:r w:rsidR="00DD0C43" w:rsidRPr="005149C4">
        <w:t>I</w:t>
      </w:r>
      <w:r w:rsidR="004B03E4" w:rsidRPr="005149C4">
        <w:t xml:space="preserve"> Circuito Judicial </w:t>
      </w:r>
      <w:r w:rsidR="00DD0C43" w:rsidRPr="005149C4">
        <w:t xml:space="preserve">de </w:t>
      </w:r>
      <w:r w:rsidR="00D51496" w:rsidRPr="005149C4">
        <w:t>la Zona</w:t>
      </w:r>
      <w:r w:rsidR="00DD0C43" w:rsidRPr="005149C4">
        <w:t xml:space="preserve"> Atlántica</w:t>
      </w:r>
      <w:r w:rsidRPr="005149C4">
        <w:t>; mientras que en el 20</w:t>
      </w:r>
      <w:r w:rsidR="007C4410" w:rsidRPr="005149C4">
        <w:t>2</w:t>
      </w:r>
      <w:r w:rsidR="00DD0C43" w:rsidRPr="005149C4">
        <w:t>2</w:t>
      </w:r>
      <w:r w:rsidRPr="005149C4">
        <w:t xml:space="preserve"> la mayor cantidad de asuntos ingresaron en el </w:t>
      </w:r>
      <w:r w:rsidR="00D46A94" w:rsidRPr="005149C4">
        <w:t>II</w:t>
      </w:r>
      <w:r w:rsidR="002C7952" w:rsidRPr="005149C4">
        <w:t xml:space="preserve"> </w:t>
      </w:r>
      <w:r w:rsidRPr="005149C4">
        <w:t xml:space="preserve">Circuito Judicial de </w:t>
      </w:r>
      <w:r w:rsidR="00A55B16" w:rsidRPr="005149C4">
        <w:t>San José</w:t>
      </w:r>
      <w:r w:rsidR="00D46A94" w:rsidRPr="005149C4">
        <w:t>,</w:t>
      </w:r>
      <w:r w:rsidRPr="005149C4">
        <w:t xml:space="preserve"> </w:t>
      </w:r>
      <w:r w:rsidR="00D46A94" w:rsidRPr="005149C4">
        <w:t xml:space="preserve">Circuito Judicial de Cartago y II Circuito Judicial de </w:t>
      </w:r>
      <w:r w:rsidR="002D74EB" w:rsidRPr="005149C4">
        <w:t>la Zona</w:t>
      </w:r>
      <w:r w:rsidR="00D46A94" w:rsidRPr="005149C4">
        <w:t xml:space="preserve"> Atlántica, quedando en un orden similar al del año 2021.</w:t>
      </w:r>
    </w:p>
    <w:p w14:paraId="5E3BEF25" w14:textId="26F23780" w:rsidR="008F23F1" w:rsidRPr="005149C4" w:rsidRDefault="008F23F1" w:rsidP="00E946C7">
      <w:pPr>
        <w:tabs>
          <w:tab w:val="left" w:pos="851"/>
        </w:tabs>
        <w:ind w:left="1276" w:right="1325"/>
        <w:jc w:val="center"/>
        <w:rPr>
          <w:b/>
          <w:bCs/>
          <w:sz w:val="20"/>
          <w:szCs w:val="20"/>
        </w:rPr>
      </w:pPr>
      <w:bookmarkStart w:id="16" w:name="_Ref31264531"/>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6</w:t>
      </w:r>
      <w:r w:rsidRPr="005149C4">
        <w:rPr>
          <w:b/>
          <w:bCs/>
          <w:sz w:val="20"/>
          <w:szCs w:val="20"/>
        </w:rPr>
        <w:fldChar w:fldCharType="end"/>
      </w:r>
      <w:bookmarkEnd w:id="16"/>
      <w:r w:rsidRPr="005149C4">
        <w:rPr>
          <w:b/>
          <w:bCs/>
          <w:sz w:val="20"/>
          <w:szCs w:val="20"/>
        </w:rPr>
        <w:t>. Entrada promedio mensual de Justicia Restaurativa por Circuito Judicial para el periodo 20</w:t>
      </w:r>
      <w:r w:rsidR="00AD66F7" w:rsidRPr="005149C4">
        <w:rPr>
          <w:b/>
          <w:bCs/>
          <w:sz w:val="20"/>
          <w:szCs w:val="20"/>
        </w:rPr>
        <w:t>20</w:t>
      </w:r>
      <w:r w:rsidRPr="005149C4">
        <w:rPr>
          <w:b/>
          <w:bCs/>
          <w:sz w:val="20"/>
          <w:szCs w:val="20"/>
        </w:rPr>
        <w:t>-</w:t>
      </w:r>
      <w:r w:rsidR="00AD66F7" w:rsidRPr="005149C4">
        <w:rPr>
          <w:b/>
          <w:bCs/>
          <w:sz w:val="20"/>
          <w:szCs w:val="20"/>
        </w:rPr>
        <w:t xml:space="preserve"> </w:t>
      </w:r>
      <w:r w:rsidRPr="005149C4">
        <w:rPr>
          <w:b/>
          <w:bCs/>
          <w:sz w:val="20"/>
          <w:szCs w:val="20"/>
        </w:rPr>
        <w:t>202</w:t>
      </w:r>
      <w:r w:rsidR="00D46A94" w:rsidRPr="005149C4">
        <w:rPr>
          <w:b/>
          <w:bCs/>
          <w:sz w:val="20"/>
          <w:szCs w:val="20"/>
        </w:rPr>
        <w:t>2</w:t>
      </w:r>
      <w:r w:rsidRPr="005149C4">
        <w:rPr>
          <w:b/>
          <w:bCs/>
          <w:sz w:val="20"/>
          <w:szCs w:val="20"/>
        </w:rPr>
        <w:t>.</w:t>
      </w:r>
    </w:p>
    <w:tbl>
      <w:tblPr>
        <w:tblW w:w="7065" w:type="dxa"/>
        <w:jc w:val="center"/>
        <w:tblCellMar>
          <w:left w:w="70" w:type="dxa"/>
          <w:right w:w="70" w:type="dxa"/>
        </w:tblCellMar>
        <w:tblLook w:val="04A0" w:firstRow="1" w:lastRow="0" w:firstColumn="1" w:lastColumn="0" w:noHBand="0" w:noVBand="1"/>
      </w:tblPr>
      <w:tblGrid>
        <w:gridCol w:w="3660"/>
        <w:gridCol w:w="1137"/>
        <w:gridCol w:w="1134"/>
        <w:gridCol w:w="1134"/>
      </w:tblGrid>
      <w:tr w:rsidR="00D46A94" w:rsidRPr="005149C4" w14:paraId="212181D2" w14:textId="3227117F" w:rsidTr="004722E8">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4513D4A" w14:textId="77777777" w:rsidR="00D46A94" w:rsidRPr="005149C4" w:rsidRDefault="00D46A94" w:rsidP="004855FE">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Circuito Judicial</w:t>
            </w:r>
          </w:p>
        </w:tc>
        <w:tc>
          <w:tcPr>
            <w:tcW w:w="3405" w:type="dxa"/>
            <w:gridSpan w:val="3"/>
            <w:tcBorders>
              <w:top w:val="double" w:sz="6" w:space="0" w:color="1F4E78"/>
              <w:left w:val="nil"/>
              <w:bottom w:val="double" w:sz="6" w:space="0" w:color="1F4E78"/>
              <w:right w:val="double" w:sz="6" w:space="0" w:color="1F4E78"/>
            </w:tcBorders>
            <w:shd w:val="clear" w:color="000000" w:fill="365F91"/>
            <w:noWrap/>
            <w:vAlign w:val="center"/>
            <w:hideMark/>
          </w:tcPr>
          <w:p w14:paraId="1FD6F521" w14:textId="63B159E1" w:rsidR="00D46A94" w:rsidRPr="005149C4" w:rsidRDefault="00D46A94" w:rsidP="004855FE">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Entrada</w:t>
            </w:r>
          </w:p>
        </w:tc>
      </w:tr>
      <w:tr w:rsidR="00D46A94" w:rsidRPr="005149C4" w14:paraId="41D905E1" w14:textId="1486AB1D" w:rsidTr="00D46A94">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1D7E1FD8" w14:textId="77777777" w:rsidR="00D46A94" w:rsidRPr="005149C4" w:rsidRDefault="00D46A94" w:rsidP="004855FE">
            <w:pPr>
              <w:spacing w:before="0" w:after="0" w:line="240" w:lineRule="auto"/>
              <w:jc w:val="left"/>
              <w:rPr>
                <w:rFonts w:eastAsia="Times New Roman" w:cs="Calibri"/>
                <w:color w:val="FFFFFF"/>
                <w:sz w:val="20"/>
                <w:szCs w:val="20"/>
                <w:lang w:eastAsia="es-CR"/>
              </w:rPr>
            </w:pPr>
          </w:p>
        </w:tc>
        <w:tc>
          <w:tcPr>
            <w:tcW w:w="1137" w:type="dxa"/>
            <w:tcBorders>
              <w:top w:val="nil"/>
              <w:left w:val="nil"/>
              <w:bottom w:val="double" w:sz="6" w:space="0" w:color="1F4E78"/>
              <w:right w:val="double" w:sz="6" w:space="0" w:color="1F4E78"/>
            </w:tcBorders>
            <w:shd w:val="clear" w:color="000000" w:fill="365F91"/>
            <w:noWrap/>
            <w:vAlign w:val="center"/>
            <w:hideMark/>
          </w:tcPr>
          <w:p w14:paraId="0A98710C" w14:textId="77777777" w:rsidR="00D46A94" w:rsidRPr="005149C4" w:rsidRDefault="00D46A94" w:rsidP="004855FE">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2020</w:t>
            </w:r>
          </w:p>
        </w:tc>
        <w:tc>
          <w:tcPr>
            <w:tcW w:w="1134" w:type="dxa"/>
            <w:tcBorders>
              <w:top w:val="nil"/>
              <w:left w:val="nil"/>
              <w:bottom w:val="double" w:sz="6" w:space="0" w:color="1F4E78"/>
              <w:right w:val="double" w:sz="6" w:space="0" w:color="1F4E78"/>
            </w:tcBorders>
            <w:shd w:val="clear" w:color="000000" w:fill="365F91"/>
            <w:noWrap/>
            <w:vAlign w:val="center"/>
            <w:hideMark/>
          </w:tcPr>
          <w:p w14:paraId="15358917" w14:textId="4D14492A" w:rsidR="00D46A94" w:rsidRPr="005149C4" w:rsidRDefault="00D46A94" w:rsidP="004855FE">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2021</w:t>
            </w:r>
          </w:p>
        </w:tc>
        <w:tc>
          <w:tcPr>
            <w:tcW w:w="1134" w:type="dxa"/>
            <w:tcBorders>
              <w:top w:val="nil"/>
              <w:left w:val="nil"/>
              <w:bottom w:val="double" w:sz="6" w:space="0" w:color="1F4E78"/>
              <w:right w:val="double" w:sz="6" w:space="0" w:color="1F4E78"/>
            </w:tcBorders>
            <w:shd w:val="clear" w:color="000000" w:fill="365F91"/>
          </w:tcPr>
          <w:p w14:paraId="0D5F2CE3" w14:textId="382716DB" w:rsidR="00D46A94" w:rsidRPr="005149C4" w:rsidRDefault="00D46A94" w:rsidP="004855FE">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2022</w:t>
            </w:r>
          </w:p>
        </w:tc>
      </w:tr>
      <w:tr w:rsidR="00D46A94" w:rsidRPr="005149C4" w14:paraId="3ED76DCD" w14:textId="1749C088" w:rsidTr="00D46A94">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DC3705D"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0DBA81A5"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36</w:t>
            </w:r>
          </w:p>
        </w:tc>
        <w:tc>
          <w:tcPr>
            <w:tcW w:w="1134" w:type="dxa"/>
            <w:tcBorders>
              <w:top w:val="nil"/>
              <w:left w:val="nil"/>
              <w:bottom w:val="double" w:sz="6" w:space="0" w:color="1F4E78"/>
              <w:right w:val="double" w:sz="6" w:space="0" w:color="1F4E78"/>
            </w:tcBorders>
            <w:shd w:val="clear" w:color="000000" w:fill="FFFFFF"/>
            <w:noWrap/>
            <w:vAlign w:val="center"/>
            <w:hideMark/>
          </w:tcPr>
          <w:p w14:paraId="470C52F5" w14:textId="1E47BC15"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58</w:t>
            </w:r>
          </w:p>
        </w:tc>
        <w:tc>
          <w:tcPr>
            <w:tcW w:w="1134" w:type="dxa"/>
            <w:tcBorders>
              <w:top w:val="nil"/>
              <w:left w:val="nil"/>
              <w:bottom w:val="double" w:sz="6" w:space="0" w:color="1F4E78"/>
              <w:right w:val="double" w:sz="6" w:space="0" w:color="1F4E78"/>
            </w:tcBorders>
            <w:shd w:val="clear" w:color="000000" w:fill="FFFFFF"/>
          </w:tcPr>
          <w:p w14:paraId="036BE080" w14:textId="05C99749"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45</w:t>
            </w:r>
          </w:p>
        </w:tc>
      </w:tr>
      <w:tr w:rsidR="00D46A94" w:rsidRPr="005149C4" w14:paraId="27A73966" w14:textId="5C903FBA" w:rsidTr="00D46A94">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99C216B"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25BAFECF"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w:t>
            </w:r>
          </w:p>
        </w:tc>
        <w:tc>
          <w:tcPr>
            <w:tcW w:w="1134" w:type="dxa"/>
            <w:tcBorders>
              <w:top w:val="nil"/>
              <w:left w:val="nil"/>
              <w:bottom w:val="double" w:sz="6" w:space="0" w:color="1F4E78"/>
              <w:right w:val="double" w:sz="6" w:space="0" w:color="1F4E78"/>
            </w:tcBorders>
            <w:shd w:val="clear" w:color="000000" w:fill="FFFFFF"/>
            <w:noWrap/>
            <w:vAlign w:val="center"/>
            <w:hideMark/>
          </w:tcPr>
          <w:p w14:paraId="11CE051F" w14:textId="410733B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39</w:t>
            </w:r>
          </w:p>
        </w:tc>
        <w:tc>
          <w:tcPr>
            <w:tcW w:w="1134" w:type="dxa"/>
            <w:tcBorders>
              <w:top w:val="nil"/>
              <w:left w:val="nil"/>
              <w:bottom w:val="double" w:sz="6" w:space="0" w:color="1F4E78"/>
              <w:right w:val="double" w:sz="6" w:space="0" w:color="1F4E78"/>
            </w:tcBorders>
            <w:shd w:val="clear" w:color="000000" w:fill="FFFFFF"/>
          </w:tcPr>
          <w:p w14:paraId="24E9A960" w14:textId="7E44E83A"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31</w:t>
            </w:r>
          </w:p>
        </w:tc>
      </w:tr>
      <w:tr w:rsidR="00D46A94" w:rsidRPr="005149C4" w14:paraId="7908411E" w14:textId="33138372" w:rsidTr="00D46A94">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551CE4D"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3E644E6B"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26</w:t>
            </w:r>
          </w:p>
        </w:tc>
        <w:tc>
          <w:tcPr>
            <w:tcW w:w="1134" w:type="dxa"/>
            <w:tcBorders>
              <w:top w:val="nil"/>
              <w:left w:val="nil"/>
              <w:bottom w:val="double" w:sz="6" w:space="0" w:color="1F4E78"/>
              <w:right w:val="double" w:sz="6" w:space="0" w:color="1F4E78"/>
            </w:tcBorders>
            <w:shd w:val="clear" w:color="000000" w:fill="FFFFFF"/>
            <w:noWrap/>
            <w:vAlign w:val="center"/>
            <w:hideMark/>
          </w:tcPr>
          <w:p w14:paraId="29212EAC" w14:textId="4C57D543"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tcPr>
          <w:p w14:paraId="0EA66F67" w14:textId="4547A81C"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38</w:t>
            </w:r>
          </w:p>
        </w:tc>
      </w:tr>
      <w:tr w:rsidR="00D46A94" w:rsidRPr="005149C4" w14:paraId="213681ED" w14:textId="220C84BB" w:rsidTr="00D46A94">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4CB7046C"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24318C10"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BD6F9B6" w14:textId="5648160F" w:rsidR="00D46A94" w:rsidRPr="005149C4" w:rsidRDefault="00736A81"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w:t>
            </w:r>
          </w:p>
        </w:tc>
        <w:tc>
          <w:tcPr>
            <w:tcW w:w="1134" w:type="dxa"/>
            <w:tcBorders>
              <w:top w:val="nil"/>
              <w:left w:val="nil"/>
              <w:bottom w:val="double" w:sz="6" w:space="0" w:color="1F4E78"/>
              <w:right w:val="double" w:sz="6" w:space="0" w:color="1F4E78"/>
            </w:tcBorders>
            <w:shd w:val="clear" w:color="000000" w:fill="FFFFFF"/>
          </w:tcPr>
          <w:p w14:paraId="554CCA41" w14:textId="1E2613AF"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16</w:t>
            </w:r>
          </w:p>
        </w:tc>
      </w:tr>
      <w:tr w:rsidR="00D46A94" w:rsidRPr="005149C4" w14:paraId="315CCDFE" w14:textId="7DF81506" w:rsidTr="00D46A94">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43232D86"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37965202"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CD4F8E3" w14:textId="65E5C837" w:rsidR="00D46A94" w:rsidRPr="005149C4" w:rsidRDefault="00736A81"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10</w:t>
            </w:r>
          </w:p>
        </w:tc>
        <w:tc>
          <w:tcPr>
            <w:tcW w:w="1134" w:type="dxa"/>
            <w:tcBorders>
              <w:top w:val="nil"/>
              <w:left w:val="nil"/>
              <w:bottom w:val="double" w:sz="6" w:space="0" w:color="1F4E78"/>
              <w:right w:val="double" w:sz="6" w:space="0" w:color="1F4E78"/>
            </w:tcBorders>
            <w:shd w:val="clear" w:color="000000" w:fill="FFFFFF"/>
          </w:tcPr>
          <w:p w14:paraId="314B7939" w14:textId="370D08B6"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w:t>
            </w:r>
          </w:p>
        </w:tc>
      </w:tr>
      <w:tr w:rsidR="00D46A94" w:rsidRPr="005149C4" w14:paraId="270E29DC" w14:textId="377644DE" w:rsidTr="00D46A94">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50576596"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43E0FCF0"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29546E09" w14:textId="5C7B83B2"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w:t>
            </w:r>
          </w:p>
        </w:tc>
        <w:tc>
          <w:tcPr>
            <w:tcW w:w="1134" w:type="dxa"/>
            <w:tcBorders>
              <w:top w:val="nil"/>
              <w:left w:val="nil"/>
              <w:bottom w:val="double" w:sz="6" w:space="0" w:color="1F4E78"/>
              <w:right w:val="double" w:sz="6" w:space="0" w:color="1F4E78"/>
            </w:tcBorders>
            <w:shd w:val="clear" w:color="000000" w:fill="FFFFFF"/>
          </w:tcPr>
          <w:p w14:paraId="4F3CC539" w14:textId="3B9C4988"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r>
      <w:tr w:rsidR="00D46A94" w:rsidRPr="005149C4" w14:paraId="49368C66" w14:textId="69670DF8" w:rsidTr="00D46A94">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568A78C"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7AF0A2C3"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7CA10B2C" w14:textId="097819C3"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w:t>
            </w:r>
          </w:p>
        </w:tc>
        <w:tc>
          <w:tcPr>
            <w:tcW w:w="1134" w:type="dxa"/>
            <w:tcBorders>
              <w:top w:val="nil"/>
              <w:left w:val="nil"/>
              <w:bottom w:val="double" w:sz="6" w:space="0" w:color="1F4E78"/>
              <w:right w:val="double" w:sz="6" w:space="0" w:color="1F4E78"/>
            </w:tcBorders>
            <w:shd w:val="clear" w:color="000000" w:fill="FFFFFF"/>
          </w:tcPr>
          <w:p w14:paraId="318FE35F" w14:textId="0C56D91F"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w:t>
            </w:r>
          </w:p>
        </w:tc>
      </w:tr>
      <w:tr w:rsidR="00D46A94" w:rsidRPr="005149C4" w14:paraId="238D37F4" w14:textId="78128C26" w:rsidTr="00D46A94">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CB4F0CF"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5487012D"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5A44FC3B" w14:textId="236BF61F"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c>
          <w:tcPr>
            <w:tcW w:w="1134" w:type="dxa"/>
            <w:tcBorders>
              <w:top w:val="nil"/>
              <w:left w:val="nil"/>
              <w:bottom w:val="double" w:sz="6" w:space="0" w:color="1F4E78"/>
              <w:right w:val="double" w:sz="6" w:space="0" w:color="1F4E78"/>
            </w:tcBorders>
            <w:shd w:val="clear" w:color="000000" w:fill="FFFFFF"/>
          </w:tcPr>
          <w:p w14:paraId="7A97896F" w14:textId="39C5F381"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33</w:t>
            </w:r>
          </w:p>
        </w:tc>
      </w:tr>
      <w:tr w:rsidR="00D46A94" w:rsidRPr="005149C4" w14:paraId="7F748363" w14:textId="22805C70" w:rsidTr="00D46A94">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BA86148"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05A8F89A"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3E55DFB9" w14:textId="7500828A" w:rsidR="00D46A94" w:rsidRPr="005149C4" w:rsidRDefault="00736A81"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w:t>
            </w:r>
          </w:p>
        </w:tc>
        <w:tc>
          <w:tcPr>
            <w:tcW w:w="1134" w:type="dxa"/>
            <w:tcBorders>
              <w:top w:val="nil"/>
              <w:left w:val="nil"/>
              <w:bottom w:val="double" w:sz="6" w:space="0" w:color="1F4E78"/>
              <w:right w:val="double" w:sz="6" w:space="0" w:color="1F4E78"/>
            </w:tcBorders>
            <w:shd w:val="clear" w:color="000000" w:fill="FFFFFF"/>
          </w:tcPr>
          <w:p w14:paraId="31670AEE" w14:textId="7A1B6F1B"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w:t>
            </w:r>
          </w:p>
        </w:tc>
      </w:tr>
      <w:tr w:rsidR="00D46A94" w:rsidRPr="005149C4" w14:paraId="7A369181" w14:textId="591B28EC" w:rsidTr="00D46A94">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33E15C3C"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679C3998"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6F5A6737" w14:textId="716A45A0"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33</w:t>
            </w:r>
          </w:p>
        </w:tc>
        <w:tc>
          <w:tcPr>
            <w:tcW w:w="1134" w:type="dxa"/>
            <w:tcBorders>
              <w:top w:val="nil"/>
              <w:left w:val="nil"/>
              <w:bottom w:val="double" w:sz="6" w:space="0" w:color="1F4E78"/>
              <w:right w:val="double" w:sz="6" w:space="0" w:color="1F4E78"/>
            </w:tcBorders>
            <w:shd w:val="clear" w:color="000000" w:fill="FFFFFF"/>
          </w:tcPr>
          <w:p w14:paraId="01FDC51F" w14:textId="686174F9"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37</w:t>
            </w:r>
          </w:p>
        </w:tc>
      </w:tr>
      <w:tr w:rsidR="00D46A94" w:rsidRPr="005149C4" w14:paraId="4D6F388F" w14:textId="7F7FF280" w:rsidTr="00071C68">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A78EAB1" w14:textId="77777777" w:rsidR="00D46A94" w:rsidRPr="005149C4" w:rsidRDefault="00D46A94" w:rsidP="004855F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Promedio General</w:t>
            </w:r>
          </w:p>
        </w:tc>
        <w:tc>
          <w:tcPr>
            <w:tcW w:w="1137" w:type="dxa"/>
            <w:tcBorders>
              <w:top w:val="nil"/>
              <w:left w:val="nil"/>
              <w:bottom w:val="double" w:sz="6" w:space="0" w:color="1F4E78"/>
              <w:right w:val="double" w:sz="6" w:space="0" w:color="1F4E78"/>
            </w:tcBorders>
            <w:shd w:val="clear" w:color="auto" w:fill="auto"/>
            <w:noWrap/>
            <w:vAlign w:val="center"/>
            <w:hideMark/>
          </w:tcPr>
          <w:p w14:paraId="2BD04046" w14:textId="77777777" w:rsidR="00D46A94" w:rsidRPr="005149C4" w:rsidRDefault="00D46A94" w:rsidP="004855FE">
            <w:pPr>
              <w:spacing w:before="0" w:after="0" w:line="240" w:lineRule="auto"/>
              <w:jc w:val="center"/>
              <w:rPr>
                <w:rFonts w:eastAsia="Times New Roman" w:cs="Calibri"/>
                <w:b/>
                <w:bCs/>
                <w:color w:val="000000"/>
                <w:sz w:val="20"/>
                <w:szCs w:val="20"/>
                <w:lang w:eastAsia="es-CR"/>
              </w:rPr>
            </w:pPr>
            <w:r w:rsidRPr="005149C4">
              <w:rPr>
                <w:rFonts w:eastAsia="Times New Roman" w:cs="Calibri"/>
                <w:b/>
                <w:bCs/>
                <w:color w:val="000000"/>
                <w:sz w:val="20"/>
                <w:szCs w:val="20"/>
                <w:lang w:eastAsia="es-CR"/>
              </w:rPr>
              <w:t>31</w:t>
            </w:r>
          </w:p>
        </w:tc>
        <w:tc>
          <w:tcPr>
            <w:tcW w:w="1134" w:type="dxa"/>
            <w:tcBorders>
              <w:top w:val="nil"/>
              <w:left w:val="nil"/>
              <w:bottom w:val="double" w:sz="6" w:space="0" w:color="1F4E78"/>
              <w:right w:val="double" w:sz="6" w:space="0" w:color="1F4E78"/>
            </w:tcBorders>
            <w:shd w:val="clear" w:color="auto" w:fill="auto"/>
            <w:noWrap/>
            <w:vAlign w:val="center"/>
            <w:hideMark/>
          </w:tcPr>
          <w:p w14:paraId="6F3E8B34" w14:textId="301FCD49" w:rsidR="00D46A94" w:rsidRPr="005149C4" w:rsidRDefault="00D46A94" w:rsidP="004855FE">
            <w:pPr>
              <w:spacing w:before="0" w:after="0" w:line="240" w:lineRule="auto"/>
              <w:jc w:val="center"/>
              <w:rPr>
                <w:rFonts w:eastAsia="Times New Roman" w:cs="Calibri"/>
                <w:b/>
                <w:bCs/>
                <w:color w:val="000000"/>
                <w:sz w:val="20"/>
                <w:szCs w:val="20"/>
                <w:lang w:eastAsia="es-CR"/>
              </w:rPr>
            </w:pPr>
            <w:r w:rsidRPr="005149C4">
              <w:rPr>
                <w:rFonts w:eastAsia="Times New Roman" w:cs="Calibri"/>
                <w:b/>
                <w:bCs/>
                <w:color w:val="000000"/>
                <w:sz w:val="20"/>
                <w:szCs w:val="20"/>
                <w:lang w:eastAsia="es-CR"/>
              </w:rPr>
              <w:t>2</w:t>
            </w:r>
            <w:r w:rsidR="00736A81" w:rsidRPr="005149C4">
              <w:rPr>
                <w:rFonts w:eastAsia="Times New Roman" w:cs="Calibri"/>
                <w:b/>
                <w:bCs/>
                <w:color w:val="000000"/>
                <w:sz w:val="20"/>
                <w:szCs w:val="20"/>
                <w:lang w:eastAsia="es-CR"/>
              </w:rPr>
              <w:t>8</w:t>
            </w:r>
          </w:p>
        </w:tc>
        <w:tc>
          <w:tcPr>
            <w:tcW w:w="1134" w:type="dxa"/>
            <w:tcBorders>
              <w:top w:val="nil"/>
              <w:left w:val="nil"/>
              <w:bottom w:val="double" w:sz="6" w:space="0" w:color="1F4E78"/>
              <w:right w:val="double" w:sz="6" w:space="0" w:color="1F4E78"/>
            </w:tcBorders>
            <w:shd w:val="clear" w:color="auto" w:fill="auto"/>
          </w:tcPr>
          <w:p w14:paraId="6A871A33" w14:textId="62DD9DF5" w:rsidR="00D46A94" w:rsidRPr="005149C4" w:rsidRDefault="00D46A94" w:rsidP="004855FE">
            <w:pPr>
              <w:spacing w:before="0" w:after="0" w:line="240" w:lineRule="auto"/>
              <w:jc w:val="center"/>
              <w:rPr>
                <w:rFonts w:eastAsia="Times New Roman" w:cs="Calibri"/>
                <w:b/>
                <w:bCs/>
                <w:color w:val="000000"/>
                <w:sz w:val="20"/>
                <w:szCs w:val="20"/>
                <w:lang w:eastAsia="es-CR"/>
              </w:rPr>
            </w:pPr>
            <w:r w:rsidRPr="005149C4">
              <w:rPr>
                <w:rFonts w:eastAsia="Times New Roman" w:cs="Calibri"/>
                <w:b/>
                <w:bCs/>
                <w:color w:val="000000"/>
                <w:sz w:val="20"/>
                <w:szCs w:val="20"/>
                <w:lang w:eastAsia="es-CR"/>
              </w:rPr>
              <w:t>28</w:t>
            </w:r>
          </w:p>
        </w:tc>
      </w:tr>
    </w:tbl>
    <w:p w14:paraId="3CEE366B" w14:textId="78F401FB" w:rsidR="008F23F1" w:rsidRPr="005149C4" w:rsidRDefault="008F23F1" w:rsidP="00C81B18">
      <w:pPr>
        <w:ind w:left="1276" w:right="1325"/>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w:t>
      </w:r>
      <w:r w:rsidR="006F5113" w:rsidRPr="005149C4">
        <w:rPr>
          <w:rFonts w:cs="Calibri"/>
          <w:bCs/>
          <w:color w:val="000000"/>
          <w:sz w:val="20"/>
          <w:szCs w:val="20"/>
          <w:lang w:eastAsia="es-CR"/>
        </w:rPr>
        <w:t>extraída de SIGMA</w:t>
      </w:r>
      <w:r w:rsidRPr="005149C4">
        <w:rPr>
          <w:rFonts w:cs="Calibri"/>
          <w:bCs/>
          <w:color w:val="000000"/>
          <w:sz w:val="20"/>
          <w:szCs w:val="20"/>
          <w:lang w:eastAsia="es-CR"/>
        </w:rPr>
        <w:t xml:space="preserve">. </w:t>
      </w:r>
    </w:p>
    <w:p w14:paraId="0BE7163D" w14:textId="598D70F2" w:rsidR="00023B95" w:rsidRPr="005149C4" w:rsidRDefault="00023B95" w:rsidP="00023B95">
      <w:pPr>
        <w:tabs>
          <w:tab w:val="left" w:pos="0"/>
        </w:tabs>
      </w:pPr>
      <w:r w:rsidRPr="005149C4">
        <w:t>Al comparar el promedio mensual de las entradas nuevas correspondiente al año 20</w:t>
      </w:r>
      <w:r w:rsidR="00D643B8" w:rsidRPr="005149C4">
        <w:t>2</w:t>
      </w:r>
      <w:r w:rsidR="00456208" w:rsidRPr="005149C4">
        <w:t>1</w:t>
      </w:r>
      <w:r w:rsidRPr="005149C4">
        <w:t xml:space="preserve"> (</w:t>
      </w:r>
      <w:r w:rsidR="00456208" w:rsidRPr="005149C4">
        <w:t>2</w:t>
      </w:r>
      <w:r w:rsidR="00736A81" w:rsidRPr="005149C4">
        <w:t>8</w:t>
      </w:r>
      <w:r w:rsidRPr="005149C4">
        <w:t xml:space="preserve"> asuntos), con el promedio mensual de entradas obtenido para 202</w:t>
      </w:r>
      <w:r w:rsidR="00456208" w:rsidRPr="005149C4">
        <w:t>2</w:t>
      </w:r>
      <w:r w:rsidRPr="005149C4">
        <w:t xml:space="preserve"> (</w:t>
      </w:r>
      <w:r w:rsidR="00D913D1" w:rsidRPr="005149C4">
        <w:t>2</w:t>
      </w:r>
      <w:r w:rsidR="00456208" w:rsidRPr="005149C4">
        <w:t>8</w:t>
      </w:r>
      <w:r w:rsidRPr="005149C4">
        <w:t xml:space="preserve"> asuntos) se </w:t>
      </w:r>
      <w:r w:rsidR="007F51E2" w:rsidRPr="005149C4">
        <w:t>obtiene</w:t>
      </w:r>
      <w:r w:rsidRPr="005149C4">
        <w:t xml:space="preserve"> que para el año 202</w:t>
      </w:r>
      <w:r w:rsidR="00456208" w:rsidRPr="005149C4">
        <w:t>2</w:t>
      </w:r>
      <w:r w:rsidR="0086781C" w:rsidRPr="005149C4">
        <w:t xml:space="preserve">, se mantiene </w:t>
      </w:r>
      <w:r w:rsidRPr="005149C4">
        <w:t>la cantidad de ingresos nuevos</w:t>
      </w:r>
      <w:r w:rsidR="0086781C" w:rsidRPr="005149C4">
        <w:t>. Es importante considerar</w:t>
      </w:r>
      <w:r w:rsidR="007F51E2" w:rsidRPr="005149C4">
        <w:t xml:space="preserve"> que para este </w:t>
      </w:r>
      <w:r w:rsidR="000A04FE" w:rsidRPr="005149C4">
        <w:t>202</w:t>
      </w:r>
      <w:r w:rsidR="00774668" w:rsidRPr="005149C4">
        <w:t>1</w:t>
      </w:r>
      <w:r w:rsidR="0086781C" w:rsidRPr="005149C4">
        <w:t>,</w:t>
      </w:r>
      <w:r w:rsidR="000A04FE" w:rsidRPr="005149C4">
        <w:t xml:space="preserve"> se cuenta con el registro de entrada de 3 Circuitos Judiciales adicionales al 2020, mismos que reportan bajos ingresos de asuntos por lo que, al excluir estos Circuitos Judiciales del promedio</w:t>
      </w:r>
      <w:r w:rsidR="00323B46" w:rsidRPr="005149C4">
        <w:t xml:space="preserve"> (Alajuela, San Ramón y Limón)</w:t>
      </w:r>
      <w:r w:rsidR="000A04FE" w:rsidRPr="005149C4">
        <w:t>, se obtiene que el dato de entrada es de 37 asuntos mensuales</w:t>
      </w:r>
      <w:r w:rsidR="00590783" w:rsidRPr="005149C4">
        <w:t>,</w:t>
      </w:r>
      <w:r w:rsidRPr="005149C4">
        <w:t xml:space="preserve"> siendo</w:t>
      </w:r>
      <w:r w:rsidR="00590783" w:rsidRPr="005149C4">
        <w:t xml:space="preserve"> en este caso el número promedio</w:t>
      </w:r>
      <w:r w:rsidR="00A37A4E" w:rsidRPr="005149C4">
        <w:t xml:space="preserve"> entre los Circuitos Judiciales que contaban con equipo de Justicia Restaurativa en años anteriores al 2021</w:t>
      </w:r>
      <w:r w:rsidRPr="005149C4">
        <w:t>.</w:t>
      </w:r>
    </w:p>
    <w:p w14:paraId="19AA80F0" w14:textId="06A16787" w:rsidR="008F23F1" w:rsidRPr="005149C4" w:rsidRDefault="00E946C7" w:rsidP="006E06EB">
      <w:pPr>
        <w:pStyle w:val="Ttulo4"/>
        <w:numPr>
          <w:ilvl w:val="1"/>
          <w:numId w:val="11"/>
        </w:numPr>
        <w:rPr>
          <w:lang w:val="es-CR"/>
        </w:rPr>
      </w:pPr>
      <w:r w:rsidRPr="005149C4">
        <w:t>Causas terminadas por Circuito Judicial en Justicia Restaurativa Penal de Adultos.</w:t>
      </w:r>
    </w:p>
    <w:p w14:paraId="7B534595" w14:textId="4470F4B7" w:rsidR="002B4723" w:rsidRPr="005149C4" w:rsidRDefault="00E946C7" w:rsidP="00E946C7">
      <w:pPr>
        <w:tabs>
          <w:tab w:val="left" w:pos="0"/>
        </w:tabs>
      </w:pPr>
      <w:r w:rsidRPr="005149C4">
        <w:t xml:space="preserve">Respecto a la cantidad de casos terminados en Justicia Restaurativa, se muestra en el </w:t>
      </w:r>
      <w:r w:rsidRPr="005149C4">
        <w:fldChar w:fldCharType="begin"/>
      </w:r>
      <w:r w:rsidRPr="005149C4">
        <w:instrText xml:space="preserve"> REF _Ref31286719 \h  \* MERGEFORMAT </w:instrText>
      </w:r>
      <w:r w:rsidRPr="005149C4">
        <w:fldChar w:fldCharType="separate"/>
      </w:r>
      <w:r w:rsidR="00EC44E6" w:rsidRPr="005149C4">
        <w:t>Cuadro 7</w:t>
      </w:r>
      <w:r w:rsidRPr="005149C4">
        <w:fldChar w:fldCharType="end"/>
      </w:r>
      <w:r w:rsidRPr="005149C4">
        <w:t xml:space="preserve"> el detalle del promedio mensual registrado en cada uno de los circuitos judiciales. </w:t>
      </w:r>
    </w:p>
    <w:p w14:paraId="43F32364" w14:textId="3A807A21" w:rsidR="008F23F1" w:rsidRPr="005149C4" w:rsidRDefault="008F23F1" w:rsidP="00332B6A">
      <w:pPr>
        <w:ind w:left="1134" w:right="1325"/>
        <w:jc w:val="center"/>
        <w:rPr>
          <w:b/>
          <w:bCs/>
          <w:sz w:val="20"/>
          <w:szCs w:val="20"/>
        </w:rPr>
      </w:pPr>
      <w:bookmarkStart w:id="17" w:name="_Ref31286719"/>
      <w:bookmarkStart w:id="18" w:name="_Ref31357878"/>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7</w:t>
      </w:r>
      <w:r w:rsidRPr="005149C4">
        <w:rPr>
          <w:b/>
          <w:bCs/>
          <w:sz w:val="20"/>
          <w:szCs w:val="20"/>
        </w:rPr>
        <w:fldChar w:fldCharType="end"/>
      </w:r>
      <w:bookmarkEnd w:id="17"/>
      <w:r w:rsidRPr="005149C4">
        <w:rPr>
          <w:b/>
          <w:bCs/>
          <w:sz w:val="20"/>
          <w:szCs w:val="20"/>
        </w:rPr>
        <w:t>. Asuntos terminados en promedio por mes en Justicia Restaurativa por Circuito Judicial para el periodo 20</w:t>
      </w:r>
      <w:r w:rsidR="006B6763" w:rsidRPr="005149C4">
        <w:rPr>
          <w:b/>
          <w:bCs/>
          <w:sz w:val="20"/>
          <w:szCs w:val="20"/>
        </w:rPr>
        <w:t>2</w:t>
      </w:r>
      <w:r w:rsidR="004939B9" w:rsidRPr="005149C4">
        <w:rPr>
          <w:b/>
          <w:bCs/>
          <w:sz w:val="20"/>
          <w:szCs w:val="20"/>
        </w:rPr>
        <w:t>1</w:t>
      </w:r>
      <w:r w:rsidRPr="005149C4">
        <w:rPr>
          <w:b/>
          <w:bCs/>
          <w:sz w:val="20"/>
          <w:szCs w:val="20"/>
        </w:rPr>
        <w:t>-</w:t>
      </w:r>
      <w:r w:rsidR="00332B6A" w:rsidRPr="005149C4">
        <w:rPr>
          <w:b/>
          <w:bCs/>
          <w:sz w:val="20"/>
          <w:szCs w:val="20"/>
        </w:rPr>
        <w:t xml:space="preserve"> </w:t>
      </w:r>
      <w:r w:rsidRPr="005149C4">
        <w:rPr>
          <w:b/>
          <w:bCs/>
          <w:sz w:val="20"/>
          <w:szCs w:val="20"/>
        </w:rPr>
        <w:t>202</w:t>
      </w:r>
      <w:r w:rsidR="004939B9" w:rsidRPr="005149C4">
        <w:rPr>
          <w:b/>
          <w:bCs/>
          <w:sz w:val="20"/>
          <w:szCs w:val="20"/>
        </w:rPr>
        <w:t>2</w:t>
      </w:r>
      <w:r w:rsidRPr="005149C4">
        <w:rPr>
          <w:b/>
          <w:bCs/>
          <w:sz w:val="20"/>
          <w:szCs w:val="20"/>
        </w:rPr>
        <w:t>.</w:t>
      </w:r>
      <w:bookmarkEnd w:id="18"/>
    </w:p>
    <w:tbl>
      <w:tblPr>
        <w:tblW w:w="6060" w:type="dxa"/>
        <w:jc w:val="center"/>
        <w:tblCellMar>
          <w:left w:w="70" w:type="dxa"/>
          <w:right w:w="70" w:type="dxa"/>
        </w:tblCellMar>
        <w:tblLook w:val="04A0" w:firstRow="1" w:lastRow="0" w:firstColumn="1" w:lastColumn="0" w:noHBand="0" w:noVBand="1"/>
      </w:tblPr>
      <w:tblGrid>
        <w:gridCol w:w="3660"/>
        <w:gridCol w:w="1137"/>
        <w:gridCol w:w="1263"/>
      </w:tblGrid>
      <w:tr w:rsidR="005515F2" w:rsidRPr="005149C4" w14:paraId="6646C182" w14:textId="77777777" w:rsidTr="005515F2">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6290223E" w14:textId="77777777" w:rsidR="005515F2" w:rsidRPr="005149C4" w:rsidRDefault="005515F2" w:rsidP="005515F2">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Circuito Judicial</w:t>
            </w:r>
          </w:p>
        </w:tc>
        <w:tc>
          <w:tcPr>
            <w:tcW w:w="2400" w:type="dxa"/>
            <w:gridSpan w:val="2"/>
            <w:tcBorders>
              <w:top w:val="double" w:sz="6" w:space="0" w:color="1F4E78"/>
              <w:left w:val="nil"/>
              <w:bottom w:val="nil"/>
              <w:right w:val="double" w:sz="6" w:space="0" w:color="1F4E78"/>
            </w:tcBorders>
            <w:shd w:val="clear" w:color="000000" w:fill="365F91"/>
            <w:noWrap/>
            <w:vAlign w:val="center"/>
            <w:hideMark/>
          </w:tcPr>
          <w:p w14:paraId="4E7E81CF" w14:textId="77777777" w:rsidR="005515F2" w:rsidRPr="005149C4" w:rsidRDefault="005515F2" w:rsidP="005515F2">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Terminados</w:t>
            </w:r>
          </w:p>
        </w:tc>
      </w:tr>
      <w:tr w:rsidR="005515F2" w:rsidRPr="005149C4" w14:paraId="6FD942CC" w14:textId="77777777" w:rsidTr="005515F2">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437A73DD" w14:textId="77777777" w:rsidR="005515F2" w:rsidRPr="005149C4" w:rsidRDefault="005515F2" w:rsidP="005515F2">
            <w:pPr>
              <w:spacing w:before="0" w:after="0" w:line="240" w:lineRule="auto"/>
              <w:jc w:val="left"/>
              <w:rPr>
                <w:rFonts w:eastAsia="Times New Roman" w:cs="Calibri"/>
                <w:color w:val="FFFFFF"/>
                <w:sz w:val="20"/>
                <w:szCs w:val="20"/>
                <w:lang w:eastAsia="es-CR"/>
              </w:rPr>
            </w:pPr>
          </w:p>
        </w:tc>
        <w:tc>
          <w:tcPr>
            <w:tcW w:w="1137" w:type="dxa"/>
            <w:tcBorders>
              <w:top w:val="double" w:sz="6" w:space="0" w:color="1F4E78"/>
              <w:left w:val="nil"/>
              <w:bottom w:val="double" w:sz="6" w:space="0" w:color="1F4E78"/>
              <w:right w:val="double" w:sz="6" w:space="0" w:color="1F4E78"/>
            </w:tcBorders>
            <w:shd w:val="clear" w:color="000000" w:fill="365F91"/>
            <w:noWrap/>
            <w:vAlign w:val="center"/>
            <w:hideMark/>
          </w:tcPr>
          <w:p w14:paraId="4BBBC4BE" w14:textId="69D22143" w:rsidR="005515F2" w:rsidRPr="005149C4" w:rsidRDefault="005515F2" w:rsidP="005515F2">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w:t>
            </w:r>
            <w:r w:rsidR="00B51340" w:rsidRPr="005149C4">
              <w:rPr>
                <w:rFonts w:eastAsia="Times New Roman" w:cs="Calibri"/>
                <w:color w:val="FFFFFF"/>
                <w:sz w:val="20"/>
                <w:szCs w:val="20"/>
                <w:lang w:eastAsia="es-CR"/>
              </w:rPr>
              <w:t>1</w:t>
            </w:r>
          </w:p>
        </w:tc>
        <w:tc>
          <w:tcPr>
            <w:tcW w:w="1263" w:type="dxa"/>
            <w:tcBorders>
              <w:top w:val="double" w:sz="6" w:space="0" w:color="1F4E78"/>
              <w:left w:val="nil"/>
              <w:bottom w:val="double" w:sz="6" w:space="0" w:color="1F4E78"/>
              <w:right w:val="double" w:sz="6" w:space="0" w:color="1F4E78"/>
            </w:tcBorders>
            <w:shd w:val="clear" w:color="000000" w:fill="365F91"/>
            <w:noWrap/>
            <w:vAlign w:val="center"/>
            <w:hideMark/>
          </w:tcPr>
          <w:p w14:paraId="7D779698" w14:textId="355DD0C8" w:rsidR="005515F2" w:rsidRPr="005149C4" w:rsidRDefault="005515F2" w:rsidP="005515F2">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w:t>
            </w:r>
            <w:r w:rsidR="00B51340" w:rsidRPr="005149C4">
              <w:rPr>
                <w:rFonts w:eastAsia="Times New Roman" w:cs="Calibri"/>
                <w:color w:val="FFFFFF"/>
                <w:sz w:val="20"/>
                <w:szCs w:val="20"/>
                <w:lang w:eastAsia="es-CR"/>
              </w:rPr>
              <w:t>2</w:t>
            </w:r>
          </w:p>
        </w:tc>
      </w:tr>
      <w:tr w:rsidR="008F1F4E" w:rsidRPr="005149C4" w14:paraId="657047B7" w14:textId="77777777" w:rsidTr="00B51340">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7CE4766E"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tcPr>
          <w:p w14:paraId="63A05092" w14:textId="4D4AA22D"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54</w:t>
            </w:r>
          </w:p>
        </w:tc>
        <w:tc>
          <w:tcPr>
            <w:tcW w:w="1263" w:type="dxa"/>
            <w:tcBorders>
              <w:top w:val="nil"/>
              <w:left w:val="nil"/>
              <w:bottom w:val="double" w:sz="6" w:space="0" w:color="1F4E78"/>
              <w:right w:val="double" w:sz="6" w:space="0" w:color="1F4E78"/>
            </w:tcBorders>
            <w:shd w:val="clear" w:color="000000" w:fill="FFFFFF"/>
            <w:noWrap/>
          </w:tcPr>
          <w:p w14:paraId="183FDF90" w14:textId="03D82BE0"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52</w:t>
            </w:r>
          </w:p>
        </w:tc>
      </w:tr>
      <w:tr w:rsidR="008F1F4E" w:rsidRPr="005149C4" w14:paraId="3D96258F" w14:textId="77777777" w:rsidTr="00B51340">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F7C1E5C"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tcPr>
          <w:p w14:paraId="77A571F5" w14:textId="0CBD7AA7"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44</w:t>
            </w:r>
          </w:p>
        </w:tc>
        <w:tc>
          <w:tcPr>
            <w:tcW w:w="1263" w:type="dxa"/>
            <w:tcBorders>
              <w:top w:val="nil"/>
              <w:left w:val="nil"/>
              <w:bottom w:val="double" w:sz="6" w:space="0" w:color="1F4E78"/>
              <w:right w:val="double" w:sz="6" w:space="0" w:color="1F4E78"/>
            </w:tcBorders>
            <w:shd w:val="clear" w:color="000000" w:fill="FFFFFF"/>
            <w:noWrap/>
          </w:tcPr>
          <w:p w14:paraId="2111A93C" w14:textId="7B761665"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31</w:t>
            </w:r>
          </w:p>
        </w:tc>
      </w:tr>
      <w:tr w:rsidR="008F1F4E" w:rsidRPr="005149C4" w14:paraId="0EBE4720" w14:textId="77777777" w:rsidTr="00B51340">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42BB2B8"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tcPr>
          <w:p w14:paraId="5B741987" w14:textId="27DEF4BC"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34</w:t>
            </w:r>
          </w:p>
        </w:tc>
        <w:tc>
          <w:tcPr>
            <w:tcW w:w="1263" w:type="dxa"/>
            <w:tcBorders>
              <w:top w:val="nil"/>
              <w:left w:val="nil"/>
              <w:bottom w:val="double" w:sz="6" w:space="0" w:color="1F4E78"/>
              <w:right w:val="double" w:sz="6" w:space="0" w:color="1F4E78"/>
            </w:tcBorders>
            <w:shd w:val="clear" w:color="000000" w:fill="FFFFFF"/>
            <w:noWrap/>
          </w:tcPr>
          <w:p w14:paraId="10044456" w14:textId="7EB68FF1"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42</w:t>
            </w:r>
          </w:p>
        </w:tc>
      </w:tr>
      <w:tr w:rsidR="008F1F4E" w:rsidRPr="005149C4" w14:paraId="6E96F534" w14:textId="77777777" w:rsidTr="00B51340">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4BB4CB9"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tcPr>
          <w:p w14:paraId="107B3498" w14:textId="3CBD1566"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w:t>
            </w:r>
          </w:p>
        </w:tc>
        <w:tc>
          <w:tcPr>
            <w:tcW w:w="1263" w:type="dxa"/>
            <w:tcBorders>
              <w:top w:val="nil"/>
              <w:left w:val="nil"/>
              <w:bottom w:val="double" w:sz="6" w:space="0" w:color="1F4E78"/>
              <w:right w:val="double" w:sz="6" w:space="0" w:color="1F4E78"/>
            </w:tcBorders>
            <w:shd w:val="clear" w:color="000000" w:fill="FFFFFF"/>
            <w:noWrap/>
          </w:tcPr>
          <w:p w14:paraId="619D6776" w14:textId="15B4B681"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17</w:t>
            </w:r>
          </w:p>
        </w:tc>
      </w:tr>
      <w:tr w:rsidR="008F1F4E" w:rsidRPr="005149C4" w14:paraId="4FDCBFA1" w14:textId="77777777" w:rsidTr="00B51340">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3049B5D7"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tcPr>
          <w:p w14:paraId="16D1CCF4" w14:textId="50CA2DD5"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w:t>
            </w:r>
          </w:p>
        </w:tc>
        <w:tc>
          <w:tcPr>
            <w:tcW w:w="1263" w:type="dxa"/>
            <w:tcBorders>
              <w:top w:val="nil"/>
              <w:left w:val="nil"/>
              <w:bottom w:val="double" w:sz="6" w:space="0" w:color="1F4E78"/>
              <w:right w:val="double" w:sz="6" w:space="0" w:color="1F4E78"/>
            </w:tcBorders>
            <w:shd w:val="clear" w:color="000000" w:fill="FFFFFF"/>
            <w:noWrap/>
          </w:tcPr>
          <w:p w14:paraId="09B069F0" w14:textId="64453F3F"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17</w:t>
            </w:r>
          </w:p>
        </w:tc>
      </w:tr>
      <w:tr w:rsidR="008F1F4E" w:rsidRPr="005149C4" w14:paraId="5AF33585" w14:textId="77777777" w:rsidTr="00B51340">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2B05A1B"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tcPr>
          <w:p w14:paraId="227D96C0" w14:textId="20019D7F"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36</w:t>
            </w:r>
          </w:p>
        </w:tc>
        <w:tc>
          <w:tcPr>
            <w:tcW w:w="1263" w:type="dxa"/>
            <w:tcBorders>
              <w:top w:val="nil"/>
              <w:left w:val="nil"/>
              <w:bottom w:val="double" w:sz="6" w:space="0" w:color="1F4E78"/>
              <w:right w:val="double" w:sz="6" w:space="0" w:color="1F4E78"/>
            </w:tcBorders>
            <w:shd w:val="clear" w:color="000000" w:fill="FFFFFF"/>
            <w:noWrap/>
          </w:tcPr>
          <w:p w14:paraId="470D0E87" w14:textId="2551D664"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31</w:t>
            </w:r>
          </w:p>
        </w:tc>
      </w:tr>
      <w:tr w:rsidR="008F1F4E" w:rsidRPr="005149C4" w14:paraId="6192B59A" w14:textId="77777777" w:rsidTr="00B51340">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F591F69"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tcPr>
          <w:p w14:paraId="5916CECB" w14:textId="777B0F91"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36</w:t>
            </w:r>
          </w:p>
        </w:tc>
        <w:tc>
          <w:tcPr>
            <w:tcW w:w="1263" w:type="dxa"/>
            <w:tcBorders>
              <w:top w:val="nil"/>
              <w:left w:val="nil"/>
              <w:bottom w:val="double" w:sz="6" w:space="0" w:color="1F4E78"/>
              <w:right w:val="double" w:sz="6" w:space="0" w:color="1F4E78"/>
            </w:tcBorders>
            <w:shd w:val="clear" w:color="000000" w:fill="FFFFFF"/>
            <w:noWrap/>
          </w:tcPr>
          <w:p w14:paraId="5B081ECE" w14:textId="508D3639"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w:t>
            </w:r>
          </w:p>
        </w:tc>
      </w:tr>
      <w:tr w:rsidR="008F1F4E" w:rsidRPr="005149C4" w14:paraId="1740E3DA" w14:textId="77777777" w:rsidTr="00B51340">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44DBCF2"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tcPr>
          <w:p w14:paraId="45566E40" w14:textId="69CCD766"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c>
          <w:tcPr>
            <w:tcW w:w="1263" w:type="dxa"/>
            <w:tcBorders>
              <w:top w:val="nil"/>
              <w:left w:val="nil"/>
              <w:bottom w:val="double" w:sz="6" w:space="0" w:color="1F4E78"/>
              <w:right w:val="double" w:sz="6" w:space="0" w:color="1F4E78"/>
            </w:tcBorders>
            <w:shd w:val="clear" w:color="000000" w:fill="FFFFFF"/>
            <w:noWrap/>
          </w:tcPr>
          <w:p w14:paraId="1FD05B07" w14:textId="596D500F" w:rsidR="008F1F4E" w:rsidRPr="005149C4" w:rsidRDefault="00B51340"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w:t>
            </w:r>
          </w:p>
        </w:tc>
      </w:tr>
      <w:tr w:rsidR="008F1F4E" w:rsidRPr="005149C4" w14:paraId="3D52355C" w14:textId="77777777" w:rsidTr="00B51340">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2F71E089"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tcPr>
          <w:p w14:paraId="3EBFC668" w14:textId="0BEFE17A" w:rsidR="008F1F4E" w:rsidRPr="005149C4" w:rsidRDefault="00F15F9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w:t>
            </w:r>
          </w:p>
        </w:tc>
        <w:tc>
          <w:tcPr>
            <w:tcW w:w="1263" w:type="dxa"/>
            <w:tcBorders>
              <w:top w:val="nil"/>
              <w:left w:val="nil"/>
              <w:bottom w:val="double" w:sz="6" w:space="0" w:color="1F4E78"/>
              <w:right w:val="double" w:sz="6" w:space="0" w:color="1F4E78"/>
            </w:tcBorders>
            <w:shd w:val="clear" w:color="000000" w:fill="FFFFFF"/>
            <w:noWrap/>
          </w:tcPr>
          <w:p w14:paraId="5E2B4711" w14:textId="0CA9BCB2" w:rsidR="008F1F4E" w:rsidRPr="005149C4" w:rsidRDefault="00F15F9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w:t>
            </w:r>
          </w:p>
        </w:tc>
      </w:tr>
      <w:tr w:rsidR="008F1F4E" w:rsidRPr="005149C4" w14:paraId="4517BA5D" w14:textId="77777777" w:rsidTr="00B51340">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15D5F0A1"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tcPr>
          <w:p w14:paraId="4B7CFAAC" w14:textId="5706C35C" w:rsidR="008F1F4E" w:rsidRPr="005149C4" w:rsidRDefault="00F15F9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37</w:t>
            </w:r>
          </w:p>
        </w:tc>
        <w:tc>
          <w:tcPr>
            <w:tcW w:w="1263" w:type="dxa"/>
            <w:tcBorders>
              <w:top w:val="nil"/>
              <w:left w:val="nil"/>
              <w:bottom w:val="double" w:sz="6" w:space="0" w:color="1F4E78"/>
              <w:right w:val="double" w:sz="6" w:space="0" w:color="1F4E78"/>
            </w:tcBorders>
            <w:shd w:val="clear" w:color="000000" w:fill="FFFFFF"/>
            <w:noWrap/>
          </w:tcPr>
          <w:p w14:paraId="14A97C71" w14:textId="386A006F" w:rsidR="008F1F4E" w:rsidRPr="005149C4" w:rsidRDefault="00F15F9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35</w:t>
            </w:r>
          </w:p>
        </w:tc>
      </w:tr>
      <w:tr w:rsidR="008F1F4E" w:rsidRPr="005149C4" w14:paraId="6387085D" w14:textId="77777777" w:rsidTr="00B51340">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A556E48" w14:textId="77777777" w:rsidR="008F1F4E" w:rsidRPr="005149C4" w:rsidRDefault="008F1F4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Promedio</w:t>
            </w:r>
          </w:p>
        </w:tc>
        <w:tc>
          <w:tcPr>
            <w:tcW w:w="1137" w:type="dxa"/>
            <w:tcBorders>
              <w:top w:val="nil"/>
              <w:left w:val="nil"/>
              <w:bottom w:val="double" w:sz="6" w:space="0" w:color="1F4E78"/>
              <w:right w:val="double" w:sz="6" w:space="0" w:color="1F4E78"/>
            </w:tcBorders>
            <w:shd w:val="clear" w:color="000000" w:fill="BFBFBF"/>
            <w:noWrap/>
            <w:vAlign w:val="center"/>
          </w:tcPr>
          <w:p w14:paraId="7A749A97" w14:textId="60BEDC33" w:rsidR="008F1F4E" w:rsidRPr="005149C4" w:rsidRDefault="00F15F9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29</w:t>
            </w:r>
          </w:p>
        </w:tc>
        <w:tc>
          <w:tcPr>
            <w:tcW w:w="1263" w:type="dxa"/>
            <w:tcBorders>
              <w:top w:val="nil"/>
              <w:left w:val="nil"/>
              <w:bottom w:val="double" w:sz="6" w:space="0" w:color="1F4E78"/>
              <w:right w:val="double" w:sz="6" w:space="0" w:color="1F4E78"/>
            </w:tcBorders>
            <w:shd w:val="clear" w:color="000000" w:fill="BFBFBF"/>
            <w:noWrap/>
          </w:tcPr>
          <w:p w14:paraId="665B9C46" w14:textId="7E7ECA34" w:rsidR="008F1F4E" w:rsidRPr="005149C4" w:rsidRDefault="00F15F9E" w:rsidP="008F1F4E">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r>
    </w:tbl>
    <w:p w14:paraId="422D19AB" w14:textId="5D4F6553" w:rsidR="008F23F1" w:rsidRPr="005149C4" w:rsidRDefault="008F23F1" w:rsidP="00F30AAC">
      <w:pPr>
        <w:ind w:left="1418" w:right="1325"/>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w:t>
      </w:r>
      <w:r w:rsidR="00CE7A6D" w:rsidRPr="005149C4">
        <w:rPr>
          <w:rFonts w:cs="Calibri"/>
          <w:bCs/>
          <w:color w:val="000000"/>
          <w:sz w:val="20"/>
          <w:szCs w:val="20"/>
          <w:lang w:eastAsia="es-CR"/>
        </w:rPr>
        <w:t>extraída de SIGMA.</w:t>
      </w:r>
    </w:p>
    <w:p w14:paraId="6B5009F5" w14:textId="259AA8F6" w:rsidR="008F3B8B" w:rsidRPr="005149C4" w:rsidRDefault="008F3B8B" w:rsidP="008F3B8B">
      <w:pPr>
        <w:tabs>
          <w:tab w:val="left" w:pos="0"/>
        </w:tabs>
      </w:pPr>
      <w:bookmarkStart w:id="19" w:name="_Ref32821727"/>
      <w:r w:rsidRPr="005149C4">
        <w:t>Con base en la información anterior, para el año 20</w:t>
      </w:r>
      <w:r w:rsidR="008D4D96" w:rsidRPr="005149C4">
        <w:t>2</w:t>
      </w:r>
      <w:r w:rsidR="00F15F9E" w:rsidRPr="005149C4">
        <w:t>1</w:t>
      </w:r>
      <w:r w:rsidRPr="005149C4">
        <w:t xml:space="preserve"> se reporta la mayor cantidad de causas terminadas en el </w:t>
      </w:r>
      <w:r w:rsidR="00F15F9E" w:rsidRPr="005149C4">
        <w:t xml:space="preserve">Segundo y Tercer </w:t>
      </w:r>
      <w:r w:rsidRPr="005149C4">
        <w:t xml:space="preserve">Circuito Judicial de </w:t>
      </w:r>
      <w:r w:rsidR="00F15F9E" w:rsidRPr="005149C4">
        <w:t>San José</w:t>
      </w:r>
      <w:r w:rsidRPr="005149C4">
        <w:t xml:space="preserve"> con </w:t>
      </w:r>
      <w:r w:rsidR="00F15F9E" w:rsidRPr="005149C4">
        <w:t>54 y 44</w:t>
      </w:r>
      <w:r w:rsidRPr="005149C4">
        <w:t xml:space="preserve"> casos en promedio</w:t>
      </w:r>
      <w:r w:rsidR="00644991" w:rsidRPr="005149C4">
        <w:t xml:space="preserve"> por mes</w:t>
      </w:r>
      <w:r w:rsidRPr="005149C4">
        <w:t>,</w:t>
      </w:r>
      <w:r w:rsidR="00F15F9E" w:rsidRPr="005149C4">
        <w:t xml:space="preserve"> respectivamente, mientras</w:t>
      </w:r>
      <w:r w:rsidR="007227FD" w:rsidRPr="005149C4">
        <w:t xml:space="preserve"> que en </w:t>
      </w:r>
      <w:r w:rsidR="00F15F9E" w:rsidRPr="005149C4">
        <w:t>tercer</w:t>
      </w:r>
      <w:r w:rsidR="007227FD" w:rsidRPr="005149C4">
        <w:t xml:space="preserve"> lugar se ubica el Segundo Circuito Judicial de </w:t>
      </w:r>
      <w:r w:rsidR="00F15F9E" w:rsidRPr="005149C4">
        <w:t>la Zona Atlántica</w:t>
      </w:r>
      <w:r w:rsidR="007227FD" w:rsidRPr="005149C4">
        <w:t xml:space="preserve"> con 3</w:t>
      </w:r>
      <w:r w:rsidR="00F15F9E" w:rsidRPr="005149C4">
        <w:t>7</w:t>
      </w:r>
      <w:r w:rsidR="007227FD" w:rsidRPr="005149C4">
        <w:t xml:space="preserve"> casos.</w:t>
      </w:r>
      <w:r w:rsidR="00EE4D72" w:rsidRPr="005149C4">
        <w:t xml:space="preserve"> </w:t>
      </w:r>
    </w:p>
    <w:p w14:paraId="6A438C2C" w14:textId="59BF32AA" w:rsidR="008F3B8B" w:rsidRPr="005149C4" w:rsidRDefault="008F3B8B" w:rsidP="008F3B8B">
      <w:pPr>
        <w:tabs>
          <w:tab w:val="left" w:pos="0"/>
        </w:tabs>
      </w:pPr>
      <w:r w:rsidRPr="005149C4">
        <w:t>Para el</w:t>
      </w:r>
      <w:r w:rsidR="007227FD" w:rsidRPr="005149C4" w:rsidDel="00FD4B19">
        <w:t xml:space="preserve"> </w:t>
      </w:r>
      <w:r w:rsidRPr="005149C4">
        <w:t>20</w:t>
      </w:r>
      <w:r w:rsidR="00A42271" w:rsidRPr="005149C4">
        <w:t>2</w:t>
      </w:r>
      <w:r w:rsidR="00F15F9E" w:rsidRPr="005149C4">
        <w:t>2</w:t>
      </w:r>
      <w:r w:rsidRPr="005149C4">
        <w:t xml:space="preserve"> se registra</w:t>
      </w:r>
      <w:r w:rsidR="00A42271" w:rsidRPr="005149C4">
        <w:t xml:space="preserve"> la mayor cantidad de terminados</w:t>
      </w:r>
      <w:r w:rsidRPr="005149C4">
        <w:t xml:space="preserve"> en el </w:t>
      </w:r>
      <w:r w:rsidR="00337EE1" w:rsidRPr="005149C4">
        <w:t>II Circuito Judicial de San José</w:t>
      </w:r>
      <w:r w:rsidRPr="005149C4">
        <w:t xml:space="preserve"> (</w:t>
      </w:r>
      <w:r w:rsidR="00F15F9E" w:rsidRPr="005149C4">
        <w:t>52</w:t>
      </w:r>
      <w:r w:rsidRPr="005149C4">
        <w:t xml:space="preserve"> casos)</w:t>
      </w:r>
      <w:r w:rsidR="005C2764" w:rsidRPr="005149C4">
        <w:t>. E</w:t>
      </w:r>
      <w:r w:rsidR="00534EB3" w:rsidRPr="005149C4">
        <w:t>l</w:t>
      </w:r>
      <w:r w:rsidR="005C2764" w:rsidRPr="005149C4">
        <w:t xml:space="preserve"> segundo lugar corresponde a</w:t>
      </w:r>
      <w:r w:rsidR="00ED5822" w:rsidRPr="005149C4">
        <w:t xml:space="preserve">l Circuito Judicial de </w:t>
      </w:r>
      <w:r w:rsidR="00F15F9E" w:rsidRPr="005149C4">
        <w:t>Cartago,</w:t>
      </w:r>
      <w:r w:rsidR="00ED5822" w:rsidRPr="005149C4">
        <w:t xml:space="preserve"> con </w:t>
      </w:r>
      <w:r w:rsidR="00391928" w:rsidRPr="005149C4">
        <w:t>4</w:t>
      </w:r>
      <w:r w:rsidR="00F15F9E" w:rsidRPr="005149C4">
        <w:t>2</w:t>
      </w:r>
      <w:r w:rsidR="00ED5822" w:rsidRPr="005149C4">
        <w:t xml:space="preserve"> </w:t>
      </w:r>
      <w:r w:rsidR="00267800" w:rsidRPr="005149C4">
        <w:t>asuntos terminados en promedio por mes.</w:t>
      </w:r>
      <w:r w:rsidR="005C2764" w:rsidRPr="005149C4">
        <w:t xml:space="preserve">  </w:t>
      </w:r>
    </w:p>
    <w:p w14:paraId="377428F1" w14:textId="22BA4388" w:rsidR="009902C3" w:rsidRPr="005149C4" w:rsidRDefault="008F3B8B" w:rsidP="008F3B8B">
      <w:pPr>
        <w:tabs>
          <w:tab w:val="left" w:pos="0"/>
        </w:tabs>
      </w:pPr>
      <w:r w:rsidRPr="005149C4">
        <w:t xml:space="preserve">En resumen, se cuenta con un promedio general de </w:t>
      </w:r>
      <w:r w:rsidR="0071413D" w:rsidRPr="005149C4">
        <w:t>29</w:t>
      </w:r>
      <w:r w:rsidRPr="005149C4">
        <w:t xml:space="preserve"> causas finalizadas por mes para el año 20</w:t>
      </w:r>
      <w:r w:rsidR="0071413D" w:rsidRPr="005149C4">
        <w:t>2</w:t>
      </w:r>
      <w:r w:rsidR="00F15F9E" w:rsidRPr="005149C4">
        <w:t>1</w:t>
      </w:r>
      <w:r w:rsidRPr="005149C4">
        <w:t xml:space="preserve">, mientras que el promedio general para </w:t>
      </w:r>
      <w:r w:rsidR="00F15F9E" w:rsidRPr="005149C4">
        <w:t>año</w:t>
      </w:r>
      <w:r w:rsidRPr="005149C4">
        <w:t xml:space="preserve"> 20</w:t>
      </w:r>
      <w:r w:rsidR="00A42271" w:rsidRPr="005149C4">
        <w:t>2</w:t>
      </w:r>
      <w:r w:rsidR="004342B0" w:rsidRPr="005149C4">
        <w:t>2</w:t>
      </w:r>
      <w:r w:rsidR="0071413D" w:rsidRPr="005149C4">
        <w:t xml:space="preserve"> </w:t>
      </w:r>
      <w:r w:rsidRPr="005149C4">
        <w:t xml:space="preserve">corresponde a </w:t>
      </w:r>
      <w:r w:rsidR="00F15F9E" w:rsidRPr="005149C4">
        <w:t xml:space="preserve">30 </w:t>
      </w:r>
      <w:r w:rsidRPr="005149C4">
        <w:t>asuntos por mes</w:t>
      </w:r>
      <w:r w:rsidR="00F15F9E" w:rsidRPr="005149C4">
        <w:t>.</w:t>
      </w:r>
      <w:r w:rsidR="008D0BA9" w:rsidRPr="005149C4">
        <w:t xml:space="preserve"> </w:t>
      </w:r>
    </w:p>
    <w:p w14:paraId="13730222" w14:textId="351586EF" w:rsidR="008D0BA9" w:rsidRPr="005149C4" w:rsidRDefault="00F92CBC" w:rsidP="008F3B8B">
      <w:pPr>
        <w:tabs>
          <w:tab w:val="left" w:pos="0"/>
        </w:tabs>
      </w:pPr>
      <w:r w:rsidRPr="005149C4">
        <w:t>Adicionalmente, se debe</w:t>
      </w:r>
      <w:r w:rsidR="008F3B8B" w:rsidRPr="005149C4">
        <w:t xml:space="preserve"> analizar la cantidad de asuntos terminados por motivo de devolución, por lo que en las secciones siguientes se analizará la composición de los </w:t>
      </w:r>
      <w:r w:rsidR="00F32A7A" w:rsidRPr="005149C4">
        <w:t xml:space="preserve">asuntos </w:t>
      </w:r>
      <w:r w:rsidR="008F3B8B" w:rsidRPr="005149C4">
        <w:t>terminados</w:t>
      </w:r>
      <w:r w:rsidR="008D0BA9" w:rsidRPr="005149C4">
        <w:t>.</w:t>
      </w:r>
    </w:p>
    <w:p w14:paraId="1869C6AB" w14:textId="2FAD6BE1" w:rsidR="008F3B8B" w:rsidRPr="005149C4" w:rsidRDefault="008D0BA9" w:rsidP="006E06EB">
      <w:pPr>
        <w:pStyle w:val="Ttulo4"/>
        <w:numPr>
          <w:ilvl w:val="1"/>
          <w:numId w:val="11"/>
        </w:numPr>
        <w:rPr>
          <w:lang w:val="es-CR"/>
        </w:rPr>
      </w:pPr>
      <w:r w:rsidRPr="005149C4">
        <w:t>Motivo de Término de las causas de Justicia Restaurativa Penal de Adultos</w:t>
      </w:r>
    </w:p>
    <w:p w14:paraId="0E14C84A" w14:textId="6974F90D" w:rsidR="00A3043F" w:rsidRPr="005149C4" w:rsidRDefault="008D0BA9" w:rsidP="008D0BA9">
      <w:pPr>
        <w:tabs>
          <w:tab w:val="left" w:pos="0"/>
        </w:tabs>
      </w:pPr>
      <w:r w:rsidRPr="005149C4">
        <w:t>En el</w:t>
      </w:r>
      <w:r w:rsidR="009E67A6" w:rsidRPr="005149C4">
        <w:t xml:space="preserve"> </w:t>
      </w:r>
      <w:r w:rsidR="009E67A6" w:rsidRPr="005149C4">
        <w:fldChar w:fldCharType="begin"/>
      </w:r>
      <w:r w:rsidR="009E67A6" w:rsidRPr="005149C4">
        <w:instrText xml:space="preserve"> REF _Ref63966934 \h  \* MERGEFORMAT </w:instrText>
      </w:r>
      <w:r w:rsidR="009E67A6" w:rsidRPr="005149C4">
        <w:fldChar w:fldCharType="separate"/>
      </w:r>
      <w:r w:rsidR="00EC44E6" w:rsidRPr="005149C4">
        <w:t>Cuadro 8</w:t>
      </w:r>
      <w:r w:rsidR="009E67A6" w:rsidRPr="005149C4">
        <w:fldChar w:fldCharType="end"/>
      </w:r>
      <w:r w:rsidRPr="005149C4">
        <w:t>, se presenta el detalle de los motivos de término de las causas ingresadas en Justicia Restaurativa Penal de Adultos para el periodo 20</w:t>
      </w:r>
      <w:r w:rsidR="00A3043F" w:rsidRPr="005149C4">
        <w:t>2</w:t>
      </w:r>
      <w:r w:rsidR="00DD4EDA" w:rsidRPr="005149C4">
        <w:t>1</w:t>
      </w:r>
      <w:r w:rsidR="00A3043F" w:rsidRPr="005149C4">
        <w:t xml:space="preserve"> </w:t>
      </w:r>
      <w:r w:rsidRPr="005149C4">
        <w:t>-</w:t>
      </w:r>
      <w:r w:rsidR="00A3043F" w:rsidRPr="005149C4">
        <w:t xml:space="preserve"> </w:t>
      </w:r>
      <w:r w:rsidRPr="005149C4">
        <w:t>202</w:t>
      </w:r>
      <w:r w:rsidR="00DD4EDA" w:rsidRPr="005149C4">
        <w:t>2</w:t>
      </w:r>
      <w:r w:rsidRPr="005149C4">
        <w:t>:</w:t>
      </w:r>
    </w:p>
    <w:p w14:paraId="573E9ACC" w14:textId="7E80DF0B" w:rsidR="008F23F1" w:rsidRPr="005149C4" w:rsidRDefault="008F23F1" w:rsidP="008D0BA9">
      <w:pPr>
        <w:spacing w:line="240" w:lineRule="auto"/>
        <w:ind w:left="426" w:right="616"/>
        <w:jc w:val="center"/>
        <w:rPr>
          <w:b/>
          <w:bCs/>
          <w:sz w:val="20"/>
          <w:szCs w:val="20"/>
        </w:rPr>
      </w:pPr>
      <w:bookmarkStart w:id="20" w:name="_Ref63966934"/>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8</w:t>
      </w:r>
      <w:r w:rsidRPr="005149C4">
        <w:rPr>
          <w:b/>
          <w:bCs/>
          <w:sz w:val="20"/>
          <w:szCs w:val="20"/>
        </w:rPr>
        <w:fldChar w:fldCharType="end"/>
      </w:r>
      <w:bookmarkEnd w:id="19"/>
      <w:bookmarkEnd w:id="20"/>
      <w:r w:rsidRPr="005149C4">
        <w:rPr>
          <w:b/>
          <w:bCs/>
          <w:sz w:val="20"/>
          <w:szCs w:val="20"/>
        </w:rPr>
        <w:t>. Motivo de termino de las causas ingresadas a Justicia Restaurativa Penal de Adultos, periodo 20</w:t>
      </w:r>
      <w:r w:rsidR="00A3043F" w:rsidRPr="005149C4">
        <w:rPr>
          <w:b/>
          <w:bCs/>
          <w:sz w:val="20"/>
          <w:szCs w:val="20"/>
        </w:rPr>
        <w:t>2</w:t>
      </w:r>
      <w:r w:rsidR="00235537" w:rsidRPr="005149C4">
        <w:rPr>
          <w:b/>
          <w:bCs/>
          <w:sz w:val="20"/>
          <w:szCs w:val="20"/>
        </w:rPr>
        <w:t>1</w:t>
      </w:r>
      <w:r w:rsidRPr="005149C4">
        <w:rPr>
          <w:b/>
          <w:bCs/>
          <w:sz w:val="20"/>
          <w:szCs w:val="20"/>
        </w:rPr>
        <w:t>-202</w:t>
      </w:r>
      <w:r w:rsidR="00235537" w:rsidRPr="005149C4">
        <w:rPr>
          <w:b/>
          <w:bCs/>
          <w:sz w:val="20"/>
          <w:szCs w:val="20"/>
        </w:rPr>
        <w:t>2</w:t>
      </w:r>
    </w:p>
    <w:tbl>
      <w:tblPr>
        <w:tblW w:w="7575" w:type="dxa"/>
        <w:jc w:val="center"/>
        <w:tblCellMar>
          <w:left w:w="70" w:type="dxa"/>
          <w:right w:w="70" w:type="dxa"/>
        </w:tblCellMar>
        <w:tblLook w:val="04A0" w:firstRow="1" w:lastRow="0" w:firstColumn="1" w:lastColumn="0" w:noHBand="0" w:noVBand="1"/>
      </w:tblPr>
      <w:tblGrid>
        <w:gridCol w:w="3181"/>
        <w:gridCol w:w="992"/>
        <w:gridCol w:w="1134"/>
        <w:gridCol w:w="1134"/>
        <w:gridCol w:w="1134"/>
      </w:tblGrid>
      <w:tr w:rsidR="00291B1F" w:rsidRPr="005149C4" w14:paraId="59A6BB71" w14:textId="214A1BC9" w:rsidTr="00291B1F">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7AC8817" w14:textId="77777777" w:rsidR="00291B1F" w:rsidRPr="005149C4" w:rsidRDefault="00291B1F" w:rsidP="001E66DC">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Motivo de termino</w:t>
            </w:r>
          </w:p>
        </w:tc>
        <w:tc>
          <w:tcPr>
            <w:tcW w:w="992" w:type="dxa"/>
            <w:tcBorders>
              <w:top w:val="double" w:sz="6" w:space="0" w:color="203764"/>
              <w:left w:val="nil"/>
              <w:bottom w:val="double" w:sz="6" w:space="0" w:color="203764"/>
              <w:right w:val="double" w:sz="6" w:space="0" w:color="203764"/>
            </w:tcBorders>
            <w:shd w:val="clear" w:color="000000" w:fill="365F91"/>
            <w:noWrap/>
            <w:vAlign w:val="center"/>
            <w:hideMark/>
          </w:tcPr>
          <w:p w14:paraId="75009492" w14:textId="30F993EC" w:rsidR="00291B1F" w:rsidRPr="005149C4" w:rsidRDefault="00291B1F" w:rsidP="001E66DC">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2021</w:t>
            </w:r>
          </w:p>
        </w:tc>
        <w:tc>
          <w:tcPr>
            <w:tcW w:w="1134" w:type="dxa"/>
            <w:tcBorders>
              <w:top w:val="double" w:sz="6" w:space="0" w:color="203764"/>
              <w:left w:val="nil"/>
              <w:bottom w:val="double" w:sz="6" w:space="0" w:color="203764"/>
              <w:right w:val="double" w:sz="6" w:space="0" w:color="203764"/>
            </w:tcBorders>
            <w:shd w:val="clear" w:color="000000" w:fill="365F91"/>
            <w:noWrap/>
            <w:vAlign w:val="center"/>
            <w:hideMark/>
          </w:tcPr>
          <w:p w14:paraId="32509D13" w14:textId="77777777" w:rsidR="00291B1F" w:rsidRPr="005149C4" w:rsidRDefault="00291B1F" w:rsidP="001E66DC">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Porcentaje</w:t>
            </w:r>
          </w:p>
        </w:tc>
        <w:tc>
          <w:tcPr>
            <w:tcW w:w="1134" w:type="dxa"/>
            <w:tcBorders>
              <w:top w:val="double" w:sz="6" w:space="0" w:color="203764"/>
              <w:left w:val="nil"/>
              <w:bottom w:val="double" w:sz="6" w:space="0" w:color="203764"/>
              <w:right w:val="double" w:sz="6" w:space="0" w:color="203764"/>
            </w:tcBorders>
            <w:shd w:val="clear" w:color="000000" w:fill="365F91"/>
          </w:tcPr>
          <w:p w14:paraId="191FFF6E" w14:textId="53FCBCFB" w:rsidR="00291B1F" w:rsidRPr="005149C4" w:rsidRDefault="00291B1F" w:rsidP="001E66DC">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2022</w:t>
            </w:r>
          </w:p>
        </w:tc>
        <w:tc>
          <w:tcPr>
            <w:tcW w:w="1134" w:type="dxa"/>
            <w:tcBorders>
              <w:top w:val="double" w:sz="6" w:space="0" w:color="203764"/>
              <w:left w:val="nil"/>
              <w:bottom w:val="double" w:sz="6" w:space="0" w:color="203764"/>
              <w:right w:val="double" w:sz="6" w:space="0" w:color="203764"/>
            </w:tcBorders>
            <w:shd w:val="clear" w:color="000000" w:fill="365F91"/>
          </w:tcPr>
          <w:p w14:paraId="3318B953" w14:textId="48B572EB" w:rsidR="00291B1F" w:rsidRPr="005149C4" w:rsidRDefault="00291B1F" w:rsidP="001E66DC">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Porcentaje</w:t>
            </w:r>
          </w:p>
        </w:tc>
      </w:tr>
      <w:tr w:rsidR="00724CEB" w:rsidRPr="005149C4" w14:paraId="1A991C78" w14:textId="568A6DAF" w:rsidTr="00404E0C">
        <w:trPr>
          <w:trHeight w:val="239"/>
          <w:jc w:val="center"/>
        </w:trPr>
        <w:tc>
          <w:tcPr>
            <w:tcW w:w="3181" w:type="dxa"/>
            <w:tcBorders>
              <w:top w:val="nil"/>
              <w:left w:val="double" w:sz="6" w:space="0" w:color="203764"/>
              <w:bottom w:val="nil"/>
              <w:right w:val="double" w:sz="6" w:space="0" w:color="203764"/>
            </w:tcBorders>
            <w:shd w:val="clear" w:color="000000" w:fill="D9E1F2"/>
            <w:noWrap/>
            <w:vAlign w:val="center"/>
            <w:hideMark/>
          </w:tcPr>
          <w:p w14:paraId="6C71BA36"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Acumulación</w:t>
            </w:r>
          </w:p>
        </w:tc>
        <w:tc>
          <w:tcPr>
            <w:tcW w:w="992" w:type="dxa"/>
            <w:tcBorders>
              <w:top w:val="nil"/>
              <w:left w:val="nil"/>
              <w:bottom w:val="nil"/>
              <w:right w:val="nil"/>
            </w:tcBorders>
            <w:shd w:val="clear" w:color="auto" w:fill="auto"/>
            <w:noWrap/>
            <w:vAlign w:val="center"/>
            <w:hideMark/>
          </w:tcPr>
          <w:p w14:paraId="6E550D75" w14:textId="183D819E"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12</w:t>
            </w:r>
          </w:p>
        </w:tc>
        <w:tc>
          <w:tcPr>
            <w:tcW w:w="1134" w:type="dxa"/>
            <w:tcBorders>
              <w:top w:val="nil"/>
              <w:left w:val="double" w:sz="6" w:space="0" w:color="203764"/>
              <w:bottom w:val="nil"/>
              <w:right w:val="double" w:sz="6" w:space="0" w:color="203764"/>
            </w:tcBorders>
            <w:shd w:val="clear" w:color="auto" w:fill="auto"/>
            <w:noWrap/>
            <w:vAlign w:val="center"/>
            <w:hideMark/>
          </w:tcPr>
          <w:p w14:paraId="4FF2399D" w14:textId="773A7B45"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0,4%</w:t>
            </w:r>
          </w:p>
        </w:tc>
        <w:tc>
          <w:tcPr>
            <w:tcW w:w="1134" w:type="dxa"/>
            <w:tcBorders>
              <w:top w:val="nil"/>
              <w:left w:val="double" w:sz="6" w:space="0" w:color="203764"/>
              <w:bottom w:val="nil"/>
              <w:right w:val="double" w:sz="6" w:space="0" w:color="203764"/>
            </w:tcBorders>
            <w:vAlign w:val="center"/>
          </w:tcPr>
          <w:p w14:paraId="67BFDA11" w14:textId="1069D7FD"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11</w:t>
            </w:r>
          </w:p>
        </w:tc>
        <w:tc>
          <w:tcPr>
            <w:tcW w:w="1134" w:type="dxa"/>
            <w:tcBorders>
              <w:top w:val="nil"/>
              <w:left w:val="double" w:sz="6" w:space="0" w:color="203764"/>
              <w:bottom w:val="nil"/>
              <w:right w:val="double" w:sz="6" w:space="0" w:color="203764"/>
            </w:tcBorders>
            <w:vAlign w:val="center"/>
          </w:tcPr>
          <w:p w14:paraId="179EA5D3" w14:textId="622F2444"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0,3%</w:t>
            </w:r>
          </w:p>
        </w:tc>
      </w:tr>
      <w:tr w:rsidR="00724CEB" w:rsidRPr="005149C4" w14:paraId="36018728" w14:textId="3C4C3B90" w:rsidTr="00404E0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EE5F8AA"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Suspensión proceso a prueba</w:t>
            </w:r>
          </w:p>
        </w:tc>
        <w:tc>
          <w:tcPr>
            <w:tcW w:w="992" w:type="dxa"/>
            <w:tcBorders>
              <w:top w:val="double" w:sz="6" w:space="0" w:color="203764"/>
              <w:left w:val="nil"/>
              <w:bottom w:val="double" w:sz="6" w:space="0" w:color="203764"/>
              <w:right w:val="double" w:sz="6" w:space="0" w:color="203764"/>
            </w:tcBorders>
            <w:shd w:val="clear" w:color="auto" w:fill="auto"/>
            <w:noWrap/>
            <w:vAlign w:val="center"/>
            <w:hideMark/>
          </w:tcPr>
          <w:p w14:paraId="565A88EA" w14:textId="140605FC"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192</w:t>
            </w:r>
          </w:p>
        </w:tc>
        <w:tc>
          <w:tcPr>
            <w:tcW w:w="1134" w:type="dxa"/>
            <w:tcBorders>
              <w:top w:val="double" w:sz="6" w:space="0" w:color="203764"/>
              <w:left w:val="nil"/>
              <w:bottom w:val="nil"/>
              <w:right w:val="double" w:sz="6" w:space="0" w:color="203764"/>
            </w:tcBorders>
            <w:shd w:val="clear" w:color="auto" w:fill="auto"/>
            <w:noWrap/>
            <w:vAlign w:val="center"/>
            <w:hideMark/>
          </w:tcPr>
          <w:p w14:paraId="6A436188" w14:textId="7618EF20"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5,9%</w:t>
            </w:r>
          </w:p>
        </w:tc>
        <w:tc>
          <w:tcPr>
            <w:tcW w:w="1134" w:type="dxa"/>
            <w:tcBorders>
              <w:top w:val="double" w:sz="6" w:space="0" w:color="203764"/>
              <w:left w:val="nil"/>
              <w:bottom w:val="nil"/>
              <w:right w:val="double" w:sz="6" w:space="0" w:color="203764"/>
            </w:tcBorders>
            <w:vAlign w:val="center"/>
          </w:tcPr>
          <w:p w14:paraId="7D5429F6" w14:textId="478FADE5"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3</w:t>
            </w:r>
          </w:p>
        </w:tc>
        <w:tc>
          <w:tcPr>
            <w:tcW w:w="1134" w:type="dxa"/>
            <w:tcBorders>
              <w:top w:val="double" w:sz="6" w:space="0" w:color="203764"/>
              <w:left w:val="nil"/>
              <w:bottom w:val="nil"/>
              <w:right w:val="double" w:sz="6" w:space="0" w:color="203764"/>
            </w:tcBorders>
            <w:vAlign w:val="center"/>
          </w:tcPr>
          <w:p w14:paraId="5395C7B9" w14:textId="458F393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0,1%</w:t>
            </w:r>
          </w:p>
        </w:tc>
      </w:tr>
      <w:tr w:rsidR="00724CEB" w:rsidRPr="005149C4" w14:paraId="082DE522" w14:textId="341BD7D4" w:rsidTr="00404E0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3AAE0D2"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Reparación integral del daño</w:t>
            </w:r>
          </w:p>
        </w:tc>
        <w:tc>
          <w:tcPr>
            <w:tcW w:w="992" w:type="dxa"/>
            <w:tcBorders>
              <w:top w:val="nil"/>
              <w:left w:val="nil"/>
              <w:bottom w:val="double" w:sz="6" w:space="0" w:color="203764"/>
              <w:right w:val="nil"/>
            </w:tcBorders>
            <w:shd w:val="clear" w:color="auto" w:fill="auto"/>
            <w:noWrap/>
            <w:vAlign w:val="center"/>
            <w:hideMark/>
          </w:tcPr>
          <w:p w14:paraId="6BCDBF06" w14:textId="0A7B558C"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4F26378C" w14:textId="0425C6DF"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0,1%</w:t>
            </w:r>
          </w:p>
        </w:tc>
        <w:tc>
          <w:tcPr>
            <w:tcW w:w="1134" w:type="dxa"/>
            <w:tcBorders>
              <w:top w:val="double" w:sz="6" w:space="0" w:color="203764"/>
              <w:left w:val="double" w:sz="6" w:space="0" w:color="203764"/>
              <w:bottom w:val="nil"/>
              <w:right w:val="double" w:sz="6" w:space="0" w:color="203764"/>
            </w:tcBorders>
            <w:vAlign w:val="center"/>
          </w:tcPr>
          <w:p w14:paraId="0092CD61" w14:textId="6E0F11BD"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3</w:t>
            </w:r>
          </w:p>
        </w:tc>
        <w:tc>
          <w:tcPr>
            <w:tcW w:w="1134" w:type="dxa"/>
            <w:tcBorders>
              <w:top w:val="double" w:sz="6" w:space="0" w:color="203764"/>
              <w:left w:val="double" w:sz="6" w:space="0" w:color="203764"/>
              <w:bottom w:val="nil"/>
              <w:right w:val="double" w:sz="6" w:space="0" w:color="203764"/>
            </w:tcBorders>
            <w:vAlign w:val="center"/>
          </w:tcPr>
          <w:p w14:paraId="2B33AEC4" w14:textId="2292DE21"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0,1%</w:t>
            </w:r>
          </w:p>
        </w:tc>
      </w:tr>
      <w:tr w:rsidR="00724CEB" w:rsidRPr="005149C4" w14:paraId="541D262D" w14:textId="78C46B5E" w:rsidTr="00404E0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3BBF2B6"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Con conciliación</w:t>
            </w:r>
          </w:p>
        </w:tc>
        <w:tc>
          <w:tcPr>
            <w:tcW w:w="992" w:type="dxa"/>
            <w:tcBorders>
              <w:top w:val="nil"/>
              <w:left w:val="nil"/>
              <w:bottom w:val="double" w:sz="6" w:space="0" w:color="203764"/>
              <w:right w:val="nil"/>
            </w:tcBorders>
            <w:shd w:val="clear" w:color="auto" w:fill="auto"/>
            <w:noWrap/>
            <w:vAlign w:val="center"/>
            <w:hideMark/>
          </w:tcPr>
          <w:p w14:paraId="3E3B6CE7" w14:textId="7E9D8C8E"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1397</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08CDA41A" w14:textId="33AEF7A0"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42,9%</w:t>
            </w:r>
          </w:p>
        </w:tc>
        <w:tc>
          <w:tcPr>
            <w:tcW w:w="1134" w:type="dxa"/>
            <w:tcBorders>
              <w:top w:val="double" w:sz="6" w:space="0" w:color="203764"/>
              <w:left w:val="double" w:sz="6" w:space="0" w:color="203764"/>
              <w:bottom w:val="nil"/>
              <w:right w:val="double" w:sz="6" w:space="0" w:color="203764"/>
            </w:tcBorders>
            <w:vAlign w:val="center"/>
          </w:tcPr>
          <w:p w14:paraId="47F28F3F" w14:textId="532880E9"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1788</w:t>
            </w:r>
          </w:p>
        </w:tc>
        <w:tc>
          <w:tcPr>
            <w:tcW w:w="1134" w:type="dxa"/>
            <w:tcBorders>
              <w:top w:val="double" w:sz="6" w:space="0" w:color="203764"/>
              <w:left w:val="double" w:sz="6" w:space="0" w:color="203764"/>
              <w:bottom w:val="nil"/>
              <w:right w:val="double" w:sz="6" w:space="0" w:color="203764"/>
            </w:tcBorders>
            <w:vAlign w:val="center"/>
          </w:tcPr>
          <w:p w14:paraId="2257F102" w14:textId="77606815"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47,0%</w:t>
            </w:r>
          </w:p>
        </w:tc>
      </w:tr>
      <w:tr w:rsidR="00724CEB" w:rsidRPr="005149C4" w14:paraId="5C149DF2" w14:textId="22C596F2" w:rsidTr="00404E0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D4E770B"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No hubo acuerdo</w:t>
            </w:r>
          </w:p>
        </w:tc>
        <w:tc>
          <w:tcPr>
            <w:tcW w:w="992" w:type="dxa"/>
            <w:tcBorders>
              <w:top w:val="nil"/>
              <w:left w:val="nil"/>
              <w:bottom w:val="double" w:sz="6" w:space="0" w:color="203764"/>
              <w:right w:val="double" w:sz="6" w:space="0" w:color="203764"/>
            </w:tcBorders>
            <w:shd w:val="clear" w:color="auto" w:fill="auto"/>
            <w:noWrap/>
            <w:vAlign w:val="center"/>
            <w:hideMark/>
          </w:tcPr>
          <w:p w14:paraId="3BC8ED98" w14:textId="4C725391"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102</w:t>
            </w:r>
          </w:p>
        </w:tc>
        <w:tc>
          <w:tcPr>
            <w:tcW w:w="1134" w:type="dxa"/>
            <w:tcBorders>
              <w:top w:val="double" w:sz="6" w:space="0" w:color="203764"/>
              <w:left w:val="nil"/>
              <w:bottom w:val="nil"/>
              <w:right w:val="double" w:sz="6" w:space="0" w:color="203764"/>
            </w:tcBorders>
            <w:shd w:val="clear" w:color="auto" w:fill="auto"/>
            <w:noWrap/>
            <w:vAlign w:val="center"/>
            <w:hideMark/>
          </w:tcPr>
          <w:p w14:paraId="264FBD0F" w14:textId="75AB6D69"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3,2%</w:t>
            </w:r>
          </w:p>
        </w:tc>
        <w:tc>
          <w:tcPr>
            <w:tcW w:w="1134" w:type="dxa"/>
            <w:tcBorders>
              <w:top w:val="double" w:sz="6" w:space="0" w:color="203764"/>
              <w:left w:val="nil"/>
              <w:bottom w:val="nil"/>
              <w:right w:val="double" w:sz="6" w:space="0" w:color="203764"/>
            </w:tcBorders>
            <w:vAlign w:val="center"/>
          </w:tcPr>
          <w:p w14:paraId="03B1853B" w14:textId="53E65138"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121</w:t>
            </w:r>
          </w:p>
        </w:tc>
        <w:tc>
          <w:tcPr>
            <w:tcW w:w="1134" w:type="dxa"/>
            <w:tcBorders>
              <w:top w:val="double" w:sz="6" w:space="0" w:color="203764"/>
              <w:left w:val="nil"/>
              <w:bottom w:val="nil"/>
              <w:right w:val="double" w:sz="6" w:space="0" w:color="203764"/>
            </w:tcBorders>
            <w:vAlign w:val="center"/>
          </w:tcPr>
          <w:p w14:paraId="113C84C1" w14:textId="4885F480"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3,2%</w:t>
            </w:r>
          </w:p>
        </w:tc>
      </w:tr>
      <w:tr w:rsidR="00724CEB" w:rsidRPr="005149C4" w14:paraId="17EFB42B" w14:textId="59BD947D" w:rsidTr="00404E0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1DFC4148"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No se presentó una de las partes</w:t>
            </w:r>
          </w:p>
        </w:tc>
        <w:tc>
          <w:tcPr>
            <w:tcW w:w="992" w:type="dxa"/>
            <w:tcBorders>
              <w:top w:val="nil"/>
              <w:left w:val="nil"/>
              <w:bottom w:val="double" w:sz="6" w:space="0" w:color="203764"/>
              <w:right w:val="nil"/>
            </w:tcBorders>
            <w:shd w:val="clear" w:color="auto" w:fill="auto"/>
            <w:noWrap/>
            <w:vAlign w:val="center"/>
            <w:hideMark/>
          </w:tcPr>
          <w:p w14:paraId="301E809A" w14:textId="67400F3D"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21</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1D3867B8" w14:textId="7FE5993E"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0,6%</w:t>
            </w:r>
          </w:p>
        </w:tc>
        <w:tc>
          <w:tcPr>
            <w:tcW w:w="1134" w:type="dxa"/>
            <w:tcBorders>
              <w:top w:val="double" w:sz="6" w:space="0" w:color="203764"/>
              <w:left w:val="double" w:sz="6" w:space="0" w:color="203764"/>
              <w:bottom w:val="nil"/>
              <w:right w:val="double" w:sz="6" w:space="0" w:color="203764"/>
            </w:tcBorders>
            <w:vAlign w:val="center"/>
          </w:tcPr>
          <w:p w14:paraId="53B29B18" w14:textId="45C6C4BC"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37</w:t>
            </w:r>
          </w:p>
        </w:tc>
        <w:tc>
          <w:tcPr>
            <w:tcW w:w="1134" w:type="dxa"/>
            <w:tcBorders>
              <w:top w:val="double" w:sz="6" w:space="0" w:color="203764"/>
              <w:left w:val="double" w:sz="6" w:space="0" w:color="203764"/>
              <w:bottom w:val="nil"/>
              <w:right w:val="double" w:sz="6" w:space="0" w:color="203764"/>
            </w:tcBorders>
            <w:vAlign w:val="center"/>
          </w:tcPr>
          <w:p w14:paraId="58F657F9" w14:textId="5601AA8A"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1,0%</w:t>
            </w:r>
          </w:p>
        </w:tc>
      </w:tr>
      <w:tr w:rsidR="00724CEB" w:rsidRPr="005149C4" w14:paraId="6AB29576" w14:textId="7D99E01E" w:rsidTr="00404E0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1DFA38B"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Devueltos</w:t>
            </w:r>
          </w:p>
        </w:tc>
        <w:tc>
          <w:tcPr>
            <w:tcW w:w="992" w:type="dxa"/>
            <w:tcBorders>
              <w:top w:val="nil"/>
              <w:left w:val="nil"/>
              <w:bottom w:val="double" w:sz="6" w:space="0" w:color="203764"/>
              <w:right w:val="double" w:sz="6" w:space="0" w:color="203764"/>
            </w:tcBorders>
            <w:shd w:val="clear" w:color="auto" w:fill="auto"/>
            <w:noWrap/>
            <w:vAlign w:val="center"/>
            <w:hideMark/>
          </w:tcPr>
          <w:p w14:paraId="7EFC7F1F" w14:textId="390D9C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1369</w:t>
            </w:r>
          </w:p>
        </w:tc>
        <w:tc>
          <w:tcPr>
            <w:tcW w:w="1134" w:type="dxa"/>
            <w:tcBorders>
              <w:top w:val="double" w:sz="6" w:space="0" w:color="203764"/>
              <w:left w:val="nil"/>
              <w:bottom w:val="nil"/>
              <w:right w:val="double" w:sz="6" w:space="0" w:color="203764"/>
            </w:tcBorders>
            <w:shd w:val="clear" w:color="auto" w:fill="auto"/>
            <w:noWrap/>
            <w:vAlign w:val="center"/>
            <w:hideMark/>
          </w:tcPr>
          <w:p w14:paraId="37A5B236" w14:textId="5643CB35"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42,0%</w:t>
            </w:r>
          </w:p>
        </w:tc>
        <w:tc>
          <w:tcPr>
            <w:tcW w:w="1134" w:type="dxa"/>
            <w:tcBorders>
              <w:top w:val="double" w:sz="6" w:space="0" w:color="203764"/>
              <w:left w:val="nil"/>
              <w:bottom w:val="nil"/>
              <w:right w:val="double" w:sz="6" w:space="0" w:color="203764"/>
            </w:tcBorders>
            <w:vAlign w:val="center"/>
          </w:tcPr>
          <w:p w14:paraId="1A3C566B" w14:textId="75762FA5"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1534</w:t>
            </w:r>
          </w:p>
        </w:tc>
        <w:tc>
          <w:tcPr>
            <w:tcW w:w="1134" w:type="dxa"/>
            <w:tcBorders>
              <w:top w:val="double" w:sz="6" w:space="0" w:color="203764"/>
              <w:left w:val="nil"/>
              <w:bottom w:val="nil"/>
              <w:right w:val="double" w:sz="6" w:space="0" w:color="203764"/>
            </w:tcBorders>
            <w:vAlign w:val="center"/>
          </w:tcPr>
          <w:p w14:paraId="1337D7FC" w14:textId="18F85A62"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40,3%</w:t>
            </w:r>
          </w:p>
        </w:tc>
      </w:tr>
      <w:tr w:rsidR="00724CEB" w:rsidRPr="005149C4" w14:paraId="552E712E" w14:textId="6065A667" w:rsidTr="00404E0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01CB385" w14:textId="77777777"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Otros</w:t>
            </w:r>
          </w:p>
        </w:tc>
        <w:tc>
          <w:tcPr>
            <w:tcW w:w="992" w:type="dxa"/>
            <w:tcBorders>
              <w:top w:val="nil"/>
              <w:left w:val="nil"/>
              <w:bottom w:val="double" w:sz="6" w:space="0" w:color="203764"/>
              <w:right w:val="double" w:sz="6" w:space="0" w:color="203764"/>
            </w:tcBorders>
            <w:shd w:val="clear" w:color="auto" w:fill="auto"/>
            <w:noWrap/>
            <w:vAlign w:val="center"/>
            <w:hideMark/>
          </w:tcPr>
          <w:p w14:paraId="3EE03A51" w14:textId="228CD5FA"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157</w:t>
            </w:r>
          </w:p>
        </w:tc>
        <w:tc>
          <w:tcPr>
            <w:tcW w:w="1134" w:type="dxa"/>
            <w:tcBorders>
              <w:top w:val="double" w:sz="6" w:space="0" w:color="203764"/>
              <w:left w:val="nil"/>
              <w:bottom w:val="nil"/>
              <w:right w:val="double" w:sz="6" w:space="0" w:color="203764"/>
            </w:tcBorders>
            <w:shd w:val="clear" w:color="auto" w:fill="auto"/>
            <w:noWrap/>
            <w:vAlign w:val="center"/>
            <w:hideMark/>
          </w:tcPr>
          <w:p w14:paraId="3B29FF28" w14:textId="4903FC69"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4,8%</w:t>
            </w:r>
          </w:p>
        </w:tc>
        <w:tc>
          <w:tcPr>
            <w:tcW w:w="1134" w:type="dxa"/>
            <w:tcBorders>
              <w:top w:val="double" w:sz="6" w:space="0" w:color="203764"/>
              <w:left w:val="nil"/>
              <w:bottom w:val="nil"/>
              <w:right w:val="double" w:sz="6" w:space="0" w:color="203764"/>
            </w:tcBorders>
            <w:vAlign w:val="center"/>
          </w:tcPr>
          <w:p w14:paraId="0658C521" w14:textId="520EB47E"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309</w:t>
            </w:r>
          </w:p>
        </w:tc>
        <w:tc>
          <w:tcPr>
            <w:tcW w:w="1134" w:type="dxa"/>
            <w:tcBorders>
              <w:top w:val="double" w:sz="6" w:space="0" w:color="203764"/>
              <w:left w:val="nil"/>
              <w:bottom w:val="nil"/>
              <w:right w:val="double" w:sz="6" w:space="0" w:color="203764"/>
            </w:tcBorders>
            <w:vAlign w:val="center"/>
          </w:tcPr>
          <w:p w14:paraId="36AD9EAD" w14:textId="0AB02ACF" w:rsidR="00724CEB" w:rsidRPr="005149C4" w:rsidRDefault="00724CEB" w:rsidP="00724CEB">
            <w:pPr>
              <w:spacing w:before="0" w:after="0" w:line="240" w:lineRule="auto"/>
              <w:jc w:val="center"/>
              <w:rPr>
                <w:rFonts w:eastAsia="Times New Roman" w:cs="Calibri"/>
                <w:color w:val="000000"/>
                <w:sz w:val="20"/>
                <w:szCs w:val="20"/>
                <w:lang w:eastAsia="es-CR"/>
              </w:rPr>
            </w:pPr>
            <w:r w:rsidRPr="005149C4">
              <w:rPr>
                <w:rFonts w:cs="Calibri"/>
                <w:color w:val="000000"/>
                <w:sz w:val="20"/>
                <w:szCs w:val="20"/>
              </w:rPr>
              <w:t>8,1%</w:t>
            </w:r>
          </w:p>
        </w:tc>
      </w:tr>
      <w:tr w:rsidR="00724CEB" w:rsidRPr="005149C4" w14:paraId="7471B192" w14:textId="3DAD23D8" w:rsidTr="006607A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D9D9"/>
            <w:noWrap/>
            <w:vAlign w:val="center"/>
            <w:hideMark/>
          </w:tcPr>
          <w:p w14:paraId="71B8CEC5" w14:textId="77777777" w:rsidR="00724CEB" w:rsidRPr="005149C4" w:rsidRDefault="00724CEB" w:rsidP="00724CEB">
            <w:pPr>
              <w:spacing w:before="0" w:after="0" w:line="240" w:lineRule="auto"/>
              <w:jc w:val="center"/>
              <w:rPr>
                <w:rFonts w:eastAsia="Times New Roman" w:cs="Calibri"/>
                <w:b/>
                <w:bCs/>
                <w:color w:val="000000"/>
                <w:sz w:val="20"/>
                <w:szCs w:val="20"/>
                <w:lang w:eastAsia="es-CR"/>
              </w:rPr>
            </w:pPr>
            <w:r w:rsidRPr="005149C4">
              <w:rPr>
                <w:rFonts w:eastAsia="Times New Roman" w:cs="Calibri"/>
                <w:b/>
                <w:bCs/>
                <w:color w:val="000000"/>
                <w:sz w:val="20"/>
                <w:szCs w:val="20"/>
                <w:lang w:eastAsia="es-CR"/>
              </w:rPr>
              <w:t>Totales</w:t>
            </w:r>
          </w:p>
        </w:tc>
        <w:tc>
          <w:tcPr>
            <w:tcW w:w="992" w:type="dxa"/>
            <w:tcBorders>
              <w:top w:val="nil"/>
              <w:left w:val="nil"/>
              <w:bottom w:val="double" w:sz="6" w:space="0" w:color="203764"/>
              <w:right w:val="double" w:sz="6" w:space="0" w:color="203764"/>
            </w:tcBorders>
            <w:shd w:val="clear" w:color="000000" w:fill="D9D9D9"/>
            <w:noWrap/>
            <w:vAlign w:val="center"/>
            <w:hideMark/>
          </w:tcPr>
          <w:p w14:paraId="2E3B7FB9" w14:textId="50A433CC" w:rsidR="00724CEB" w:rsidRPr="005149C4" w:rsidRDefault="00724CEB" w:rsidP="00724CEB">
            <w:pPr>
              <w:spacing w:before="0" w:after="0" w:line="240" w:lineRule="auto"/>
              <w:jc w:val="center"/>
              <w:rPr>
                <w:rFonts w:eastAsia="Times New Roman" w:cs="Calibri"/>
                <w:b/>
                <w:bCs/>
                <w:color w:val="000000"/>
                <w:sz w:val="20"/>
                <w:szCs w:val="20"/>
                <w:lang w:eastAsia="es-CR"/>
              </w:rPr>
            </w:pPr>
            <w:r w:rsidRPr="005149C4">
              <w:rPr>
                <w:rFonts w:eastAsia="Times New Roman" w:cs="Calibri"/>
                <w:b/>
                <w:bCs/>
                <w:color w:val="000000"/>
                <w:sz w:val="20"/>
                <w:szCs w:val="20"/>
                <w:lang w:eastAsia="es-CR"/>
              </w:rPr>
              <w:t>3256</w:t>
            </w:r>
          </w:p>
        </w:tc>
        <w:tc>
          <w:tcPr>
            <w:tcW w:w="1134" w:type="dxa"/>
            <w:tcBorders>
              <w:top w:val="double" w:sz="6" w:space="0" w:color="203764"/>
              <w:left w:val="nil"/>
              <w:bottom w:val="double" w:sz="6" w:space="0" w:color="203764"/>
              <w:right w:val="double" w:sz="6" w:space="0" w:color="203764"/>
            </w:tcBorders>
            <w:shd w:val="clear" w:color="000000" w:fill="D9D9D9"/>
            <w:noWrap/>
            <w:vAlign w:val="center"/>
            <w:hideMark/>
          </w:tcPr>
          <w:p w14:paraId="3B9F9707" w14:textId="77777777" w:rsidR="00724CEB" w:rsidRPr="005149C4" w:rsidRDefault="00724CEB" w:rsidP="00724CEB">
            <w:pPr>
              <w:spacing w:before="0" w:after="0" w:line="240" w:lineRule="auto"/>
              <w:jc w:val="center"/>
              <w:rPr>
                <w:rFonts w:eastAsia="Times New Roman" w:cs="Calibri"/>
                <w:b/>
                <w:bCs/>
                <w:color w:val="000000"/>
                <w:sz w:val="20"/>
                <w:szCs w:val="20"/>
                <w:lang w:eastAsia="es-CR"/>
              </w:rPr>
            </w:pPr>
            <w:r w:rsidRPr="005149C4">
              <w:rPr>
                <w:rFonts w:eastAsia="Times New Roman" w:cs="Calibri"/>
                <w:b/>
                <w:bCs/>
                <w:color w:val="000000"/>
                <w:sz w:val="20"/>
                <w:szCs w:val="20"/>
                <w:lang w:eastAsia="es-CR"/>
              </w:rPr>
              <w:t>100%</w:t>
            </w:r>
          </w:p>
        </w:tc>
        <w:tc>
          <w:tcPr>
            <w:tcW w:w="1134" w:type="dxa"/>
            <w:tcBorders>
              <w:top w:val="double" w:sz="6" w:space="0" w:color="203764"/>
              <w:left w:val="nil"/>
              <w:bottom w:val="double" w:sz="6" w:space="0" w:color="203764"/>
              <w:right w:val="double" w:sz="6" w:space="0" w:color="203764"/>
            </w:tcBorders>
            <w:shd w:val="clear" w:color="000000" w:fill="D9D9D9"/>
            <w:vAlign w:val="center"/>
          </w:tcPr>
          <w:p w14:paraId="1076B5E7" w14:textId="78B0D16C" w:rsidR="00724CEB" w:rsidRPr="005149C4" w:rsidRDefault="00724CEB" w:rsidP="00724CEB">
            <w:pPr>
              <w:spacing w:before="0" w:after="0" w:line="240" w:lineRule="auto"/>
              <w:jc w:val="center"/>
              <w:rPr>
                <w:rFonts w:eastAsia="Times New Roman" w:cs="Calibri"/>
                <w:b/>
                <w:bCs/>
                <w:color w:val="000000"/>
                <w:sz w:val="20"/>
                <w:szCs w:val="20"/>
                <w:lang w:eastAsia="es-CR"/>
              </w:rPr>
            </w:pPr>
            <w:r w:rsidRPr="005149C4">
              <w:rPr>
                <w:rFonts w:cs="Calibri"/>
                <w:b/>
                <w:bCs/>
                <w:color w:val="000000"/>
                <w:sz w:val="20"/>
                <w:szCs w:val="20"/>
              </w:rPr>
              <w:t>3806</w:t>
            </w:r>
          </w:p>
        </w:tc>
        <w:tc>
          <w:tcPr>
            <w:tcW w:w="1134" w:type="dxa"/>
            <w:tcBorders>
              <w:top w:val="double" w:sz="6" w:space="0" w:color="203764"/>
              <w:left w:val="nil"/>
              <w:bottom w:val="double" w:sz="6" w:space="0" w:color="203764"/>
              <w:right w:val="double" w:sz="6" w:space="0" w:color="203764"/>
            </w:tcBorders>
            <w:shd w:val="clear" w:color="000000" w:fill="D9D9D9"/>
            <w:vAlign w:val="center"/>
          </w:tcPr>
          <w:p w14:paraId="3644FCDF" w14:textId="325F2129" w:rsidR="00724CEB" w:rsidRPr="005149C4" w:rsidRDefault="00724CEB" w:rsidP="00724CEB">
            <w:pPr>
              <w:spacing w:before="0" w:after="0" w:line="240" w:lineRule="auto"/>
              <w:jc w:val="center"/>
              <w:rPr>
                <w:rFonts w:eastAsia="Times New Roman" w:cs="Calibri"/>
                <w:b/>
                <w:bCs/>
                <w:color w:val="000000"/>
                <w:sz w:val="20"/>
                <w:szCs w:val="20"/>
                <w:lang w:eastAsia="es-CR"/>
              </w:rPr>
            </w:pPr>
            <w:r w:rsidRPr="005149C4">
              <w:rPr>
                <w:rFonts w:cs="Calibri"/>
                <w:b/>
                <w:bCs/>
                <w:color w:val="000000"/>
                <w:sz w:val="20"/>
                <w:szCs w:val="20"/>
              </w:rPr>
              <w:t>100%</w:t>
            </w:r>
          </w:p>
        </w:tc>
      </w:tr>
    </w:tbl>
    <w:p w14:paraId="116AE7D7" w14:textId="75E3D20C" w:rsidR="008F23F1" w:rsidRPr="005149C4" w:rsidRDefault="008F23F1" w:rsidP="009E67A6">
      <w:pPr>
        <w:ind w:left="567" w:right="474"/>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235537"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 </w:t>
      </w:r>
    </w:p>
    <w:p w14:paraId="36A2E0BC" w14:textId="33D5F6BC" w:rsidR="009E67A6" w:rsidRPr="005149C4" w:rsidRDefault="009E67A6" w:rsidP="009E67A6">
      <w:pPr>
        <w:tabs>
          <w:tab w:val="left" w:pos="0"/>
        </w:tabs>
      </w:pPr>
      <w:r w:rsidRPr="005149C4">
        <w:t>En el año 202</w:t>
      </w:r>
      <w:r w:rsidR="00F40610" w:rsidRPr="005149C4">
        <w:t>1</w:t>
      </w:r>
      <w:r w:rsidRPr="005149C4">
        <w:t xml:space="preserve"> </w:t>
      </w:r>
      <w:r w:rsidR="00C50CC0" w:rsidRPr="005149C4">
        <w:t xml:space="preserve">el rubro con el mayor porcentaje es el de conciliación con un </w:t>
      </w:r>
      <w:r w:rsidR="00F40610" w:rsidRPr="005149C4">
        <w:t>43</w:t>
      </w:r>
      <w:r w:rsidR="00C50CC0" w:rsidRPr="005149C4">
        <w:t>%; seguido del</w:t>
      </w:r>
      <w:r w:rsidRPr="005149C4">
        <w:t xml:space="preserve"> porcentaje de devueltos, con </w:t>
      </w:r>
      <w:r w:rsidR="00F40610" w:rsidRPr="005149C4">
        <w:t>42</w:t>
      </w:r>
      <w:r w:rsidRPr="005149C4">
        <w:t xml:space="preserve">%, cantidad </w:t>
      </w:r>
      <w:r w:rsidR="00773D63" w:rsidRPr="005149C4">
        <w:t>que presenta</w:t>
      </w:r>
      <w:r w:rsidRPr="005149C4">
        <w:t xml:space="preserve"> un valor significativo en el importe total de terminados</w:t>
      </w:r>
      <w:r w:rsidR="00BC4152" w:rsidRPr="005149C4">
        <w:t xml:space="preserve">. En el caso de la información que abarca </w:t>
      </w:r>
      <w:r w:rsidR="00F40610" w:rsidRPr="005149C4">
        <w:t>el</w:t>
      </w:r>
      <w:r w:rsidR="00BC4152" w:rsidRPr="005149C4">
        <w:t xml:space="preserve"> 202</w:t>
      </w:r>
      <w:r w:rsidR="00F40610" w:rsidRPr="005149C4">
        <w:t>2</w:t>
      </w:r>
      <w:r w:rsidR="00BC4152" w:rsidRPr="005149C4">
        <w:t>, se tiene que la cantidad de asuntos finalizados por conciliación ocupa el primer lugar, con un 4</w:t>
      </w:r>
      <w:r w:rsidR="00F40610" w:rsidRPr="005149C4">
        <w:t>7</w:t>
      </w:r>
      <w:r w:rsidR="00BC4152" w:rsidRPr="005149C4">
        <w:t>%</w:t>
      </w:r>
      <w:r w:rsidR="00C77F87" w:rsidRPr="005149C4">
        <w:t>, lo que indica que se ha producido un mayor número de asuntos conciliados respecto a los datos registrados en 202</w:t>
      </w:r>
      <w:r w:rsidR="00F40610" w:rsidRPr="005149C4">
        <w:t>1</w:t>
      </w:r>
      <w:r w:rsidR="00C77F87" w:rsidRPr="005149C4">
        <w:t xml:space="preserve">, </w:t>
      </w:r>
      <w:r w:rsidR="002D4B08" w:rsidRPr="005149C4">
        <w:t xml:space="preserve">otra parte, la segunda posición corresponde a los asuntos terminados por motivo de devolución, que en este caso </w:t>
      </w:r>
      <w:r w:rsidR="00F40610" w:rsidRPr="005149C4">
        <w:t>disminuyen</w:t>
      </w:r>
      <w:r w:rsidR="002D4B08" w:rsidRPr="005149C4">
        <w:t xml:space="preserve"> en </w:t>
      </w:r>
      <w:r w:rsidR="00F40610" w:rsidRPr="005149C4">
        <w:t>2</w:t>
      </w:r>
      <w:r w:rsidR="002D4B08" w:rsidRPr="005149C4">
        <w:t xml:space="preserve"> puntos porcentuales </w:t>
      </w:r>
      <w:r w:rsidR="00DF5B22" w:rsidRPr="005149C4">
        <w:t>respecto a los datos reportados en 202</w:t>
      </w:r>
      <w:r w:rsidR="00F40610" w:rsidRPr="005149C4">
        <w:t>1</w:t>
      </w:r>
      <w:r w:rsidR="00DF5B22" w:rsidRPr="005149C4">
        <w:t xml:space="preserve">; </w:t>
      </w:r>
      <w:r w:rsidRPr="005149C4">
        <w:t>por lo que es necesario continuar trabajando en la capacitación del personal encargado de realizar los tamizajes para asegurarse de que los casos que son remitidos a Justicia Restaurativa cumplen con todos los requisitos necesarios.</w:t>
      </w:r>
      <w:r w:rsidR="00D35A4B" w:rsidRPr="005149C4">
        <w:t xml:space="preserve"> </w:t>
      </w:r>
    </w:p>
    <w:p w14:paraId="67D65578" w14:textId="3D25776D" w:rsidR="009E67A6" w:rsidRPr="005149C4" w:rsidRDefault="009E67A6" w:rsidP="009E67A6">
      <w:pPr>
        <w:tabs>
          <w:tab w:val="left" w:pos="0"/>
        </w:tabs>
      </w:pPr>
      <w:r w:rsidRPr="005149C4">
        <w:t>Sobre el particular de las causas devueltas, a continuación, se present</w:t>
      </w:r>
      <w:r w:rsidR="00E43B67" w:rsidRPr="005149C4">
        <w:t>a</w:t>
      </w:r>
      <w:r w:rsidRPr="005149C4">
        <w:t xml:space="preserve"> el detalle: </w:t>
      </w:r>
    </w:p>
    <w:p w14:paraId="5DA234C6" w14:textId="32CF6CD8" w:rsidR="00CE55AB" w:rsidRPr="005149C4" w:rsidRDefault="008F23F1" w:rsidP="008F23F1">
      <w:pPr>
        <w:tabs>
          <w:tab w:val="left" w:pos="0"/>
        </w:tabs>
        <w:rPr>
          <w:b/>
          <w:bCs/>
          <w:sz w:val="20"/>
          <w:szCs w:val="20"/>
        </w:rPr>
      </w:pPr>
      <w:bookmarkStart w:id="21" w:name="_Ref31364377"/>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9</w:t>
      </w:r>
      <w:r w:rsidRPr="005149C4">
        <w:rPr>
          <w:b/>
          <w:bCs/>
          <w:sz w:val="20"/>
          <w:szCs w:val="20"/>
        </w:rPr>
        <w:fldChar w:fldCharType="end"/>
      </w:r>
      <w:bookmarkEnd w:id="21"/>
      <w:r w:rsidRPr="005149C4">
        <w:rPr>
          <w:b/>
          <w:bCs/>
          <w:sz w:val="20"/>
          <w:szCs w:val="20"/>
        </w:rPr>
        <w:t>. Motivo de las devoluciones de las causas terminadas en Justicia Restaurativa Penal de Adultos para el periodo 202</w:t>
      </w:r>
      <w:r w:rsidR="000C67B0" w:rsidRPr="005149C4">
        <w:rPr>
          <w:b/>
          <w:bCs/>
          <w:sz w:val="20"/>
          <w:szCs w:val="20"/>
        </w:rPr>
        <w:t>1</w:t>
      </w:r>
      <w:r w:rsidR="00A13849" w:rsidRPr="005149C4">
        <w:rPr>
          <w:b/>
          <w:bCs/>
          <w:sz w:val="20"/>
          <w:szCs w:val="20"/>
        </w:rPr>
        <w:t xml:space="preserve"> al 2022</w:t>
      </w:r>
      <w:r w:rsidRPr="005149C4">
        <w:rPr>
          <w:b/>
          <w:bCs/>
          <w:sz w:val="20"/>
          <w:szCs w:val="20"/>
        </w:rPr>
        <w:t>.</w:t>
      </w:r>
    </w:p>
    <w:tbl>
      <w:tblPr>
        <w:tblW w:w="10075" w:type="dxa"/>
        <w:jc w:val="center"/>
        <w:tblCellMar>
          <w:left w:w="70" w:type="dxa"/>
          <w:right w:w="70" w:type="dxa"/>
        </w:tblCellMar>
        <w:tblLook w:val="04A0" w:firstRow="1" w:lastRow="0" w:firstColumn="1" w:lastColumn="0" w:noHBand="0" w:noVBand="1"/>
      </w:tblPr>
      <w:tblGrid>
        <w:gridCol w:w="1395"/>
        <w:gridCol w:w="3827"/>
        <w:gridCol w:w="1673"/>
        <w:gridCol w:w="1060"/>
        <w:gridCol w:w="1060"/>
        <w:gridCol w:w="1060"/>
      </w:tblGrid>
      <w:tr w:rsidR="00CE55AB" w:rsidRPr="005149C4" w14:paraId="789324D0" w14:textId="77777777" w:rsidTr="00534DAF">
        <w:trPr>
          <w:trHeight w:val="330"/>
          <w:jc w:val="center"/>
        </w:trPr>
        <w:tc>
          <w:tcPr>
            <w:tcW w:w="1395"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59CF7A26" w14:textId="77777777" w:rsidR="00CE55AB" w:rsidRPr="005149C4" w:rsidRDefault="00CE55AB" w:rsidP="00CE55AB">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Instancia</w:t>
            </w:r>
          </w:p>
        </w:tc>
        <w:tc>
          <w:tcPr>
            <w:tcW w:w="3827" w:type="dxa"/>
            <w:tcBorders>
              <w:top w:val="double" w:sz="6" w:space="0" w:color="203764"/>
              <w:left w:val="nil"/>
              <w:bottom w:val="double" w:sz="6" w:space="0" w:color="203764"/>
              <w:right w:val="double" w:sz="6" w:space="0" w:color="203764"/>
            </w:tcBorders>
            <w:shd w:val="clear" w:color="000000" w:fill="365F91"/>
            <w:noWrap/>
            <w:vAlign w:val="center"/>
            <w:hideMark/>
          </w:tcPr>
          <w:p w14:paraId="078DED88" w14:textId="77777777" w:rsidR="00CE55AB" w:rsidRPr="005149C4" w:rsidRDefault="00CE55AB" w:rsidP="00CE55AB">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Motivo de devolución</w:t>
            </w:r>
          </w:p>
        </w:tc>
        <w:tc>
          <w:tcPr>
            <w:tcW w:w="1673" w:type="dxa"/>
            <w:tcBorders>
              <w:top w:val="double" w:sz="6" w:space="0" w:color="203764"/>
              <w:left w:val="nil"/>
              <w:bottom w:val="double" w:sz="6" w:space="0" w:color="203764"/>
              <w:right w:val="double" w:sz="6" w:space="0" w:color="203764"/>
            </w:tcBorders>
            <w:shd w:val="clear" w:color="000000" w:fill="365F91"/>
            <w:noWrap/>
            <w:vAlign w:val="center"/>
            <w:hideMark/>
          </w:tcPr>
          <w:p w14:paraId="6ADE3932" w14:textId="77777777" w:rsidR="00CE55AB" w:rsidRPr="005149C4" w:rsidRDefault="00CE55AB" w:rsidP="00CE55AB">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2021</w:t>
            </w:r>
          </w:p>
        </w:tc>
        <w:tc>
          <w:tcPr>
            <w:tcW w:w="1060" w:type="dxa"/>
            <w:tcBorders>
              <w:top w:val="double" w:sz="6" w:space="0" w:color="203764"/>
              <w:left w:val="nil"/>
              <w:bottom w:val="double" w:sz="6" w:space="0" w:color="203764"/>
              <w:right w:val="double" w:sz="6" w:space="0" w:color="203764"/>
            </w:tcBorders>
            <w:shd w:val="clear" w:color="000000" w:fill="365F91"/>
            <w:noWrap/>
            <w:vAlign w:val="center"/>
            <w:hideMark/>
          </w:tcPr>
          <w:p w14:paraId="6A45153E" w14:textId="77777777" w:rsidR="00CE55AB" w:rsidRPr="005149C4" w:rsidRDefault="00CE55AB" w:rsidP="00CE55AB">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Porcentaje</w:t>
            </w:r>
          </w:p>
        </w:tc>
        <w:tc>
          <w:tcPr>
            <w:tcW w:w="1060" w:type="dxa"/>
            <w:tcBorders>
              <w:top w:val="double" w:sz="6" w:space="0" w:color="203764"/>
              <w:left w:val="nil"/>
              <w:bottom w:val="double" w:sz="6" w:space="0" w:color="203764"/>
              <w:right w:val="double" w:sz="6" w:space="0" w:color="203764"/>
            </w:tcBorders>
            <w:shd w:val="clear" w:color="000000" w:fill="365F91"/>
            <w:noWrap/>
            <w:vAlign w:val="center"/>
            <w:hideMark/>
          </w:tcPr>
          <w:p w14:paraId="774CE2E2" w14:textId="77777777" w:rsidR="00CE55AB" w:rsidRPr="005149C4" w:rsidRDefault="00CE55AB" w:rsidP="00CE55AB">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2022</w:t>
            </w:r>
          </w:p>
        </w:tc>
        <w:tc>
          <w:tcPr>
            <w:tcW w:w="1060" w:type="dxa"/>
            <w:tcBorders>
              <w:top w:val="double" w:sz="6" w:space="0" w:color="203764"/>
              <w:left w:val="nil"/>
              <w:bottom w:val="double" w:sz="6" w:space="0" w:color="203764"/>
              <w:right w:val="double" w:sz="6" w:space="0" w:color="203764"/>
            </w:tcBorders>
            <w:shd w:val="clear" w:color="000000" w:fill="365F91"/>
            <w:noWrap/>
            <w:vAlign w:val="center"/>
            <w:hideMark/>
          </w:tcPr>
          <w:p w14:paraId="5BA8DF80" w14:textId="77777777" w:rsidR="00CE55AB" w:rsidRPr="005149C4" w:rsidRDefault="00CE55AB" w:rsidP="00CE55AB">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Porcentaje</w:t>
            </w:r>
          </w:p>
        </w:tc>
      </w:tr>
      <w:tr w:rsidR="00CE55AB" w:rsidRPr="005149C4" w14:paraId="7A9E2448" w14:textId="77777777" w:rsidTr="00534DAF">
        <w:trPr>
          <w:trHeight w:val="330"/>
          <w:jc w:val="center"/>
        </w:trPr>
        <w:tc>
          <w:tcPr>
            <w:tcW w:w="1395"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3FF82E4F"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Ministerio Público</w:t>
            </w:r>
          </w:p>
        </w:tc>
        <w:tc>
          <w:tcPr>
            <w:tcW w:w="3827" w:type="dxa"/>
            <w:tcBorders>
              <w:top w:val="nil"/>
              <w:left w:val="nil"/>
              <w:bottom w:val="double" w:sz="6" w:space="0" w:color="203764"/>
              <w:right w:val="double" w:sz="6" w:space="0" w:color="203764"/>
            </w:tcBorders>
            <w:shd w:val="clear" w:color="auto" w:fill="auto"/>
            <w:noWrap/>
            <w:vAlign w:val="center"/>
            <w:hideMark/>
          </w:tcPr>
          <w:p w14:paraId="2F15522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Por estrategia de la defensa particular</w:t>
            </w:r>
          </w:p>
        </w:tc>
        <w:tc>
          <w:tcPr>
            <w:tcW w:w="1673" w:type="dxa"/>
            <w:tcBorders>
              <w:top w:val="nil"/>
              <w:left w:val="nil"/>
              <w:bottom w:val="double" w:sz="6" w:space="0" w:color="203764"/>
              <w:right w:val="double" w:sz="6" w:space="0" w:color="203764"/>
            </w:tcBorders>
            <w:shd w:val="clear" w:color="auto" w:fill="auto"/>
            <w:noWrap/>
            <w:vAlign w:val="center"/>
            <w:hideMark/>
          </w:tcPr>
          <w:p w14:paraId="5FFDB0FB"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c>
          <w:tcPr>
            <w:tcW w:w="1060" w:type="dxa"/>
            <w:tcBorders>
              <w:top w:val="nil"/>
              <w:left w:val="nil"/>
              <w:bottom w:val="double" w:sz="6" w:space="0" w:color="203764"/>
              <w:right w:val="double" w:sz="6" w:space="0" w:color="203764"/>
            </w:tcBorders>
            <w:shd w:val="clear" w:color="auto" w:fill="auto"/>
            <w:noWrap/>
            <w:vAlign w:val="center"/>
            <w:hideMark/>
          </w:tcPr>
          <w:p w14:paraId="227B6EF8"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2,2%</w:t>
            </w:r>
          </w:p>
        </w:tc>
        <w:tc>
          <w:tcPr>
            <w:tcW w:w="1060" w:type="dxa"/>
            <w:tcBorders>
              <w:top w:val="nil"/>
              <w:left w:val="nil"/>
              <w:bottom w:val="double" w:sz="6" w:space="0" w:color="203764"/>
              <w:right w:val="double" w:sz="6" w:space="0" w:color="203764"/>
            </w:tcBorders>
            <w:shd w:val="clear" w:color="auto" w:fill="auto"/>
            <w:noWrap/>
            <w:vAlign w:val="center"/>
            <w:hideMark/>
          </w:tcPr>
          <w:p w14:paraId="745CD524"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36</w:t>
            </w:r>
          </w:p>
        </w:tc>
        <w:tc>
          <w:tcPr>
            <w:tcW w:w="1060" w:type="dxa"/>
            <w:tcBorders>
              <w:top w:val="nil"/>
              <w:left w:val="nil"/>
              <w:bottom w:val="double" w:sz="6" w:space="0" w:color="203764"/>
              <w:right w:val="double" w:sz="6" w:space="0" w:color="203764"/>
            </w:tcBorders>
            <w:shd w:val="clear" w:color="auto" w:fill="auto"/>
            <w:noWrap/>
            <w:vAlign w:val="center"/>
            <w:hideMark/>
          </w:tcPr>
          <w:p w14:paraId="2869B6FF"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2,4%</w:t>
            </w:r>
          </w:p>
        </w:tc>
      </w:tr>
      <w:tr w:rsidR="00CE55AB" w:rsidRPr="005149C4" w14:paraId="30BA4BB0"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1FE2E195"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5DF4DBAE"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Falta viabilidad probatoria</w:t>
            </w:r>
          </w:p>
        </w:tc>
        <w:tc>
          <w:tcPr>
            <w:tcW w:w="1673" w:type="dxa"/>
            <w:tcBorders>
              <w:top w:val="nil"/>
              <w:left w:val="nil"/>
              <w:bottom w:val="double" w:sz="6" w:space="0" w:color="203764"/>
              <w:right w:val="double" w:sz="6" w:space="0" w:color="203764"/>
            </w:tcBorders>
            <w:shd w:val="clear" w:color="auto" w:fill="auto"/>
            <w:noWrap/>
            <w:vAlign w:val="center"/>
            <w:hideMark/>
          </w:tcPr>
          <w:p w14:paraId="159C9827"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10</w:t>
            </w:r>
          </w:p>
        </w:tc>
        <w:tc>
          <w:tcPr>
            <w:tcW w:w="1060" w:type="dxa"/>
            <w:tcBorders>
              <w:top w:val="nil"/>
              <w:left w:val="nil"/>
              <w:bottom w:val="double" w:sz="6" w:space="0" w:color="203764"/>
              <w:right w:val="double" w:sz="6" w:space="0" w:color="203764"/>
            </w:tcBorders>
            <w:shd w:val="clear" w:color="auto" w:fill="auto"/>
            <w:noWrap/>
            <w:vAlign w:val="center"/>
            <w:hideMark/>
          </w:tcPr>
          <w:p w14:paraId="3385BFE6"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0,7%</w:t>
            </w:r>
          </w:p>
        </w:tc>
        <w:tc>
          <w:tcPr>
            <w:tcW w:w="1060" w:type="dxa"/>
            <w:tcBorders>
              <w:top w:val="nil"/>
              <w:left w:val="nil"/>
              <w:bottom w:val="double" w:sz="6" w:space="0" w:color="203764"/>
              <w:right w:val="double" w:sz="6" w:space="0" w:color="203764"/>
            </w:tcBorders>
            <w:shd w:val="clear" w:color="auto" w:fill="auto"/>
            <w:noWrap/>
            <w:vAlign w:val="center"/>
            <w:hideMark/>
          </w:tcPr>
          <w:p w14:paraId="2D1FA915"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8</w:t>
            </w:r>
          </w:p>
        </w:tc>
        <w:tc>
          <w:tcPr>
            <w:tcW w:w="1060" w:type="dxa"/>
            <w:tcBorders>
              <w:top w:val="nil"/>
              <w:left w:val="nil"/>
              <w:bottom w:val="double" w:sz="6" w:space="0" w:color="203764"/>
              <w:right w:val="double" w:sz="6" w:space="0" w:color="203764"/>
            </w:tcBorders>
            <w:shd w:val="clear" w:color="auto" w:fill="auto"/>
            <w:noWrap/>
            <w:vAlign w:val="center"/>
            <w:hideMark/>
          </w:tcPr>
          <w:p w14:paraId="32A64BE5"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0,5%</w:t>
            </w:r>
          </w:p>
        </w:tc>
      </w:tr>
      <w:tr w:rsidR="00CE55AB" w:rsidRPr="005149C4" w14:paraId="48B679EF"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75F65AF4"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070C2F71"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se presenta a cita persona imputada</w:t>
            </w:r>
          </w:p>
        </w:tc>
        <w:tc>
          <w:tcPr>
            <w:tcW w:w="1673" w:type="dxa"/>
            <w:tcBorders>
              <w:top w:val="nil"/>
              <w:left w:val="nil"/>
              <w:bottom w:val="double" w:sz="6" w:space="0" w:color="203764"/>
              <w:right w:val="double" w:sz="6" w:space="0" w:color="203764"/>
            </w:tcBorders>
            <w:shd w:val="clear" w:color="auto" w:fill="auto"/>
            <w:noWrap/>
            <w:vAlign w:val="center"/>
            <w:hideMark/>
          </w:tcPr>
          <w:p w14:paraId="7984ABA2"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26</w:t>
            </w:r>
          </w:p>
        </w:tc>
        <w:tc>
          <w:tcPr>
            <w:tcW w:w="1060" w:type="dxa"/>
            <w:tcBorders>
              <w:top w:val="nil"/>
              <w:left w:val="nil"/>
              <w:bottom w:val="double" w:sz="6" w:space="0" w:color="203764"/>
              <w:right w:val="double" w:sz="6" w:space="0" w:color="203764"/>
            </w:tcBorders>
            <w:shd w:val="clear" w:color="auto" w:fill="auto"/>
            <w:noWrap/>
            <w:vAlign w:val="center"/>
            <w:hideMark/>
          </w:tcPr>
          <w:p w14:paraId="71B95EC8"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1,9%</w:t>
            </w:r>
          </w:p>
        </w:tc>
        <w:tc>
          <w:tcPr>
            <w:tcW w:w="1060" w:type="dxa"/>
            <w:tcBorders>
              <w:top w:val="nil"/>
              <w:left w:val="nil"/>
              <w:bottom w:val="double" w:sz="6" w:space="0" w:color="203764"/>
              <w:right w:val="double" w:sz="6" w:space="0" w:color="203764"/>
            </w:tcBorders>
            <w:shd w:val="clear" w:color="auto" w:fill="auto"/>
            <w:noWrap/>
            <w:vAlign w:val="center"/>
            <w:hideMark/>
          </w:tcPr>
          <w:p w14:paraId="6F762573"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49</w:t>
            </w:r>
          </w:p>
        </w:tc>
        <w:tc>
          <w:tcPr>
            <w:tcW w:w="1060" w:type="dxa"/>
            <w:tcBorders>
              <w:top w:val="nil"/>
              <w:left w:val="nil"/>
              <w:bottom w:val="double" w:sz="6" w:space="0" w:color="203764"/>
              <w:right w:val="double" w:sz="6" w:space="0" w:color="203764"/>
            </w:tcBorders>
            <w:shd w:val="clear" w:color="auto" w:fill="auto"/>
            <w:noWrap/>
            <w:vAlign w:val="center"/>
            <w:hideMark/>
          </w:tcPr>
          <w:p w14:paraId="2287A44A"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w:t>
            </w:r>
          </w:p>
        </w:tc>
      </w:tr>
      <w:tr w:rsidR="00CE55AB" w:rsidRPr="005149C4" w14:paraId="6892A265"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1B709181"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488AC6DF"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acepta persona imputada</w:t>
            </w:r>
          </w:p>
        </w:tc>
        <w:tc>
          <w:tcPr>
            <w:tcW w:w="1673" w:type="dxa"/>
            <w:tcBorders>
              <w:top w:val="nil"/>
              <w:left w:val="nil"/>
              <w:bottom w:val="double" w:sz="6" w:space="0" w:color="203764"/>
              <w:right w:val="double" w:sz="6" w:space="0" w:color="203764"/>
            </w:tcBorders>
            <w:shd w:val="clear" w:color="auto" w:fill="auto"/>
            <w:noWrap/>
            <w:vAlign w:val="center"/>
            <w:hideMark/>
          </w:tcPr>
          <w:p w14:paraId="0EFC3E05"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49</w:t>
            </w:r>
          </w:p>
        </w:tc>
        <w:tc>
          <w:tcPr>
            <w:tcW w:w="1060" w:type="dxa"/>
            <w:tcBorders>
              <w:top w:val="nil"/>
              <w:left w:val="nil"/>
              <w:bottom w:val="double" w:sz="6" w:space="0" w:color="203764"/>
              <w:right w:val="double" w:sz="6" w:space="0" w:color="203764"/>
            </w:tcBorders>
            <w:shd w:val="clear" w:color="auto" w:fill="auto"/>
            <w:noWrap/>
            <w:vAlign w:val="center"/>
            <w:hideMark/>
          </w:tcPr>
          <w:p w14:paraId="7DE3F398"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3,6%</w:t>
            </w:r>
          </w:p>
        </w:tc>
        <w:tc>
          <w:tcPr>
            <w:tcW w:w="1060" w:type="dxa"/>
            <w:tcBorders>
              <w:top w:val="nil"/>
              <w:left w:val="nil"/>
              <w:bottom w:val="double" w:sz="6" w:space="0" w:color="203764"/>
              <w:right w:val="double" w:sz="6" w:space="0" w:color="203764"/>
            </w:tcBorders>
            <w:shd w:val="clear" w:color="auto" w:fill="auto"/>
            <w:noWrap/>
            <w:vAlign w:val="center"/>
            <w:hideMark/>
          </w:tcPr>
          <w:p w14:paraId="2D050DC0"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85</w:t>
            </w:r>
          </w:p>
        </w:tc>
        <w:tc>
          <w:tcPr>
            <w:tcW w:w="1060" w:type="dxa"/>
            <w:tcBorders>
              <w:top w:val="nil"/>
              <w:left w:val="nil"/>
              <w:bottom w:val="double" w:sz="6" w:space="0" w:color="203764"/>
              <w:right w:val="double" w:sz="6" w:space="0" w:color="203764"/>
            </w:tcBorders>
            <w:shd w:val="clear" w:color="auto" w:fill="auto"/>
            <w:noWrap/>
            <w:vAlign w:val="center"/>
            <w:hideMark/>
          </w:tcPr>
          <w:p w14:paraId="35ED383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5,6%</w:t>
            </w:r>
          </w:p>
        </w:tc>
      </w:tr>
      <w:tr w:rsidR="00CE55AB" w:rsidRPr="005149C4" w14:paraId="7059CE74"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5C6CE5AA"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58B396F4"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acepta victima</w:t>
            </w:r>
          </w:p>
        </w:tc>
        <w:tc>
          <w:tcPr>
            <w:tcW w:w="1673" w:type="dxa"/>
            <w:tcBorders>
              <w:top w:val="nil"/>
              <w:left w:val="nil"/>
              <w:bottom w:val="double" w:sz="6" w:space="0" w:color="203764"/>
              <w:right w:val="double" w:sz="6" w:space="0" w:color="203764"/>
            </w:tcBorders>
            <w:shd w:val="clear" w:color="auto" w:fill="auto"/>
            <w:noWrap/>
            <w:vAlign w:val="center"/>
            <w:hideMark/>
          </w:tcPr>
          <w:p w14:paraId="7CB2F391"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98</w:t>
            </w:r>
          </w:p>
        </w:tc>
        <w:tc>
          <w:tcPr>
            <w:tcW w:w="1060" w:type="dxa"/>
            <w:tcBorders>
              <w:top w:val="nil"/>
              <w:left w:val="nil"/>
              <w:bottom w:val="double" w:sz="6" w:space="0" w:color="203764"/>
              <w:right w:val="double" w:sz="6" w:space="0" w:color="203764"/>
            </w:tcBorders>
            <w:shd w:val="clear" w:color="auto" w:fill="auto"/>
            <w:noWrap/>
            <w:vAlign w:val="center"/>
            <w:hideMark/>
          </w:tcPr>
          <w:p w14:paraId="7836F536"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7,2%</w:t>
            </w:r>
          </w:p>
        </w:tc>
        <w:tc>
          <w:tcPr>
            <w:tcW w:w="1060" w:type="dxa"/>
            <w:tcBorders>
              <w:top w:val="nil"/>
              <w:left w:val="nil"/>
              <w:bottom w:val="double" w:sz="6" w:space="0" w:color="203764"/>
              <w:right w:val="double" w:sz="6" w:space="0" w:color="203764"/>
            </w:tcBorders>
            <w:shd w:val="clear" w:color="auto" w:fill="auto"/>
            <w:noWrap/>
            <w:vAlign w:val="center"/>
            <w:hideMark/>
          </w:tcPr>
          <w:p w14:paraId="6F6A1C6A"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75</w:t>
            </w:r>
          </w:p>
        </w:tc>
        <w:tc>
          <w:tcPr>
            <w:tcW w:w="1060" w:type="dxa"/>
            <w:tcBorders>
              <w:top w:val="nil"/>
              <w:left w:val="nil"/>
              <w:bottom w:val="double" w:sz="6" w:space="0" w:color="203764"/>
              <w:right w:val="double" w:sz="6" w:space="0" w:color="203764"/>
            </w:tcBorders>
            <w:shd w:val="clear" w:color="auto" w:fill="auto"/>
            <w:noWrap/>
            <w:vAlign w:val="center"/>
            <w:hideMark/>
          </w:tcPr>
          <w:p w14:paraId="54D0FBD4"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5,0%</w:t>
            </w:r>
          </w:p>
        </w:tc>
      </w:tr>
      <w:tr w:rsidR="00CE55AB" w:rsidRPr="005149C4" w14:paraId="319E9292"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40521B32"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28EA2C1A"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se logró ubicar a imputado/a</w:t>
            </w:r>
          </w:p>
        </w:tc>
        <w:tc>
          <w:tcPr>
            <w:tcW w:w="1673" w:type="dxa"/>
            <w:tcBorders>
              <w:top w:val="nil"/>
              <w:left w:val="nil"/>
              <w:bottom w:val="double" w:sz="6" w:space="0" w:color="203764"/>
              <w:right w:val="double" w:sz="6" w:space="0" w:color="203764"/>
            </w:tcBorders>
            <w:shd w:val="clear" w:color="auto" w:fill="auto"/>
            <w:noWrap/>
            <w:vAlign w:val="center"/>
            <w:hideMark/>
          </w:tcPr>
          <w:p w14:paraId="3AAA9A3E"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26</w:t>
            </w:r>
          </w:p>
        </w:tc>
        <w:tc>
          <w:tcPr>
            <w:tcW w:w="1060" w:type="dxa"/>
            <w:tcBorders>
              <w:top w:val="nil"/>
              <w:left w:val="nil"/>
              <w:bottom w:val="double" w:sz="6" w:space="0" w:color="203764"/>
              <w:right w:val="double" w:sz="6" w:space="0" w:color="203764"/>
            </w:tcBorders>
            <w:shd w:val="clear" w:color="auto" w:fill="auto"/>
            <w:noWrap/>
            <w:vAlign w:val="center"/>
            <w:hideMark/>
          </w:tcPr>
          <w:p w14:paraId="3DEC0A3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1,9%</w:t>
            </w:r>
          </w:p>
        </w:tc>
        <w:tc>
          <w:tcPr>
            <w:tcW w:w="1060" w:type="dxa"/>
            <w:tcBorders>
              <w:top w:val="nil"/>
              <w:left w:val="nil"/>
              <w:bottom w:val="double" w:sz="6" w:space="0" w:color="203764"/>
              <w:right w:val="double" w:sz="6" w:space="0" w:color="203764"/>
            </w:tcBorders>
            <w:shd w:val="clear" w:color="auto" w:fill="auto"/>
            <w:noWrap/>
            <w:vAlign w:val="center"/>
            <w:hideMark/>
          </w:tcPr>
          <w:p w14:paraId="2351146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76</w:t>
            </w:r>
          </w:p>
        </w:tc>
        <w:tc>
          <w:tcPr>
            <w:tcW w:w="1060" w:type="dxa"/>
            <w:tcBorders>
              <w:top w:val="nil"/>
              <w:left w:val="nil"/>
              <w:bottom w:val="double" w:sz="6" w:space="0" w:color="203764"/>
              <w:right w:val="double" w:sz="6" w:space="0" w:color="203764"/>
            </w:tcBorders>
            <w:shd w:val="clear" w:color="auto" w:fill="auto"/>
            <w:noWrap/>
            <w:vAlign w:val="center"/>
            <w:hideMark/>
          </w:tcPr>
          <w:p w14:paraId="7888C29A"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5,0%</w:t>
            </w:r>
          </w:p>
        </w:tc>
      </w:tr>
      <w:tr w:rsidR="00CE55AB" w:rsidRPr="005149C4" w14:paraId="4595EB4C"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2B69B1FF"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10DE5E01"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se logró ubicar a ofendido/a</w:t>
            </w:r>
          </w:p>
        </w:tc>
        <w:tc>
          <w:tcPr>
            <w:tcW w:w="1673" w:type="dxa"/>
            <w:tcBorders>
              <w:top w:val="nil"/>
              <w:left w:val="nil"/>
              <w:bottom w:val="double" w:sz="6" w:space="0" w:color="203764"/>
              <w:right w:val="double" w:sz="6" w:space="0" w:color="203764"/>
            </w:tcBorders>
            <w:shd w:val="clear" w:color="auto" w:fill="auto"/>
            <w:noWrap/>
            <w:vAlign w:val="center"/>
            <w:hideMark/>
          </w:tcPr>
          <w:p w14:paraId="3DC90216"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29</w:t>
            </w:r>
          </w:p>
        </w:tc>
        <w:tc>
          <w:tcPr>
            <w:tcW w:w="1060" w:type="dxa"/>
            <w:tcBorders>
              <w:top w:val="nil"/>
              <w:left w:val="nil"/>
              <w:bottom w:val="double" w:sz="6" w:space="0" w:color="203764"/>
              <w:right w:val="double" w:sz="6" w:space="0" w:color="203764"/>
            </w:tcBorders>
            <w:shd w:val="clear" w:color="auto" w:fill="auto"/>
            <w:noWrap/>
            <w:vAlign w:val="center"/>
            <w:hideMark/>
          </w:tcPr>
          <w:p w14:paraId="6361E8E5"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2,1%</w:t>
            </w:r>
          </w:p>
        </w:tc>
        <w:tc>
          <w:tcPr>
            <w:tcW w:w="1060" w:type="dxa"/>
            <w:tcBorders>
              <w:top w:val="nil"/>
              <w:left w:val="nil"/>
              <w:bottom w:val="double" w:sz="6" w:space="0" w:color="203764"/>
              <w:right w:val="double" w:sz="6" w:space="0" w:color="203764"/>
            </w:tcBorders>
            <w:shd w:val="clear" w:color="auto" w:fill="auto"/>
            <w:noWrap/>
            <w:vAlign w:val="center"/>
            <w:hideMark/>
          </w:tcPr>
          <w:p w14:paraId="3E309067"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35</w:t>
            </w:r>
          </w:p>
        </w:tc>
        <w:tc>
          <w:tcPr>
            <w:tcW w:w="1060" w:type="dxa"/>
            <w:tcBorders>
              <w:top w:val="nil"/>
              <w:left w:val="nil"/>
              <w:bottom w:val="double" w:sz="6" w:space="0" w:color="203764"/>
              <w:right w:val="double" w:sz="6" w:space="0" w:color="203764"/>
            </w:tcBorders>
            <w:shd w:val="clear" w:color="auto" w:fill="auto"/>
            <w:noWrap/>
            <w:vAlign w:val="center"/>
            <w:hideMark/>
          </w:tcPr>
          <w:p w14:paraId="682098E1"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2,3%</w:t>
            </w:r>
          </w:p>
        </w:tc>
      </w:tr>
      <w:tr w:rsidR="00CE55AB" w:rsidRPr="005149C4" w14:paraId="37FC59F2"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23708A3E"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2F7438E0"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cumple con los requisitos de admisibilidad</w:t>
            </w:r>
          </w:p>
        </w:tc>
        <w:tc>
          <w:tcPr>
            <w:tcW w:w="1673" w:type="dxa"/>
            <w:tcBorders>
              <w:top w:val="nil"/>
              <w:left w:val="nil"/>
              <w:bottom w:val="double" w:sz="6" w:space="0" w:color="203764"/>
              <w:right w:val="double" w:sz="6" w:space="0" w:color="203764"/>
            </w:tcBorders>
            <w:shd w:val="clear" w:color="auto" w:fill="auto"/>
            <w:noWrap/>
            <w:vAlign w:val="center"/>
            <w:hideMark/>
          </w:tcPr>
          <w:p w14:paraId="18B6C6BD"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283</w:t>
            </w:r>
          </w:p>
        </w:tc>
        <w:tc>
          <w:tcPr>
            <w:tcW w:w="1060" w:type="dxa"/>
            <w:tcBorders>
              <w:top w:val="nil"/>
              <w:left w:val="nil"/>
              <w:bottom w:val="double" w:sz="6" w:space="0" w:color="203764"/>
              <w:right w:val="double" w:sz="6" w:space="0" w:color="203764"/>
            </w:tcBorders>
            <w:shd w:val="clear" w:color="auto" w:fill="auto"/>
            <w:noWrap/>
            <w:vAlign w:val="center"/>
            <w:hideMark/>
          </w:tcPr>
          <w:p w14:paraId="36F30093"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20,7%</w:t>
            </w:r>
          </w:p>
        </w:tc>
        <w:tc>
          <w:tcPr>
            <w:tcW w:w="1060" w:type="dxa"/>
            <w:tcBorders>
              <w:top w:val="nil"/>
              <w:left w:val="nil"/>
              <w:bottom w:val="double" w:sz="6" w:space="0" w:color="203764"/>
              <w:right w:val="double" w:sz="6" w:space="0" w:color="203764"/>
            </w:tcBorders>
            <w:shd w:val="clear" w:color="auto" w:fill="auto"/>
            <w:noWrap/>
            <w:vAlign w:val="center"/>
            <w:hideMark/>
          </w:tcPr>
          <w:p w14:paraId="2369DEEC"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286</w:t>
            </w:r>
          </w:p>
        </w:tc>
        <w:tc>
          <w:tcPr>
            <w:tcW w:w="1060" w:type="dxa"/>
            <w:tcBorders>
              <w:top w:val="nil"/>
              <w:left w:val="nil"/>
              <w:bottom w:val="double" w:sz="6" w:space="0" w:color="203764"/>
              <w:right w:val="double" w:sz="6" w:space="0" w:color="203764"/>
            </w:tcBorders>
            <w:shd w:val="clear" w:color="auto" w:fill="auto"/>
            <w:noWrap/>
            <w:vAlign w:val="center"/>
            <w:hideMark/>
          </w:tcPr>
          <w:p w14:paraId="2F99BD35"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18,9%</w:t>
            </w:r>
          </w:p>
        </w:tc>
      </w:tr>
      <w:tr w:rsidR="00CE55AB" w:rsidRPr="005149C4" w14:paraId="5AAD174E" w14:textId="77777777" w:rsidTr="00534DAF">
        <w:trPr>
          <w:trHeight w:val="330"/>
          <w:jc w:val="center"/>
        </w:trPr>
        <w:tc>
          <w:tcPr>
            <w:tcW w:w="1395"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67135B86"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Defensa </w:t>
            </w:r>
          </w:p>
        </w:tc>
        <w:tc>
          <w:tcPr>
            <w:tcW w:w="3827" w:type="dxa"/>
            <w:tcBorders>
              <w:top w:val="nil"/>
              <w:left w:val="nil"/>
              <w:bottom w:val="double" w:sz="6" w:space="0" w:color="203764"/>
              <w:right w:val="double" w:sz="6" w:space="0" w:color="203764"/>
            </w:tcBorders>
            <w:shd w:val="clear" w:color="auto" w:fill="auto"/>
            <w:noWrap/>
            <w:vAlign w:val="center"/>
            <w:hideMark/>
          </w:tcPr>
          <w:p w14:paraId="6CAB0FE0"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Ausencia de prueba determinante</w:t>
            </w:r>
          </w:p>
        </w:tc>
        <w:tc>
          <w:tcPr>
            <w:tcW w:w="1673" w:type="dxa"/>
            <w:tcBorders>
              <w:top w:val="nil"/>
              <w:left w:val="nil"/>
              <w:bottom w:val="double" w:sz="6" w:space="0" w:color="203764"/>
              <w:right w:val="double" w:sz="6" w:space="0" w:color="203764"/>
            </w:tcBorders>
            <w:shd w:val="clear" w:color="auto" w:fill="auto"/>
            <w:noWrap/>
            <w:vAlign w:val="center"/>
            <w:hideMark/>
          </w:tcPr>
          <w:p w14:paraId="798CE94D"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20</w:t>
            </w:r>
          </w:p>
        </w:tc>
        <w:tc>
          <w:tcPr>
            <w:tcW w:w="1060" w:type="dxa"/>
            <w:tcBorders>
              <w:top w:val="nil"/>
              <w:left w:val="nil"/>
              <w:bottom w:val="double" w:sz="6" w:space="0" w:color="203764"/>
              <w:right w:val="double" w:sz="6" w:space="0" w:color="203764"/>
            </w:tcBorders>
            <w:shd w:val="clear" w:color="auto" w:fill="auto"/>
            <w:noWrap/>
            <w:vAlign w:val="center"/>
            <w:hideMark/>
          </w:tcPr>
          <w:p w14:paraId="2DDF2297"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1,5%</w:t>
            </w:r>
          </w:p>
        </w:tc>
        <w:tc>
          <w:tcPr>
            <w:tcW w:w="1060" w:type="dxa"/>
            <w:tcBorders>
              <w:top w:val="nil"/>
              <w:left w:val="nil"/>
              <w:bottom w:val="double" w:sz="6" w:space="0" w:color="203764"/>
              <w:right w:val="double" w:sz="6" w:space="0" w:color="203764"/>
            </w:tcBorders>
            <w:shd w:val="clear" w:color="auto" w:fill="auto"/>
            <w:noWrap/>
            <w:vAlign w:val="center"/>
            <w:hideMark/>
          </w:tcPr>
          <w:p w14:paraId="643EB8D2"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6</w:t>
            </w:r>
          </w:p>
        </w:tc>
        <w:tc>
          <w:tcPr>
            <w:tcW w:w="1060" w:type="dxa"/>
            <w:tcBorders>
              <w:top w:val="nil"/>
              <w:left w:val="nil"/>
              <w:bottom w:val="double" w:sz="6" w:space="0" w:color="203764"/>
              <w:right w:val="double" w:sz="6" w:space="0" w:color="203764"/>
            </w:tcBorders>
            <w:shd w:val="clear" w:color="auto" w:fill="auto"/>
            <w:noWrap/>
            <w:vAlign w:val="center"/>
            <w:hideMark/>
          </w:tcPr>
          <w:p w14:paraId="55453272"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0,4%</w:t>
            </w:r>
          </w:p>
        </w:tc>
      </w:tr>
      <w:tr w:rsidR="00CE55AB" w:rsidRPr="005149C4" w14:paraId="1ED6CA34"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3D63E7A6"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3CBA9CC1"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No se logró ubicar imputado/a</w:t>
            </w:r>
          </w:p>
        </w:tc>
        <w:tc>
          <w:tcPr>
            <w:tcW w:w="1673" w:type="dxa"/>
            <w:tcBorders>
              <w:top w:val="nil"/>
              <w:left w:val="nil"/>
              <w:bottom w:val="double" w:sz="6" w:space="0" w:color="203764"/>
              <w:right w:val="double" w:sz="6" w:space="0" w:color="203764"/>
            </w:tcBorders>
            <w:shd w:val="clear" w:color="auto" w:fill="auto"/>
            <w:noWrap/>
            <w:vAlign w:val="center"/>
            <w:hideMark/>
          </w:tcPr>
          <w:p w14:paraId="5E1C5C9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182</w:t>
            </w:r>
          </w:p>
        </w:tc>
        <w:tc>
          <w:tcPr>
            <w:tcW w:w="1060" w:type="dxa"/>
            <w:tcBorders>
              <w:top w:val="nil"/>
              <w:left w:val="nil"/>
              <w:bottom w:val="double" w:sz="6" w:space="0" w:color="203764"/>
              <w:right w:val="double" w:sz="6" w:space="0" w:color="203764"/>
            </w:tcBorders>
            <w:shd w:val="clear" w:color="auto" w:fill="auto"/>
            <w:noWrap/>
            <w:vAlign w:val="center"/>
            <w:hideMark/>
          </w:tcPr>
          <w:p w14:paraId="0119342D"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13,3%</w:t>
            </w:r>
          </w:p>
        </w:tc>
        <w:tc>
          <w:tcPr>
            <w:tcW w:w="1060" w:type="dxa"/>
            <w:tcBorders>
              <w:top w:val="nil"/>
              <w:left w:val="nil"/>
              <w:bottom w:val="double" w:sz="6" w:space="0" w:color="203764"/>
              <w:right w:val="double" w:sz="6" w:space="0" w:color="203764"/>
            </w:tcBorders>
            <w:shd w:val="clear" w:color="auto" w:fill="auto"/>
            <w:noWrap/>
            <w:vAlign w:val="center"/>
            <w:hideMark/>
          </w:tcPr>
          <w:p w14:paraId="3EF3469D"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164</w:t>
            </w:r>
          </w:p>
        </w:tc>
        <w:tc>
          <w:tcPr>
            <w:tcW w:w="1060" w:type="dxa"/>
            <w:tcBorders>
              <w:top w:val="nil"/>
              <w:left w:val="nil"/>
              <w:bottom w:val="double" w:sz="6" w:space="0" w:color="203764"/>
              <w:right w:val="double" w:sz="6" w:space="0" w:color="203764"/>
            </w:tcBorders>
            <w:shd w:val="clear" w:color="auto" w:fill="auto"/>
            <w:noWrap/>
            <w:vAlign w:val="center"/>
            <w:hideMark/>
          </w:tcPr>
          <w:p w14:paraId="15E8CB95"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10,8%</w:t>
            </w:r>
          </w:p>
        </w:tc>
      </w:tr>
      <w:tr w:rsidR="00CE55AB" w:rsidRPr="005149C4" w14:paraId="5C48B96E"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3117F3C6"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7EEFC652"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Pers. imputada no se apersonó a la cita</w:t>
            </w:r>
          </w:p>
        </w:tc>
        <w:tc>
          <w:tcPr>
            <w:tcW w:w="1673" w:type="dxa"/>
            <w:tcBorders>
              <w:top w:val="nil"/>
              <w:left w:val="nil"/>
              <w:bottom w:val="double" w:sz="6" w:space="0" w:color="203764"/>
              <w:right w:val="double" w:sz="6" w:space="0" w:color="203764"/>
            </w:tcBorders>
            <w:shd w:val="clear" w:color="auto" w:fill="auto"/>
            <w:noWrap/>
            <w:vAlign w:val="center"/>
            <w:hideMark/>
          </w:tcPr>
          <w:p w14:paraId="4F983E5C"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78</w:t>
            </w:r>
          </w:p>
        </w:tc>
        <w:tc>
          <w:tcPr>
            <w:tcW w:w="1060" w:type="dxa"/>
            <w:tcBorders>
              <w:top w:val="nil"/>
              <w:left w:val="nil"/>
              <w:bottom w:val="double" w:sz="6" w:space="0" w:color="203764"/>
              <w:right w:val="double" w:sz="6" w:space="0" w:color="203764"/>
            </w:tcBorders>
            <w:shd w:val="clear" w:color="auto" w:fill="auto"/>
            <w:noWrap/>
            <w:vAlign w:val="center"/>
            <w:hideMark/>
          </w:tcPr>
          <w:p w14:paraId="1E9D31F4"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5,7%</w:t>
            </w:r>
          </w:p>
        </w:tc>
        <w:tc>
          <w:tcPr>
            <w:tcW w:w="1060" w:type="dxa"/>
            <w:tcBorders>
              <w:top w:val="nil"/>
              <w:left w:val="nil"/>
              <w:bottom w:val="double" w:sz="6" w:space="0" w:color="203764"/>
              <w:right w:val="double" w:sz="6" w:space="0" w:color="203764"/>
            </w:tcBorders>
            <w:shd w:val="clear" w:color="auto" w:fill="auto"/>
            <w:noWrap/>
            <w:vAlign w:val="center"/>
            <w:hideMark/>
          </w:tcPr>
          <w:p w14:paraId="0F923203"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98</w:t>
            </w:r>
          </w:p>
        </w:tc>
        <w:tc>
          <w:tcPr>
            <w:tcW w:w="1060" w:type="dxa"/>
            <w:tcBorders>
              <w:top w:val="nil"/>
              <w:left w:val="nil"/>
              <w:bottom w:val="double" w:sz="6" w:space="0" w:color="203764"/>
              <w:right w:val="double" w:sz="6" w:space="0" w:color="203764"/>
            </w:tcBorders>
            <w:shd w:val="clear" w:color="auto" w:fill="auto"/>
            <w:noWrap/>
            <w:vAlign w:val="center"/>
            <w:hideMark/>
          </w:tcPr>
          <w:p w14:paraId="769564CB"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6,5%</w:t>
            </w:r>
          </w:p>
        </w:tc>
      </w:tr>
      <w:tr w:rsidR="00CE55AB" w:rsidRPr="005149C4" w14:paraId="40248DDC"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6CFE8A33"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7C08AD2D"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Pers. imputada no se acoge al programa</w:t>
            </w:r>
          </w:p>
        </w:tc>
        <w:tc>
          <w:tcPr>
            <w:tcW w:w="1673" w:type="dxa"/>
            <w:tcBorders>
              <w:top w:val="nil"/>
              <w:left w:val="nil"/>
              <w:bottom w:val="double" w:sz="6" w:space="0" w:color="203764"/>
              <w:right w:val="double" w:sz="6" w:space="0" w:color="203764"/>
            </w:tcBorders>
            <w:shd w:val="clear" w:color="auto" w:fill="auto"/>
            <w:noWrap/>
            <w:vAlign w:val="center"/>
            <w:hideMark/>
          </w:tcPr>
          <w:p w14:paraId="73E891DA"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320</w:t>
            </w:r>
          </w:p>
        </w:tc>
        <w:tc>
          <w:tcPr>
            <w:tcW w:w="1060" w:type="dxa"/>
            <w:tcBorders>
              <w:top w:val="nil"/>
              <w:left w:val="nil"/>
              <w:bottom w:val="double" w:sz="6" w:space="0" w:color="203764"/>
              <w:right w:val="double" w:sz="6" w:space="0" w:color="203764"/>
            </w:tcBorders>
            <w:shd w:val="clear" w:color="auto" w:fill="auto"/>
            <w:noWrap/>
            <w:vAlign w:val="center"/>
            <w:hideMark/>
          </w:tcPr>
          <w:p w14:paraId="3C3057CC"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23,4%</w:t>
            </w:r>
          </w:p>
        </w:tc>
        <w:tc>
          <w:tcPr>
            <w:tcW w:w="1060" w:type="dxa"/>
            <w:tcBorders>
              <w:top w:val="nil"/>
              <w:left w:val="nil"/>
              <w:bottom w:val="double" w:sz="6" w:space="0" w:color="203764"/>
              <w:right w:val="double" w:sz="6" w:space="0" w:color="203764"/>
            </w:tcBorders>
            <w:shd w:val="clear" w:color="auto" w:fill="auto"/>
            <w:noWrap/>
            <w:vAlign w:val="center"/>
            <w:hideMark/>
          </w:tcPr>
          <w:p w14:paraId="25A513D7"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400</w:t>
            </w:r>
          </w:p>
        </w:tc>
        <w:tc>
          <w:tcPr>
            <w:tcW w:w="1060" w:type="dxa"/>
            <w:tcBorders>
              <w:top w:val="nil"/>
              <w:left w:val="nil"/>
              <w:bottom w:val="double" w:sz="6" w:space="0" w:color="203764"/>
              <w:right w:val="double" w:sz="6" w:space="0" w:color="203764"/>
            </w:tcBorders>
            <w:shd w:val="clear" w:color="auto" w:fill="auto"/>
            <w:noWrap/>
            <w:vAlign w:val="center"/>
            <w:hideMark/>
          </w:tcPr>
          <w:p w14:paraId="48F6D3B4"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26,4%</w:t>
            </w:r>
          </w:p>
        </w:tc>
      </w:tr>
      <w:tr w:rsidR="00CE55AB" w:rsidRPr="005149C4" w14:paraId="2F77CCFE" w14:textId="77777777" w:rsidTr="00534DAF">
        <w:trPr>
          <w:trHeight w:val="330"/>
          <w:jc w:val="center"/>
        </w:trPr>
        <w:tc>
          <w:tcPr>
            <w:tcW w:w="1395" w:type="dxa"/>
            <w:vMerge/>
            <w:tcBorders>
              <w:top w:val="nil"/>
              <w:left w:val="double" w:sz="6" w:space="0" w:color="203764"/>
              <w:bottom w:val="double" w:sz="6" w:space="0" w:color="203764"/>
              <w:right w:val="double" w:sz="6" w:space="0" w:color="203764"/>
            </w:tcBorders>
            <w:vAlign w:val="center"/>
            <w:hideMark/>
          </w:tcPr>
          <w:p w14:paraId="55631939" w14:textId="77777777" w:rsidR="00CE55AB" w:rsidRPr="005149C4" w:rsidRDefault="00CE55AB" w:rsidP="00CE55AB">
            <w:pPr>
              <w:spacing w:before="0" w:after="0" w:line="240" w:lineRule="auto"/>
              <w:jc w:val="left"/>
              <w:rPr>
                <w:rFonts w:eastAsia="Times New Roman" w:cs="Calibri"/>
                <w:color w:val="000000"/>
                <w:sz w:val="20"/>
                <w:szCs w:val="20"/>
                <w:lang w:eastAsia="es-CR"/>
              </w:rPr>
            </w:pPr>
          </w:p>
        </w:tc>
        <w:tc>
          <w:tcPr>
            <w:tcW w:w="3827" w:type="dxa"/>
            <w:tcBorders>
              <w:top w:val="nil"/>
              <w:left w:val="nil"/>
              <w:bottom w:val="double" w:sz="6" w:space="0" w:color="203764"/>
              <w:right w:val="double" w:sz="6" w:space="0" w:color="203764"/>
            </w:tcBorders>
            <w:shd w:val="clear" w:color="auto" w:fill="auto"/>
            <w:noWrap/>
            <w:vAlign w:val="center"/>
            <w:hideMark/>
          </w:tcPr>
          <w:p w14:paraId="55CB738D"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Por estrategia de la defensa pública</w:t>
            </w:r>
          </w:p>
        </w:tc>
        <w:tc>
          <w:tcPr>
            <w:tcW w:w="1673" w:type="dxa"/>
            <w:tcBorders>
              <w:top w:val="nil"/>
              <w:left w:val="nil"/>
              <w:bottom w:val="double" w:sz="6" w:space="0" w:color="203764"/>
              <w:right w:val="double" w:sz="6" w:space="0" w:color="203764"/>
            </w:tcBorders>
            <w:shd w:val="clear" w:color="auto" w:fill="auto"/>
            <w:noWrap/>
            <w:vAlign w:val="center"/>
            <w:hideMark/>
          </w:tcPr>
          <w:p w14:paraId="791CCBE0"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162</w:t>
            </w:r>
          </w:p>
        </w:tc>
        <w:tc>
          <w:tcPr>
            <w:tcW w:w="1060" w:type="dxa"/>
            <w:tcBorders>
              <w:top w:val="nil"/>
              <w:left w:val="nil"/>
              <w:bottom w:val="double" w:sz="6" w:space="0" w:color="203764"/>
              <w:right w:val="double" w:sz="6" w:space="0" w:color="203764"/>
            </w:tcBorders>
            <w:shd w:val="clear" w:color="auto" w:fill="auto"/>
            <w:noWrap/>
            <w:vAlign w:val="center"/>
            <w:hideMark/>
          </w:tcPr>
          <w:p w14:paraId="60C6408A"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11,9%</w:t>
            </w:r>
          </w:p>
        </w:tc>
        <w:tc>
          <w:tcPr>
            <w:tcW w:w="1060" w:type="dxa"/>
            <w:tcBorders>
              <w:top w:val="nil"/>
              <w:left w:val="nil"/>
              <w:bottom w:val="double" w:sz="6" w:space="0" w:color="203764"/>
              <w:right w:val="double" w:sz="6" w:space="0" w:color="203764"/>
            </w:tcBorders>
            <w:shd w:val="clear" w:color="auto" w:fill="auto"/>
            <w:noWrap/>
            <w:vAlign w:val="center"/>
            <w:hideMark/>
          </w:tcPr>
          <w:p w14:paraId="30A6EB30"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93</w:t>
            </w:r>
          </w:p>
        </w:tc>
        <w:tc>
          <w:tcPr>
            <w:tcW w:w="1060" w:type="dxa"/>
            <w:tcBorders>
              <w:top w:val="nil"/>
              <w:left w:val="nil"/>
              <w:bottom w:val="double" w:sz="6" w:space="0" w:color="203764"/>
              <w:right w:val="double" w:sz="6" w:space="0" w:color="203764"/>
            </w:tcBorders>
            <w:shd w:val="clear" w:color="auto" w:fill="auto"/>
            <w:noWrap/>
            <w:vAlign w:val="center"/>
            <w:hideMark/>
          </w:tcPr>
          <w:p w14:paraId="0E99705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6,1%</w:t>
            </w:r>
          </w:p>
        </w:tc>
      </w:tr>
      <w:tr w:rsidR="00CE55AB" w:rsidRPr="005149C4" w14:paraId="3D8CA2BE" w14:textId="77777777" w:rsidTr="00534DAF">
        <w:trPr>
          <w:trHeight w:val="1200"/>
          <w:jc w:val="center"/>
        </w:trPr>
        <w:tc>
          <w:tcPr>
            <w:tcW w:w="1395" w:type="dxa"/>
            <w:tcBorders>
              <w:top w:val="nil"/>
              <w:left w:val="double" w:sz="6" w:space="0" w:color="203764"/>
              <w:bottom w:val="double" w:sz="6" w:space="0" w:color="203764"/>
              <w:right w:val="double" w:sz="6" w:space="0" w:color="203764"/>
            </w:tcBorders>
            <w:shd w:val="clear" w:color="000000" w:fill="D9E1F2"/>
            <w:textDirection w:val="btLr"/>
            <w:vAlign w:val="center"/>
            <w:hideMark/>
          </w:tcPr>
          <w:p w14:paraId="21FFEAC4"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Dupla </w:t>
            </w:r>
            <w:r w:rsidRPr="005149C4">
              <w:rPr>
                <w:rFonts w:eastAsia="Times New Roman" w:cs="Calibri"/>
                <w:color w:val="000000"/>
                <w:sz w:val="20"/>
                <w:szCs w:val="20"/>
                <w:lang w:eastAsia="es-CR"/>
              </w:rPr>
              <w:br/>
              <w:t>Psicosocial</w:t>
            </w:r>
          </w:p>
        </w:tc>
        <w:tc>
          <w:tcPr>
            <w:tcW w:w="3827" w:type="dxa"/>
            <w:tcBorders>
              <w:top w:val="nil"/>
              <w:left w:val="nil"/>
              <w:bottom w:val="double" w:sz="6" w:space="0" w:color="203764"/>
              <w:right w:val="double" w:sz="6" w:space="0" w:color="203764"/>
            </w:tcBorders>
            <w:shd w:val="clear" w:color="auto" w:fill="auto"/>
            <w:noWrap/>
            <w:vAlign w:val="center"/>
            <w:hideMark/>
          </w:tcPr>
          <w:p w14:paraId="71DE2769"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 xml:space="preserve">   Por criterio técnico-psicosocial</w:t>
            </w:r>
          </w:p>
        </w:tc>
        <w:tc>
          <w:tcPr>
            <w:tcW w:w="1673" w:type="dxa"/>
            <w:tcBorders>
              <w:top w:val="nil"/>
              <w:left w:val="nil"/>
              <w:bottom w:val="double" w:sz="6" w:space="0" w:color="203764"/>
              <w:right w:val="double" w:sz="6" w:space="0" w:color="203764"/>
            </w:tcBorders>
            <w:shd w:val="clear" w:color="auto" w:fill="auto"/>
            <w:noWrap/>
            <w:vAlign w:val="center"/>
            <w:hideMark/>
          </w:tcPr>
          <w:p w14:paraId="729AC88C"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53</w:t>
            </w:r>
          </w:p>
        </w:tc>
        <w:tc>
          <w:tcPr>
            <w:tcW w:w="1060" w:type="dxa"/>
            <w:tcBorders>
              <w:top w:val="nil"/>
              <w:left w:val="nil"/>
              <w:bottom w:val="double" w:sz="6" w:space="0" w:color="203764"/>
              <w:right w:val="double" w:sz="6" w:space="0" w:color="203764"/>
            </w:tcBorders>
            <w:shd w:val="clear" w:color="auto" w:fill="auto"/>
            <w:noWrap/>
            <w:vAlign w:val="center"/>
            <w:hideMark/>
          </w:tcPr>
          <w:p w14:paraId="370CA828"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3,9%</w:t>
            </w:r>
          </w:p>
        </w:tc>
        <w:tc>
          <w:tcPr>
            <w:tcW w:w="1060" w:type="dxa"/>
            <w:tcBorders>
              <w:top w:val="nil"/>
              <w:left w:val="nil"/>
              <w:bottom w:val="double" w:sz="6" w:space="0" w:color="203764"/>
              <w:right w:val="double" w:sz="6" w:space="0" w:color="203764"/>
            </w:tcBorders>
            <w:shd w:val="clear" w:color="auto" w:fill="auto"/>
            <w:noWrap/>
            <w:vAlign w:val="center"/>
            <w:hideMark/>
          </w:tcPr>
          <w:p w14:paraId="7B9BE5C3"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102</w:t>
            </w:r>
          </w:p>
        </w:tc>
        <w:tc>
          <w:tcPr>
            <w:tcW w:w="1060" w:type="dxa"/>
            <w:tcBorders>
              <w:top w:val="nil"/>
              <w:left w:val="nil"/>
              <w:bottom w:val="double" w:sz="6" w:space="0" w:color="203764"/>
              <w:right w:val="double" w:sz="6" w:space="0" w:color="203764"/>
            </w:tcBorders>
            <w:shd w:val="clear" w:color="auto" w:fill="auto"/>
            <w:noWrap/>
            <w:vAlign w:val="center"/>
            <w:hideMark/>
          </w:tcPr>
          <w:p w14:paraId="26CA64E0" w14:textId="77777777" w:rsidR="00CE55AB" w:rsidRPr="005149C4" w:rsidRDefault="00CE55AB" w:rsidP="00CE55AB">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6,7%</w:t>
            </w:r>
          </w:p>
        </w:tc>
      </w:tr>
    </w:tbl>
    <w:p w14:paraId="1101DC23" w14:textId="3BDF066D" w:rsidR="008F23F1" w:rsidRPr="005149C4" w:rsidRDefault="009E67A6" w:rsidP="0077572F">
      <w:pPr>
        <w:spacing w:line="240" w:lineRule="auto"/>
        <w:jc w:val="left"/>
        <w:rPr>
          <w:sz w:val="20"/>
          <w:szCs w:val="18"/>
        </w:rPr>
      </w:pPr>
      <w:r w:rsidRPr="005149C4">
        <w:rPr>
          <w:b/>
          <w:bCs/>
          <w:sz w:val="20"/>
          <w:szCs w:val="18"/>
        </w:rPr>
        <w:t>Fuente:</w:t>
      </w:r>
      <w:r w:rsidRPr="005149C4">
        <w:rPr>
          <w:sz w:val="20"/>
          <w:szCs w:val="18"/>
        </w:rPr>
        <w:t xml:space="preserve"> </w:t>
      </w:r>
      <w:r w:rsidRPr="005149C4">
        <w:rPr>
          <w:rFonts w:cs="Calibri"/>
          <w:bCs/>
          <w:color w:val="000000"/>
          <w:sz w:val="20"/>
          <w:szCs w:val="20"/>
          <w:lang w:eastAsia="es-CR"/>
        </w:rPr>
        <w:t xml:space="preserve">Modernización Institucional a partir de la información de los anuarios judiciales suministrada por el </w:t>
      </w:r>
      <w:r w:rsidR="00CE55AB" w:rsidRPr="005149C4">
        <w:rPr>
          <w:rFonts w:cs="Calibri"/>
          <w:bCs/>
          <w:color w:val="000000"/>
          <w:sz w:val="20"/>
          <w:szCs w:val="20"/>
          <w:lang w:eastAsia="es-CR"/>
        </w:rPr>
        <w:t>Subproceso</w:t>
      </w:r>
      <w:r w:rsidRPr="005149C4">
        <w:rPr>
          <w:rFonts w:cs="Calibri"/>
          <w:bCs/>
          <w:color w:val="000000"/>
          <w:sz w:val="20"/>
          <w:szCs w:val="20"/>
          <w:lang w:eastAsia="es-CR"/>
        </w:rPr>
        <w:t xml:space="preserve"> de </w:t>
      </w:r>
      <w:r w:rsidR="00CE55AB" w:rsidRPr="005149C4">
        <w:rPr>
          <w:rFonts w:cs="Calibri"/>
          <w:bCs/>
          <w:color w:val="000000"/>
          <w:sz w:val="20"/>
          <w:szCs w:val="20"/>
          <w:lang w:eastAsia="es-CR"/>
        </w:rPr>
        <w:t>Estadística.</w:t>
      </w:r>
    </w:p>
    <w:p w14:paraId="175BEBCE" w14:textId="77777777" w:rsidR="00CE55AB" w:rsidRPr="005149C4" w:rsidRDefault="00CE55AB" w:rsidP="00E43B67">
      <w:pPr>
        <w:tabs>
          <w:tab w:val="left" w:pos="0"/>
        </w:tabs>
      </w:pPr>
    </w:p>
    <w:p w14:paraId="019571EE" w14:textId="65795AFD" w:rsidR="00E43B67" w:rsidRPr="005149C4" w:rsidRDefault="00E43B67" w:rsidP="00E43B67">
      <w:pPr>
        <w:tabs>
          <w:tab w:val="left" w:pos="0"/>
        </w:tabs>
      </w:pPr>
      <w:r w:rsidRPr="005149C4">
        <w:t xml:space="preserve">Para el </w:t>
      </w:r>
      <w:r w:rsidR="00071C68" w:rsidRPr="005149C4">
        <w:t xml:space="preserve">año </w:t>
      </w:r>
      <w:r w:rsidRPr="005149C4">
        <w:t>202</w:t>
      </w:r>
      <w:r w:rsidR="00A23F08" w:rsidRPr="005149C4">
        <w:t>2</w:t>
      </w:r>
      <w:r w:rsidRPr="005149C4">
        <w:t xml:space="preserve"> </w:t>
      </w:r>
      <w:r w:rsidR="00061992" w:rsidRPr="005149C4">
        <w:t xml:space="preserve">el motivo de devolución con mayor porcentaje </w:t>
      </w:r>
      <w:r w:rsidR="00FE1C5C" w:rsidRPr="005149C4">
        <w:t>corresponde a “No cumple con los requisitos de admisibilidad”, asociado al Ministerio público el cual cuenta con</w:t>
      </w:r>
      <w:r w:rsidRPr="005149C4">
        <w:t xml:space="preserve"> un </w:t>
      </w:r>
      <w:r w:rsidR="00A23F08" w:rsidRPr="005149C4">
        <w:t>18</w:t>
      </w:r>
      <w:r w:rsidRPr="005149C4">
        <w:t>.</w:t>
      </w:r>
      <w:r w:rsidR="00A23F08" w:rsidRPr="005149C4">
        <w:t>9</w:t>
      </w:r>
      <w:r w:rsidRPr="005149C4">
        <w:t xml:space="preserve">%, cantidad que </w:t>
      </w:r>
      <w:r w:rsidR="008E2B46" w:rsidRPr="005149C4">
        <w:t>disminuye</w:t>
      </w:r>
      <w:r w:rsidRPr="005149C4">
        <w:t xml:space="preserve"> en 1.</w:t>
      </w:r>
      <w:r w:rsidR="00A23F08" w:rsidRPr="005149C4">
        <w:t>8</w:t>
      </w:r>
      <w:r w:rsidRPr="005149C4">
        <w:t>%</w:t>
      </w:r>
      <w:r w:rsidR="000C1274" w:rsidRPr="005149C4">
        <w:t xml:space="preserve"> </w:t>
      </w:r>
      <w:r w:rsidR="008E2B46" w:rsidRPr="005149C4">
        <w:t>respecto al</w:t>
      </w:r>
      <w:r w:rsidR="000C1274" w:rsidRPr="005149C4">
        <w:t xml:space="preserve"> dato </w:t>
      </w:r>
      <w:r w:rsidR="008E2B46" w:rsidRPr="005149C4">
        <w:t>obtenido en</w:t>
      </w:r>
      <w:r w:rsidR="000C1274" w:rsidRPr="005149C4">
        <w:t xml:space="preserve"> 20</w:t>
      </w:r>
      <w:r w:rsidR="008E2B46" w:rsidRPr="005149C4">
        <w:t>2</w:t>
      </w:r>
      <w:r w:rsidR="00A23F08" w:rsidRPr="005149C4">
        <w:t>1</w:t>
      </w:r>
      <w:r w:rsidR="000C1274" w:rsidRPr="005149C4">
        <w:t>,</w:t>
      </w:r>
      <w:r w:rsidRPr="005149C4">
        <w:t xml:space="preserve"> lo que evidencia un</w:t>
      </w:r>
      <w:r w:rsidR="00BF702C" w:rsidRPr="005149C4">
        <w:t>a mejoría</w:t>
      </w:r>
      <w:r w:rsidR="000C1274" w:rsidRPr="005149C4">
        <w:t xml:space="preserve"> </w:t>
      </w:r>
      <w:r w:rsidRPr="005149C4">
        <w:t xml:space="preserve">en la metodología de evaluación que se usa para remitir los casos a Justicia Restaurativa; </w:t>
      </w:r>
      <w:r w:rsidR="00BF702C" w:rsidRPr="005149C4">
        <w:t xml:space="preserve">sin embargo es </w:t>
      </w:r>
      <w:r w:rsidRPr="005149C4">
        <w:t>importante</w:t>
      </w:r>
      <w:r w:rsidR="00BF702C" w:rsidRPr="005149C4">
        <w:t xml:space="preserve"> continuar</w:t>
      </w:r>
      <w:r w:rsidRPr="005149C4">
        <w:t xml:space="preserve"> trabaja</w:t>
      </w:r>
      <w:r w:rsidR="00BF702C" w:rsidRPr="005149C4">
        <w:t>ndo</w:t>
      </w:r>
      <w:r w:rsidRPr="005149C4">
        <w:t xml:space="preserve"> fuertemente en este tema para disminuir el ingreso de causas que no cuentan con las características para ser tramitadas a través de Justicia Restaurativa.</w:t>
      </w:r>
    </w:p>
    <w:p w14:paraId="09A9DE01" w14:textId="5AC5B3D0" w:rsidR="00E43B67" w:rsidRPr="005149C4" w:rsidRDefault="00E43B67" w:rsidP="00E43B67">
      <w:pPr>
        <w:tabs>
          <w:tab w:val="left" w:pos="0"/>
        </w:tabs>
      </w:pPr>
      <w:r w:rsidRPr="005149C4">
        <w:t xml:space="preserve">En el caso de del rubro </w:t>
      </w:r>
      <w:r w:rsidR="00E54439" w:rsidRPr="005149C4">
        <w:t>“Persona imputada no se acoge al programa”</w:t>
      </w:r>
      <w:r w:rsidRPr="005149C4">
        <w:t>, el porcentaje</w:t>
      </w:r>
      <w:r w:rsidR="000C1274" w:rsidRPr="005149C4">
        <w:t xml:space="preserve"> </w:t>
      </w:r>
      <w:r w:rsidR="00462483" w:rsidRPr="005149C4">
        <w:t>aumenta para el 2022</w:t>
      </w:r>
      <w:r w:rsidR="000C1274" w:rsidRPr="005149C4">
        <w:t>, en este caso en</w:t>
      </w:r>
      <w:r w:rsidRPr="005149C4">
        <w:t xml:space="preserve"> </w:t>
      </w:r>
      <w:r w:rsidR="00462483" w:rsidRPr="005149C4">
        <w:t>3</w:t>
      </w:r>
      <w:r w:rsidRPr="005149C4">
        <w:t>%</w:t>
      </w:r>
      <w:r w:rsidR="00462483" w:rsidRPr="005149C4">
        <w:t xml:space="preserve"> respecto al 2021</w:t>
      </w:r>
      <w:r w:rsidRPr="005149C4">
        <w:t xml:space="preserve">, </w:t>
      </w:r>
      <w:r w:rsidR="00E67531" w:rsidRPr="005149C4">
        <w:t>pero en este caso el</w:t>
      </w:r>
      <w:r w:rsidRPr="005149C4">
        <w:t xml:space="preserve"> rubro no depende directamente de las funciones propias de la oficina.</w:t>
      </w:r>
    </w:p>
    <w:p w14:paraId="4893B1C8" w14:textId="3F1AFE8B" w:rsidR="009E037B" w:rsidRPr="005149C4" w:rsidRDefault="009E037B" w:rsidP="009E037B">
      <w:pPr>
        <w:tabs>
          <w:tab w:val="left" w:pos="0"/>
        </w:tabs>
      </w:pPr>
      <w:r w:rsidRPr="005149C4">
        <w:t xml:space="preserve">Por otra parte, se presenta a continuación el detalle de la entrada por Circuito Judicial para Justicia Restaurativa considerando el </w:t>
      </w:r>
      <w:r w:rsidR="008F4A7E" w:rsidRPr="005149C4">
        <w:t>4</w:t>
      </w:r>
      <w:r w:rsidR="00804BEF" w:rsidRPr="005149C4">
        <w:t>0</w:t>
      </w:r>
      <w:r w:rsidRPr="005149C4">
        <w:t xml:space="preserve">% de devolución que fue identificado en el </w:t>
      </w:r>
      <w:r w:rsidRPr="005149C4">
        <w:fldChar w:fldCharType="begin"/>
      </w:r>
      <w:r w:rsidRPr="005149C4">
        <w:instrText xml:space="preserve"> REF _Ref63966934 \h  \* MERGEFORMAT </w:instrText>
      </w:r>
      <w:r w:rsidRPr="005149C4">
        <w:fldChar w:fldCharType="separate"/>
      </w:r>
      <w:r w:rsidR="00EC44E6" w:rsidRPr="005149C4">
        <w:t>Cuadro 8</w:t>
      </w:r>
      <w:r w:rsidRPr="005149C4">
        <w:fldChar w:fldCharType="end"/>
      </w:r>
      <w:r w:rsidRPr="005149C4">
        <w:t>, para esto se tomaron los datos estadísticos correspondientes al año 202</w:t>
      </w:r>
      <w:r w:rsidR="00462483" w:rsidRPr="005149C4">
        <w:t>2</w:t>
      </w:r>
      <w:r w:rsidRPr="005149C4">
        <w:t>.</w:t>
      </w:r>
    </w:p>
    <w:p w14:paraId="15B4BEF4" w14:textId="7CD61123" w:rsidR="00F0769C" w:rsidRPr="005149C4" w:rsidRDefault="00F0769C" w:rsidP="00F0769C">
      <w:pPr>
        <w:ind w:left="284" w:right="333"/>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10</w:t>
      </w:r>
      <w:r w:rsidRPr="005149C4">
        <w:rPr>
          <w:b/>
          <w:bCs/>
          <w:sz w:val="20"/>
          <w:szCs w:val="20"/>
        </w:rPr>
        <w:fldChar w:fldCharType="end"/>
      </w:r>
      <w:r w:rsidRPr="005149C4">
        <w:rPr>
          <w:b/>
          <w:bCs/>
          <w:sz w:val="20"/>
          <w:szCs w:val="20"/>
        </w:rPr>
        <w:t xml:space="preserve">. Entrada promedio mensual de Justicia Restaurativa por Circuito Judicial considerando la reducción del </w:t>
      </w:r>
      <w:r w:rsidR="00F54227" w:rsidRPr="005149C4">
        <w:rPr>
          <w:b/>
          <w:bCs/>
          <w:sz w:val="20"/>
          <w:szCs w:val="20"/>
        </w:rPr>
        <w:t>4</w:t>
      </w:r>
      <w:r w:rsidR="00462483" w:rsidRPr="005149C4">
        <w:rPr>
          <w:b/>
          <w:bCs/>
          <w:sz w:val="20"/>
          <w:szCs w:val="20"/>
        </w:rPr>
        <w:t>0</w:t>
      </w:r>
      <w:r w:rsidRPr="005149C4">
        <w:rPr>
          <w:b/>
          <w:bCs/>
          <w:sz w:val="20"/>
          <w:szCs w:val="20"/>
        </w:rPr>
        <w:t>% correspondiente al porcentaje de devolución de asuntos.</w:t>
      </w:r>
    </w:p>
    <w:tbl>
      <w:tblPr>
        <w:tblW w:w="8000" w:type="dxa"/>
        <w:jc w:val="center"/>
        <w:tblCellMar>
          <w:left w:w="70" w:type="dxa"/>
          <w:right w:w="70" w:type="dxa"/>
        </w:tblCellMar>
        <w:tblLook w:val="04A0" w:firstRow="1" w:lastRow="0" w:firstColumn="1" w:lastColumn="0" w:noHBand="0" w:noVBand="1"/>
      </w:tblPr>
      <w:tblGrid>
        <w:gridCol w:w="3640"/>
        <w:gridCol w:w="1280"/>
        <w:gridCol w:w="1540"/>
        <w:gridCol w:w="1540"/>
      </w:tblGrid>
      <w:tr w:rsidR="00774668" w:rsidRPr="005149C4" w14:paraId="411E2D3F" w14:textId="77777777" w:rsidTr="00774668">
        <w:trPr>
          <w:trHeight w:val="360"/>
          <w:jc w:val="center"/>
        </w:trPr>
        <w:tc>
          <w:tcPr>
            <w:tcW w:w="3640" w:type="dxa"/>
            <w:tcBorders>
              <w:top w:val="double" w:sz="6" w:space="0" w:color="1F4E78"/>
              <w:left w:val="double" w:sz="6" w:space="0" w:color="1F4E78"/>
              <w:bottom w:val="nil"/>
              <w:right w:val="double" w:sz="6" w:space="0" w:color="1F4E78"/>
            </w:tcBorders>
            <w:shd w:val="clear" w:color="000000" w:fill="365F91"/>
            <w:noWrap/>
            <w:vAlign w:val="center"/>
            <w:hideMark/>
          </w:tcPr>
          <w:p w14:paraId="116EF484" w14:textId="77777777" w:rsidR="00774668" w:rsidRPr="005149C4" w:rsidRDefault="00774668" w:rsidP="00774668">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Circuito Judicial</w:t>
            </w:r>
          </w:p>
        </w:tc>
        <w:tc>
          <w:tcPr>
            <w:tcW w:w="1280" w:type="dxa"/>
            <w:tcBorders>
              <w:top w:val="double" w:sz="6" w:space="0" w:color="305496"/>
              <w:left w:val="nil"/>
              <w:bottom w:val="nil"/>
              <w:right w:val="double" w:sz="6" w:space="0" w:color="305496"/>
            </w:tcBorders>
            <w:shd w:val="clear" w:color="000000" w:fill="365F91"/>
            <w:noWrap/>
            <w:vAlign w:val="center"/>
            <w:hideMark/>
          </w:tcPr>
          <w:p w14:paraId="68A7153D" w14:textId="77777777" w:rsidR="00774668" w:rsidRPr="005149C4" w:rsidRDefault="00774668" w:rsidP="00774668">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Entrada bruta</w:t>
            </w:r>
          </w:p>
        </w:tc>
        <w:tc>
          <w:tcPr>
            <w:tcW w:w="1540" w:type="dxa"/>
            <w:tcBorders>
              <w:top w:val="double" w:sz="6" w:space="0" w:color="305496"/>
              <w:left w:val="nil"/>
              <w:bottom w:val="nil"/>
              <w:right w:val="double" w:sz="6" w:space="0" w:color="305496"/>
            </w:tcBorders>
            <w:shd w:val="clear" w:color="000000" w:fill="365F91"/>
            <w:noWrap/>
            <w:vAlign w:val="center"/>
            <w:hideMark/>
          </w:tcPr>
          <w:p w14:paraId="6CE6A238" w14:textId="77777777" w:rsidR="00774668" w:rsidRPr="005149C4" w:rsidRDefault="00774668" w:rsidP="00774668">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Devolución 40%</w:t>
            </w:r>
          </w:p>
        </w:tc>
        <w:tc>
          <w:tcPr>
            <w:tcW w:w="1540" w:type="dxa"/>
            <w:tcBorders>
              <w:top w:val="double" w:sz="6" w:space="0" w:color="305496"/>
              <w:left w:val="nil"/>
              <w:bottom w:val="nil"/>
              <w:right w:val="double" w:sz="6" w:space="0" w:color="305496"/>
            </w:tcBorders>
            <w:shd w:val="clear" w:color="000000" w:fill="365F91"/>
            <w:noWrap/>
            <w:vAlign w:val="center"/>
            <w:hideMark/>
          </w:tcPr>
          <w:p w14:paraId="66EA2F1C" w14:textId="77777777" w:rsidR="00774668" w:rsidRPr="005149C4" w:rsidRDefault="00774668" w:rsidP="00774668">
            <w:pPr>
              <w:spacing w:before="0" w:after="0" w:line="240" w:lineRule="auto"/>
              <w:jc w:val="center"/>
              <w:rPr>
                <w:rFonts w:eastAsia="Times New Roman" w:cs="Calibri"/>
                <w:color w:val="FFFFFF"/>
                <w:sz w:val="20"/>
                <w:szCs w:val="20"/>
                <w:lang w:eastAsia="es-CR"/>
              </w:rPr>
            </w:pPr>
            <w:r w:rsidRPr="005149C4">
              <w:rPr>
                <w:rFonts w:eastAsia="Times New Roman" w:cs="Calibri"/>
                <w:color w:val="FFFFFF"/>
                <w:sz w:val="20"/>
                <w:szCs w:val="20"/>
                <w:lang w:eastAsia="es-CR"/>
              </w:rPr>
              <w:t>Entrada real</w:t>
            </w:r>
          </w:p>
        </w:tc>
      </w:tr>
      <w:tr w:rsidR="00774668" w:rsidRPr="005149C4" w14:paraId="57F48701" w14:textId="77777777" w:rsidTr="00774668">
        <w:trPr>
          <w:trHeight w:val="360"/>
          <w:jc w:val="center"/>
        </w:trPr>
        <w:tc>
          <w:tcPr>
            <w:tcW w:w="364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3DBAAF31"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San José</w:t>
            </w:r>
          </w:p>
        </w:tc>
        <w:tc>
          <w:tcPr>
            <w:tcW w:w="1280" w:type="dxa"/>
            <w:tcBorders>
              <w:top w:val="double" w:sz="6" w:space="0" w:color="1F4E78"/>
              <w:left w:val="nil"/>
              <w:bottom w:val="double" w:sz="6" w:space="0" w:color="1F4E78"/>
              <w:right w:val="double" w:sz="6" w:space="0" w:color="1F4E78"/>
            </w:tcBorders>
            <w:shd w:val="clear" w:color="000000" w:fill="FFFFFF"/>
            <w:noWrap/>
            <w:vAlign w:val="center"/>
            <w:hideMark/>
          </w:tcPr>
          <w:p w14:paraId="3DDFB475"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45</w:t>
            </w:r>
          </w:p>
        </w:tc>
        <w:tc>
          <w:tcPr>
            <w:tcW w:w="1540" w:type="dxa"/>
            <w:tcBorders>
              <w:top w:val="double" w:sz="6" w:space="0" w:color="305496"/>
              <w:left w:val="nil"/>
              <w:bottom w:val="double" w:sz="6" w:space="0" w:color="305496"/>
              <w:right w:val="double" w:sz="6" w:space="0" w:color="305496"/>
            </w:tcBorders>
            <w:shd w:val="clear" w:color="000000" w:fill="FFFFFF"/>
            <w:noWrap/>
            <w:vAlign w:val="center"/>
            <w:hideMark/>
          </w:tcPr>
          <w:p w14:paraId="4A1AB52F"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18</w:t>
            </w:r>
          </w:p>
        </w:tc>
        <w:tc>
          <w:tcPr>
            <w:tcW w:w="1540" w:type="dxa"/>
            <w:tcBorders>
              <w:top w:val="double" w:sz="6" w:space="0" w:color="305496"/>
              <w:left w:val="nil"/>
              <w:bottom w:val="double" w:sz="6" w:space="0" w:color="305496"/>
              <w:right w:val="double" w:sz="6" w:space="0" w:color="305496"/>
            </w:tcBorders>
            <w:shd w:val="clear" w:color="000000" w:fill="FFFFFF"/>
            <w:noWrap/>
            <w:vAlign w:val="center"/>
            <w:hideMark/>
          </w:tcPr>
          <w:p w14:paraId="7DA5AD41"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27</w:t>
            </w:r>
          </w:p>
        </w:tc>
      </w:tr>
      <w:tr w:rsidR="00774668" w:rsidRPr="005149C4" w14:paraId="5051EB3C" w14:textId="77777777" w:rsidTr="00774668">
        <w:trPr>
          <w:trHeight w:val="360"/>
          <w:jc w:val="center"/>
        </w:trPr>
        <w:tc>
          <w:tcPr>
            <w:tcW w:w="3640" w:type="dxa"/>
            <w:tcBorders>
              <w:top w:val="nil"/>
              <w:left w:val="double" w:sz="6" w:space="0" w:color="1F4E78"/>
              <w:bottom w:val="double" w:sz="6" w:space="0" w:color="1F4E78"/>
              <w:right w:val="double" w:sz="6" w:space="0" w:color="1F4E78"/>
            </w:tcBorders>
            <w:shd w:val="clear" w:color="000000" w:fill="D9E1F2"/>
            <w:noWrap/>
            <w:vAlign w:val="center"/>
            <w:hideMark/>
          </w:tcPr>
          <w:p w14:paraId="5AEC1CE2"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III Circuito Judicial de San José</w:t>
            </w:r>
          </w:p>
        </w:tc>
        <w:tc>
          <w:tcPr>
            <w:tcW w:w="1280" w:type="dxa"/>
            <w:tcBorders>
              <w:top w:val="nil"/>
              <w:left w:val="nil"/>
              <w:bottom w:val="double" w:sz="6" w:space="0" w:color="1F4E78"/>
              <w:right w:val="double" w:sz="6" w:space="0" w:color="1F4E78"/>
            </w:tcBorders>
            <w:shd w:val="clear" w:color="000000" w:fill="FFFFFF"/>
            <w:noWrap/>
            <w:vAlign w:val="center"/>
            <w:hideMark/>
          </w:tcPr>
          <w:p w14:paraId="2F1CFD0B"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31</w:t>
            </w:r>
          </w:p>
        </w:tc>
        <w:tc>
          <w:tcPr>
            <w:tcW w:w="1540" w:type="dxa"/>
            <w:tcBorders>
              <w:top w:val="nil"/>
              <w:left w:val="nil"/>
              <w:bottom w:val="double" w:sz="6" w:space="0" w:color="305496"/>
              <w:right w:val="double" w:sz="6" w:space="0" w:color="305496"/>
            </w:tcBorders>
            <w:shd w:val="clear" w:color="000000" w:fill="FFFFFF"/>
            <w:noWrap/>
            <w:vAlign w:val="center"/>
            <w:hideMark/>
          </w:tcPr>
          <w:p w14:paraId="06245AE7"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12</w:t>
            </w:r>
          </w:p>
        </w:tc>
        <w:tc>
          <w:tcPr>
            <w:tcW w:w="1540" w:type="dxa"/>
            <w:tcBorders>
              <w:top w:val="nil"/>
              <w:left w:val="nil"/>
              <w:bottom w:val="double" w:sz="6" w:space="0" w:color="305496"/>
              <w:right w:val="double" w:sz="6" w:space="0" w:color="305496"/>
            </w:tcBorders>
            <w:shd w:val="clear" w:color="000000" w:fill="FFFFFF"/>
            <w:noWrap/>
            <w:vAlign w:val="center"/>
            <w:hideMark/>
          </w:tcPr>
          <w:p w14:paraId="3BC00378"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19</w:t>
            </w:r>
          </w:p>
        </w:tc>
      </w:tr>
      <w:tr w:rsidR="00774668" w:rsidRPr="005149C4" w14:paraId="2D299728" w14:textId="77777777" w:rsidTr="00774668">
        <w:trPr>
          <w:trHeight w:val="360"/>
          <w:jc w:val="center"/>
        </w:trPr>
        <w:tc>
          <w:tcPr>
            <w:tcW w:w="3640" w:type="dxa"/>
            <w:tcBorders>
              <w:top w:val="nil"/>
              <w:left w:val="double" w:sz="6" w:space="0" w:color="1F4E78"/>
              <w:bottom w:val="double" w:sz="6" w:space="0" w:color="1F4E78"/>
              <w:right w:val="double" w:sz="6" w:space="0" w:color="1F4E78"/>
            </w:tcBorders>
            <w:shd w:val="clear" w:color="000000" w:fill="D9E1F2"/>
            <w:noWrap/>
            <w:vAlign w:val="center"/>
            <w:hideMark/>
          </w:tcPr>
          <w:p w14:paraId="71BA3210"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Cartago</w:t>
            </w:r>
          </w:p>
        </w:tc>
        <w:tc>
          <w:tcPr>
            <w:tcW w:w="1280" w:type="dxa"/>
            <w:tcBorders>
              <w:top w:val="nil"/>
              <w:left w:val="nil"/>
              <w:bottom w:val="double" w:sz="6" w:space="0" w:color="1F4E78"/>
              <w:right w:val="double" w:sz="6" w:space="0" w:color="1F4E78"/>
            </w:tcBorders>
            <w:shd w:val="clear" w:color="000000" w:fill="FFFFFF"/>
            <w:noWrap/>
            <w:vAlign w:val="center"/>
            <w:hideMark/>
          </w:tcPr>
          <w:p w14:paraId="0F1F84C7"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38</w:t>
            </w:r>
          </w:p>
        </w:tc>
        <w:tc>
          <w:tcPr>
            <w:tcW w:w="1540" w:type="dxa"/>
            <w:tcBorders>
              <w:top w:val="nil"/>
              <w:left w:val="nil"/>
              <w:bottom w:val="double" w:sz="6" w:space="0" w:color="305496"/>
              <w:right w:val="double" w:sz="6" w:space="0" w:color="305496"/>
            </w:tcBorders>
            <w:shd w:val="clear" w:color="000000" w:fill="FFFFFF"/>
            <w:noWrap/>
            <w:vAlign w:val="center"/>
            <w:hideMark/>
          </w:tcPr>
          <w:p w14:paraId="47358E99"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15</w:t>
            </w:r>
          </w:p>
        </w:tc>
        <w:tc>
          <w:tcPr>
            <w:tcW w:w="1540" w:type="dxa"/>
            <w:tcBorders>
              <w:top w:val="nil"/>
              <w:left w:val="nil"/>
              <w:bottom w:val="double" w:sz="6" w:space="0" w:color="305496"/>
              <w:right w:val="double" w:sz="6" w:space="0" w:color="305496"/>
            </w:tcBorders>
            <w:shd w:val="clear" w:color="000000" w:fill="FFFFFF"/>
            <w:noWrap/>
            <w:vAlign w:val="center"/>
            <w:hideMark/>
          </w:tcPr>
          <w:p w14:paraId="6CAC6849"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23</w:t>
            </w:r>
          </w:p>
        </w:tc>
      </w:tr>
      <w:tr w:rsidR="00774668" w:rsidRPr="005149C4" w14:paraId="2B0D958F" w14:textId="77777777" w:rsidTr="00774668">
        <w:trPr>
          <w:trHeight w:val="360"/>
          <w:jc w:val="center"/>
        </w:trPr>
        <w:tc>
          <w:tcPr>
            <w:tcW w:w="364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2F989CE5"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Alajuela</w:t>
            </w:r>
          </w:p>
        </w:tc>
        <w:tc>
          <w:tcPr>
            <w:tcW w:w="1280" w:type="dxa"/>
            <w:tcBorders>
              <w:top w:val="nil"/>
              <w:left w:val="double" w:sz="6" w:space="0" w:color="1F4E78"/>
              <w:bottom w:val="double" w:sz="6" w:space="0" w:color="1F4E78"/>
              <w:right w:val="double" w:sz="6" w:space="0" w:color="1F4E78"/>
            </w:tcBorders>
            <w:shd w:val="clear" w:color="000000" w:fill="FFFFFF"/>
            <w:noWrap/>
            <w:vAlign w:val="center"/>
            <w:hideMark/>
          </w:tcPr>
          <w:p w14:paraId="0CC7BBFC"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16</w:t>
            </w:r>
          </w:p>
        </w:tc>
        <w:tc>
          <w:tcPr>
            <w:tcW w:w="1540" w:type="dxa"/>
            <w:tcBorders>
              <w:top w:val="nil"/>
              <w:left w:val="nil"/>
              <w:bottom w:val="double" w:sz="6" w:space="0" w:color="305496"/>
              <w:right w:val="double" w:sz="6" w:space="0" w:color="305496"/>
            </w:tcBorders>
            <w:shd w:val="clear" w:color="000000" w:fill="FFFFFF"/>
            <w:noWrap/>
            <w:vAlign w:val="center"/>
            <w:hideMark/>
          </w:tcPr>
          <w:p w14:paraId="65836E43"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6</w:t>
            </w:r>
          </w:p>
        </w:tc>
        <w:tc>
          <w:tcPr>
            <w:tcW w:w="1540" w:type="dxa"/>
            <w:tcBorders>
              <w:top w:val="nil"/>
              <w:left w:val="nil"/>
              <w:bottom w:val="double" w:sz="6" w:space="0" w:color="305496"/>
              <w:right w:val="double" w:sz="6" w:space="0" w:color="305496"/>
            </w:tcBorders>
            <w:shd w:val="clear" w:color="000000" w:fill="FFFFFF"/>
            <w:noWrap/>
            <w:vAlign w:val="center"/>
            <w:hideMark/>
          </w:tcPr>
          <w:p w14:paraId="7E29F79F"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10</w:t>
            </w:r>
          </w:p>
        </w:tc>
      </w:tr>
      <w:tr w:rsidR="00774668" w:rsidRPr="005149C4" w14:paraId="7A908ACE" w14:textId="77777777" w:rsidTr="00774668">
        <w:trPr>
          <w:trHeight w:val="360"/>
          <w:jc w:val="center"/>
        </w:trPr>
        <w:tc>
          <w:tcPr>
            <w:tcW w:w="3640" w:type="dxa"/>
            <w:tcBorders>
              <w:top w:val="nil"/>
              <w:left w:val="double" w:sz="6" w:space="0" w:color="203764"/>
              <w:bottom w:val="double" w:sz="6" w:space="0" w:color="203764"/>
              <w:right w:val="double" w:sz="6" w:space="0" w:color="203764"/>
            </w:tcBorders>
            <w:shd w:val="clear" w:color="000000" w:fill="D9E1F2"/>
            <w:noWrap/>
            <w:vAlign w:val="center"/>
            <w:hideMark/>
          </w:tcPr>
          <w:p w14:paraId="432F6019"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San Ramón</w:t>
            </w:r>
          </w:p>
        </w:tc>
        <w:tc>
          <w:tcPr>
            <w:tcW w:w="1280" w:type="dxa"/>
            <w:tcBorders>
              <w:top w:val="nil"/>
              <w:left w:val="double" w:sz="6" w:space="0" w:color="1F4E78"/>
              <w:bottom w:val="double" w:sz="6" w:space="0" w:color="1F4E78"/>
              <w:right w:val="double" w:sz="6" w:space="0" w:color="1F4E78"/>
            </w:tcBorders>
            <w:shd w:val="clear" w:color="000000" w:fill="FFFFFF"/>
            <w:noWrap/>
            <w:vAlign w:val="center"/>
            <w:hideMark/>
          </w:tcPr>
          <w:p w14:paraId="0B866E0F"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w:t>
            </w:r>
          </w:p>
        </w:tc>
        <w:tc>
          <w:tcPr>
            <w:tcW w:w="1540" w:type="dxa"/>
            <w:tcBorders>
              <w:top w:val="nil"/>
              <w:left w:val="nil"/>
              <w:bottom w:val="double" w:sz="6" w:space="0" w:color="305496"/>
              <w:right w:val="double" w:sz="6" w:space="0" w:color="305496"/>
            </w:tcBorders>
            <w:shd w:val="clear" w:color="000000" w:fill="FFFFFF"/>
            <w:noWrap/>
            <w:vAlign w:val="center"/>
            <w:hideMark/>
          </w:tcPr>
          <w:p w14:paraId="3F38FA29"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5</w:t>
            </w:r>
          </w:p>
        </w:tc>
        <w:tc>
          <w:tcPr>
            <w:tcW w:w="1540" w:type="dxa"/>
            <w:tcBorders>
              <w:top w:val="nil"/>
              <w:left w:val="nil"/>
              <w:bottom w:val="double" w:sz="6" w:space="0" w:color="305496"/>
              <w:right w:val="double" w:sz="6" w:space="0" w:color="305496"/>
            </w:tcBorders>
            <w:shd w:val="clear" w:color="000000" w:fill="FFFFFF"/>
            <w:noWrap/>
            <w:vAlign w:val="center"/>
            <w:hideMark/>
          </w:tcPr>
          <w:p w14:paraId="07E1C007"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8</w:t>
            </w:r>
          </w:p>
        </w:tc>
      </w:tr>
      <w:tr w:rsidR="00774668" w:rsidRPr="005149C4" w14:paraId="7BAA6890" w14:textId="77777777" w:rsidTr="00774668">
        <w:trPr>
          <w:trHeight w:val="360"/>
          <w:jc w:val="center"/>
        </w:trPr>
        <w:tc>
          <w:tcPr>
            <w:tcW w:w="364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1629FEDE"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Heredia</w:t>
            </w:r>
          </w:p>
        </w:tc>
        <w:tc>
          <w:tcPr>
            <w:tcW w:w="1280" w:type="dxa"/>
            <w:tcBorders>
              <w:top w:val="nil"/>
              <w:left w:val="nil"/>
              <w:bottom w:val="double" w:sz="6" w:space="0" w:color="1F4E78"/>
              <w:right w:val="double" w:sz="6" w:space="0" w:color="1F4E78"/>
            </w:tcBorders>
            <w:shd w:val="clear" w:color="000000" w:fill="FFFFFF"/>
            <w:noWrap/>
            <w:vAlign w:val="center"/>
            <w:hideMark/>
          </w:tcPr>
          <w:p w14:paraId="64235234"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c>
          <w:tcPr>
            <w:tcW w:w="1540" w:type="dxa"/>
            <w:tcBorders>
              <w:top w:val="nil"/>
              <w:left w:val="nil"/>
              <w:bottom w:val="double" w:sz="6" w:space="0" w:color="305496"/>
              <w:right w:val="double" w:sz="6" w:space="0" w:color="305496"/>
            </w:tcBorders>
            <w:shd w:val="clear" w:color="000000" w:fill="FFFFFF"/>
            <w:noWrap/>
            <w:vAlign w:val="center"/>
            <w:hideMark/>
          </w:tcPr>
          <w:p w14:paraId="3A1580A3"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12</w:t>
            </w:r>
          </w:p>
        </w:tc>
        <w:tc>
          <w:tcPr>
            <w:tcW w:w="1540" w:type="dxa"/>
            <w:tcBorders>
              <w:top w:val="nil"/>
              <w:left w:val="nil"/>
              <w:bottom w:val="double" w:sz="6" w:space="0" w:color="305496"/>
              <w:right w:val="double" w:sz="6" w:space="0" w:color="305496"/>
            </w:tcBorders>
            <w:shd w:val="clear" w:color="000000" w:fill="FFFFFF"/>
            <w:noWrap/>
            <w:vAlign w:val="center"/>
            <w:hideMark/>
          </w:tcPr>
          <w:p w14:paraId="65F4CEB2"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18</w:t>
            </w:r>
          </w:p>
        </w:tc>
      </w:tr>
      <w:tr w:rsidR="00774668" w:rsidRPr="005149C4" w14:paraId="224CB893" w14:textId="77777777" w:rsidTr="00774668">
        <w:trPr>
          <w:trHeight w:val="360"/>
          <w:jc w:val="center"/>
        </w:trPr>
        <w:tc>
          <w:tcPr>
            <w:tcW w:w="3640" w:type="dxa"/>
            <w:tcBorders>
              <w:top w:val="nil"/>
              <w:left w:val="double" w:sz="6" w:space="0" w:color="1F4E78"/>
              <w:bottom w:val="double" w:sz="6" w:space="0" w:color="1F4E78"/>
              <w:right w:val="double" w:sz="6" w:space="0" w:color="1F4E78"/>
            </w:tcBorders>
            <w:shd w:val="clear" w:color="000000" w:fill="D9E1F2"/>
            <w:noWrap/>
            <w:vAlign w:val="center"/>
            <w:hideMark/>
          </w:tcPr>
          <w:p w14:paraId="537A5DB6"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Puntarenas</w:t>
            </w:r>
          </w:p>
        </w:tc>
        <w:tc>
          <w:tcPr>
            <w:tcW w:w="1280" w:type="dxa"/>
            <w:tcBorders>
              <w:top w:val="nil"/>
              <w:left w:val="nil"/>
              <w:bottom w:val="double" w:sz="6" w:space="0" w:color="1F4E78"/>
              <w:right w:val="double" w:sz="6" w:space="0" w:color="1F4E78"/>
            </w:tcBorders>
            <w:shd w:val="clear" w:color="000000" w:fill="FFFFFF"/>
            <w:noWrap/>
            <w:vAlign w:val="center"/>
            <w:hideMark/>
          </w:tcPr>
          <w:p w14:paraId="186A03A2"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w:t>
            </w:r>
          </w:p>
        </w:tc>
        <w:tc>
          <w:tcPr>
            <w:tcW w:w="1540" w:type="dxa"/>
            <w:tcBorders>
              <w:top w:val="nil"/>
              <w:left w:val="nil"/>
              <w:bottom w:val="double" w:sz="6" w:space="0" w:color="305496"/>
              <w:right w:val="double" w:sz="6" w:space="0" w:color="305496"/>
            </w:tcBorders>
            <w:shd w:val="clear" w:color="000000" w:fill="FFFFFF"/>
            <w:noWrap/>
            <w:vAlign w:val="center"/>
            <w:hideMark/>
          </w:tcPr>
          <w:p w14:paraId="361A22A3"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11</w:t>
            </w:r>
          </w:p>
        </w:tc>
        <w:tc>
          <w:tcPr>
            <w:tcW w:w="1540" w:type="dxa"/>
            <w:tcBorders>
              <w:top w:val="nil"/>
              <w:left w:val="nil"/>
              <w:bottom w:val="double" w:sz="6" w:space="0" w:color="305496"/>
              <w:right w:val="double" w:sz="6" w:space="0" w:color="305496"/>
            </w:tcBorders>
            <w:shd w:val="clear" w:color="000000" w:fill="FFFFFF"/>
            <w:noWrap/>
            <w:vAlign w:val="center"/>
            <w:hideMark/>
          </w:tcPr>
          <w:p w14:paraId="23AF9751"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17</w:t>
            </w:r>
          </w:p>
        </w:tc>
      </w:tr>
      <w:tr w:rsidR="00774668" w:rsidRPr="005149C4" w14:paraId="0B214230" w14:textId="77777777" w:rsidTr="00774668">
        <w:trPr>
          <w:trHeight w:val="360"/>
          <w:jc w:val="center"/>
        </w:trPr>
        <w:tc>
          <w:tcPr>
            <w:tcW w:w="3640" w:type="dxa"/>
            <w:tcBorders>
              <w:top w:val="nil"/>
              <w:left w:val="double" w:sz="6" w:space="0" w:color="1F4E78"/>
              <w:bottom w:val="double" w:sz="6" w:space="0" w:color="1F4E78"/>
              <w:right w:val="double" w:sz="6" w:space="0" w:color="1F4E78"/>
            </w:tcBorders>
            <w:shd w:val="clear" w:color="000000" w:fill="D9E1F2"/>
            <w:noWrap/>
            <w:vAlign w:val="center"/>
            <w:hideMark/>
          </w:tcPr>
          <w:p w14:paraId="74519114"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Sur</w:t>
            </w:r>
          </w:p>
        </w:tc>
        <w:tc>
          <w:tcPr>
            <w:tcW w:w="1280" w:type="dxa"/>
            <w:tcBorders>
              <w:top w:val="nil"/>
              <w:left w:val="nil"/>
              <w:bottom w:val="double" w:sz="6" w:space="0" w:color="1F4E78"/>
              <w:right w:val="double" w:sz="6" w:space="0" w:color="1F4E78"/>
            </w:tcBorders>
            <w:shd w:val="clear" w:color="000000" w:fill="FFFFFF"/>
            <w:noWrap/>
            <w:vAlign w:val="center"/>
            <w:hideMark/>
          </w:tcPr>
          <w:p w14:paraId="78379683"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33</w:t>
            </w:r>
          </w:p>
        </w:tc>
        <w:tc>
          <w:tcPr>
            <w:tcW w:w="1540" w:type="dxa"/>
            <w:tcBorders>
              <w:top w:val="nil"/>
              <w:left w:val="nil"/>
              <w:bottom w:val="double" w:sz="6" w:space="0" w:color="305496"/>
              <w:right w:val="double" w:sz="6" w:space="0" w:color="305496"/>
            </w:tcBorders>
            <w:shd w:val="clear" w:color="000000" w:fill="FFFFFF"/>
            <w:noWrap/>
            <w:vAlign w:val="center"/>
            <w:hideMark/>
          </w:tcPr>
          <w:p w14:paraId="07960F50"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w:t>
            </w:r>
          </w:p>
        </w:tc>
        <w:tc>
          <w:tcPr>
            <w:tcW w:w="1540" w:type="dxa"/>
            <w:tcBorders>
              <w:top w:val="nil"/>
              <w:left w:val="nil"/>
              <w:bottom w:val="double" w:sz="6" w:space="0" w:color="305496"/>
              <w:right w:val="double" w:sz="6" w:space="0" w:color="305496"/>
            </w:tcBorders>
            <w:shd w:val="clear" w:color="000000" w:fill="FFFFFF"/>
            <w:noWrap/>
            <w:vAlign w:val="center"/>
            <w:hideMark/>
          </w:tcPr>
          <w:p w14:paraId="22D61CF2"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20</w:t>
            </w:r>
          </w:p>
        </w:tc>
      </w:tr>
      <w:tr w:rsidR="00774668" w:rsidRPr="005149C4" w14:paraId="2F2F7300" w14:textId="77777777" w:rsidTr="00774668">
        <w:trPr>
          <w:trHeight w:val="360"/>
          <w:jc w:val="center"/>
        </w:trPr>
        <w:tc>
          <w:tcPr>
            <w:tcW w:w="364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15F4EFDA"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 Circuito Judicial de la Zona Atlántica</w:t>
            </w:r>
          </w:p>
        </w:tc>
        <w:tc>
          <w:tcPr>
            <w:tcW w:w="1280" w:type="dxa"/>
            <w:tcBorders>
              <w:top w:val="nil"/>
              <w:left w:val="double" w:sz="6" w:space="0" w:color="1F4E78"/>
              <w:bottom w:val="double" w:sz="6" w:space="0" w:color="1F4E78"/>
              <w:right w:val="double" w:sz="6" w:space="0" w:color="1F4E78"/>
            </w:tcBorders>
            <w:shd w:val="clear" w:color="000000" w:fill="FFFFFF"/>
            <w:noWrap/>
            <w:vAlign w:val="center"/>
            <w:hideMark/>
          </w:tcPr>
          <w:p w14:paraId="70A22B73"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w:t>
            </w:r>
          </w:p>
        </w:tc>
        <w:tc>
          <w:tcPr>
            <w:tcW w:w="1540" w:type="dxa"/>
            <w:tcBorders>
              <w:top w:val="nil"/>
              <w:left w:val="nil"/>
              <w:bottom w:val="double" w:sz="6" w:space="0" w:color="305496"/>
              <w:right w:val="double" w:sz="6" w:space="0" w:color="305496"/>
            </w:tcBorders>
            <w:shd w:val="clear" w:color="000000" w:fill="FFFFFF"/>
            <w:noWrap/>
            <w:vAlign w:val="center"/>
            <w:hideMark/>
          </w:tcPr>
          <w:p w14:paraId="1869CFE5"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w:t>
            </w:r>
          </w:p>
        </w:tc>
        <w:tc>
          <w:tcPr>
            <w:tcW w:w="1540" w:type="dxa"/>
            <w:tcBorders>
              <w:top w:val="nil"/>
              <w:left w:val="nil"/>
              <w:bottom w:val="double" w:sz="6" w:space="0" w:color="305496"/>
              <w:right w:val="double" w:sz="6" w:space="0" w:color="305496"/>
            </w:tcBorders>
            <w:shd w:val="clear" w:color="000000" w:fill="FFFFFF"/>
            <w:noWrap/>
            <w:vAlign w:val="center"/>
            <w:hideMark/>
          </w:tcPr>
          <w:p w14:paraId="2E593412"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w:t>
            </w:r>
          </w:p>
        </w:tc>
      </w:tr>
      <w:tr w:rsidR="00774668" w:rsidRPr="005149C4" w14:paraId="4BB760AE" w14:textId="77777777" w:rsidTr="00774668">
        <w:trPr>
          <w:trHeight w:val="360"/>
          <w:jc w:val="center"/>
        </w:trPr>
        <w:tc>
          <w:tcPr>
            <w:tcW w:w="364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4A5BA662"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II Circuito Judicial de la Zona Atlántica</w:t>
            </w:r>
          </w:p>
        </w:tc>
        <w:tc>
          <w:tcPr>
            <w:tcW w:w="1280" w:type="dxa"/>
            <w:tcBorders>
              <w:top w:val="nil"/>
              <w:left w:val="nil"/>
              <w:bottom w:val="double" w:sz="6" w:space="0" w:color="1F4E78"/>
              <w:right w:val="double" w:sz="6" w:space="0" w:color="1F4E78"/>
            </w:tcBorders>
            <w:shd w:val="clear" w:color="000000" w:fill="FFFFFF"/>
            <w:noWrap/>
            <w:vAlign w:val="center"/>
            <w:hideMark/>
          </w:tcPr>
          <w:p w14:paraId="390AE035"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37</w:t>
            </w:r>
          </w:p>
        </w:tc>
        <w:tc>
          <w:tcPr>
            <w:tcW w:w="1540" w:type="dxa"/>
            <w:tcBorders>
              <w:top w:val="nil"/>
              <w:left w:val="nil"/>
              <w:bottom w:val="double" w:sz="6" w:space="0" w:color="305496"/>
              <w:right w:val="double" w:sz="6" w:space="0" w:color="305496"/>
            </w:tcBorders>
            <w:shd w:val="clear" w:color="000000" w:fill="FFFFFF"/>
            <w:noWrap/>
            <w:vAlign w:val="center"/>
            <w:hideMark/>
          </w:tcPr>
          <w:p w14:paraId="71482C97"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15</w:t>
            </w:r>
          </w:p>
        </w:tc>
        <w:tc>
          <w:tcPr>
            <w:tcW w:w="1540" w:type="dxa"/>
            <w:tcBorders>
              <w:top w:val="nil"/>
              <w:left w:val="nil"/>
              <w:bottom w:val="double" w:sz="6" w:space="0" w:color="305496"/>
              <w:right w:val="double" w:sz="6" w:space="0" w:color="305496"/>
            </w:tcBorders>
            <w:shd w:val="clear" w:color="000000" w:fill="FFFFFF"/>
            <w:noWrap/>
            <w:vAlign w:val="center"/>
            <w:hideMark/>
          </w:tcPr>
          <w:p w14:paraId="78E386CD"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22</w:t>
            </w:r>
          </w:p>
        </w:tc>
      </w:tr>
      <w:tr w:rsidR="00774668" w:rsidRPr="005149C4" w14:paraId="3BFDBEA6" w14:textId="77777777" w:rsidTr="00774668">
        <w:trPr>
          <w:trHeight w:val="360"/>
          <w:jc w:val="center"/>
        </w:trPr>
        <w:tc>
          <w:tcPr>
            <w:tcW w:w="6460" w:type="dxa"/>
            <w:gridSpan w:val="3"/>
            <w:tcBorders>
              <w:top w:val="double" w:sz="6" w:space="0" w:color="305496"/>
              <w:left w:val="double" w:sz="6" w:space="0" w:color="305496"/>
              <w:bottom w:val="double" w:sz="6" w:space="0" w:color="305496"/>
              <w:right w:val="double" w:sz="6" w:space="0" w:color="305496"/>
            </w:tcBorders>
            <w:shd w:val="clear" w:color="000000" w:fill="D9E1F2"/>
            <w:noWrap/>
            <w:vAlign w:val="center"/>
            <w:hideMark/>
          </w:tcPr>
          <w:p w14:paraId="5504D6F1"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Promedio General</w:t>
            </w:r>
          </w:p>
        </w:tc>
        <w:tc>
          <w:tcPr>
            <w:tcW w:w="1540" w:type="dxa"/>
            <w:tcBorders>
              <w:top w:val="nil"/>
              <w:left w:val="nil"/>
              <w:bottom w:val="double" w:sz="6" w:space="0" w:color="305496"/>
              <w:right w:val="double" w:sz="6" w:space="0" w:color="305496"/>
            </w:tcBorders>
            <w:shd w:val="clear" w:color="000000" w:fill="D9D9D9"/>
            <w:noWrap/>
            <w:vAlign w:val="center"/>
            <w:hideMark/>
          </w:tcPr>
          <w:p w14:paraId="35B6AC53" w14:textId="77777777" w:rsidR="00774668" w:rsidRPr="005149C4" w:rsidRDefault="00774668" w:rsidP="00774668">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17</w:t>
            </w:r>
          </w:p>
        </w:tc>
      </w:tr>
    </w:tbl>
    <w:p w14:paraId="1079DC2C" w14:textId="1C6ACE8C" w:rsidR="00F0769C" w:rsidRPr="005149C4" w:rsidRDefault="001B3201" w:rsidP="00F46000">
      <w:pPr>
        <w:ind w:right="474"/>
        <w:rPr>
          <w:rFonts w:cs="Calibri"/>
          <w:bCs/>
          <w:color w:val="000000"/>
          <w:sz w:val="20"/>
          <w:szCs w:val="20"/>
          <w:lang w:eastAsia="es-CR"/>
        </w:rPr>
      </w:pPr>
      <w:r w:rsidRPr="005149C4">
        <w:rPr>
          <w:rFonts w:cs="Calibri"/>
          <w:b/>
          <w:color w:val="000000"/>
          <w:sz w:val="20"/>
          <w:szCs w:val="20"/>
        </w:rPr>
        <w:t xml:space="preserve">       </w:t>
      </w:r>
      <w:r w:rsidR="00F0769C" w:rsidRPr="005149C4">
        <w:rPr>
          <w:rFonts w:cs="Calibri"/>
          <w:b/>
          <w:color w:val="000000"/>
          <w:sz w:val="20"/>
          <w:szCs w:val="20"/>
          <w:lang w:eastAsia="es-CR"/>
        </w:rPr>
        <w:t xml:space="preserve">Fuente: </w:t>
      </w:r>
      <w:r w:rsidR="00F0769C" w:rsidRPr="005149C4">
        <w:rPr>
          <w:rFonts w:cs="Calibri"/>
          <w:bCs/>
          <w:color w:val="000000"/>
          <w:sz w:val="20"/>
          <w:szCs w:val="20"/>
          <w:lang w:eastAsia="es-CR"/>
        </w:rPr>
        <w:t xml:space="preserve">Modernización Institucional a partir de la información </w:t>
      </w:r>
      <w:r w:rsidR="008E47D3" w:rsidRPr="005149C4">
        <w:rPr>
          <w:rFonts w:cs="Calibri"/>
          <w:bCs/>
          <w:color w:val="000000"/>
          <w:sz w:val="20"/>
          <w:szCs w:val="20"/>
          <w:lang w:eastAsia="es-CR"/>
        </w:rPr>
        <w:t>extraída de SIGMA.</w:t>
      </w:r>
    </w:p>
    <w:p w14:paraId="50D490C8" w14:textId="3DDCA3DA" w:rsidR="001F2D08" w:rsidRPr="005149C4" w:rsidRDefault="00F0769C" w:rsidP="009B4A99">
      <w:pPr>
        <w:tabs>
          <w:tab w:val="left" w:pos="0"/>
        </w:tabs>
      </w:pPr>
      <w:r w:rsidRPr="005149C4">
        <w:t xml:space="preserve">A partir de los resultados obtenidos </w:t>
      </w:r>
      <w:r w:rsidR="00B00097" w:rsidRPr="005149C4">
        <w:t xml:space="preserve">en el cuadro anterior, </w:t>
      </w:r>
      <w:r w:rsidRPr="005149C4">
        <w:t xml:space="preserve">es posible establecer la carga de trabajo </w:t>
      </w:r>
      <w:r w:rsidR="00B00097" w:rsidRPr="005149C4">
        <w:t xml:space="preserve">real </w:t>
      </w:r>
      <w:r w:rsidRPr="005149C4">
        <w:t xml:space="preserve">por Circuito Judicial que cumple con la ejecución de las diferentes etapas del proceso de Justicia Restaurativa, como lo es la realización de Reuniones Restaurativas y las audiencias de seguimiento. </w:t>
      </w:r>
      <w:r w:rsidR="003B0767" w:rsidRPr="005149C4">
        <w:t>En este caso, se tiene en promedio una entrada real de 1</w:t>
      </w:r>
      <w:r w:rsidR="001B3201" w:rsidRPr="005149C4">
        <w:t>7</w:t>
      </w:r>
      <w:r w:rsidR="003B0767" w:rsidRPr="005149C4">
        <w:t xml:space="preserve"> asuntos por </w:t>
      </w:r>
      <w:r w:rsidR="00CD7DB8" w:rsidRPr="005149C4">
        <w:t>circuito judicial</w:t>
      </w:r>
      <w:r w:rsidR="00F02BF5" w:rsidRPr="005149C4">
        <w:t>.</w:t>
      </w:r>
    </w:p>
    <w:p w14:paraId="1FBB334D" w14:textId="5DA16307" w:rsidR="00F0769C" w:rsidRPr="005149C4" w:rsidRDefault="00F0769C" w:rsidP="009B4A99">
      <w:pPr>
        <w:tabs>
          <w:tab w:val="left" w:pos="0"/>
        </w:tabs>
      </w:pPr>
      <w:r w:rsidRPr="005149C4">
        <w:t xml:space="preserve">Adicionalmente, con base en el detalle del </w:t>
      </w:r>
      <w:r w:rsidRPr="005149C4">
        <w:fldChar w:fldCharType="begin"/>
      </w:r>
      <w:r w:rsidRPr="005149C4">
        <w:instrText xml:space="preserve"> REF _Ref31364377 \h  \* MERGEFORMAT </w:instrText>
      </w:r>
      <w:r w:rsidRPr="005149C4">
        <w:fldChar w:fldCharType="separate"/>
      </w:r>
      <w:r w:rsidR="00EC44E6" w:rsidRPr="005149C4">
        <w:t>Cuadro 9</w:t>
      </w:r>
      <w:r w:rsidRPr="005149C4">
        <w:fldChar w:fldCharType="end"/>
      </w:r>
      <w:r w:rsidRPr="005149C4">
        <w:t xml:space="preserve"> se identificó que al descomponer los expedientes devueltos, un </w:t>
      </w:r>
      <w:r w:rsidR="009B4A99" w:rsidRPr="005149C4">
        <w:t>19</w:t>
      </w:r>
      <w:r w:rsidRPr="005149C4">
        <w:t>% de estos obedece a que no se cumplen los requisitos de admisibilidad mientras que otros 2</w:t>
      </w:r>
      <w:r w:rsidR="009B4A99" w:rsidRPr="005149C4">
        <w:t>6</w:t>
      </w:r>
      <w:r w:rsidRPr="005149C4">
        <w:t>.</w:t>
      </w:r>
      <w:r w:rsidR="009B4A99" w:rsidRPr="005149C4">
        <w:t>4</w:t>
      </w:r>
      <w:r w:rsidRPr="005149C4">
        <w:t>% se deben a que el imputado no se acoge al programa, por lo que el expediente no completó las diferentes etapas del proceso de Justicia Restaurativa y permite de esta forma que ese tiempo sea destinado a la atención de otros casos que si cumplen con los requisitos para completar la totalidad de las actividades requeridas.</w:t>
      </w:r>
    </w:p>
    <w:p w14:paraId="5423CA6A" w14:textId="1972FF57" w:rsidR="008D59C4" w:rsidRPr="005149C4" w:rsidRDefault="008D59C4" w:rsidP="00F0769C">
      <w:pPr>
        <w:tabs>
          <w:tab w:val="left" w:pos="0"/>
        </w:tabs>
      </w:pPr>
      <w:r w:rsidRPr="005149C4">
        <w:t xml:space="preserve">Es importante recalcar la importancia de establecer medidas de verificación con el propósito de comprobar los requisitos de </w:t>
      </w:r>
      <w:r w:rsidR="00EC3705" w:rsidRPr="005149C4">
        <w:t>admisibilidad de los casos, esto antes de direccionarlos a Justicia Restaurativa para evitar el mantener porcentajes considerables a raíz de este rubro.</w:t>
      </w:r>
      <w:r w:rsidRPr="005149C4">
        <w:t xml:space="preserve"> </w:t>
      </w:r>
    </w:p>
    <w:p w14:paraId="6BBA7B5A" w14:textId="46BCDC33" w:rsidR="001F402B" w:rsidRPr="005149C4" w:rsidRDefault="001F402B" w:rsidP="006E06EB">
      <w:pPr>
        <w:pStyle w:val="Ttulo4"/>
        <w:numPr>
          <w:ilvl w:val="1"/>
          <w:numId w:val="11"/>
        </w:numPr>
      </w:pPr>
      <w:r w:rsidRPr="005149C4">
        <w:t xml:space="preserve">Reuniones y audiencias programadas </w:t>
      </w:r>
      <w:r w:rsidR="00AF15CF" w:rsidRPr="005149C4">
        <w:t xml:space="preserve">en </w:t>
      </w:r>
      <w:r w:rsidRPr="005149C4">
        <w:t>Justicia Restaurativa Penal de Adultos</w:t>
      </w:r>
      <w:r w:rsidR="00AF15CF" w:rsidRPr="005149C4">
        <w:t xml:space="preserve"> según circuito</w:t>
      </w:r>
      <w:r w:rsidRPr="005149C4">
        <w:t>.</w:t>
      </w:r>
    </w:p>
    <w:p w14:paraId="42690F69" w14:textId="7A68E23B" w:rsidR="00D91634" w:rsidRPr="005149C4" w:rsidRDefault="00D91634" w:rsidP="00D91634">
      <w:pPr>
        <w:tabs>
          <w:tab w:val="left" w:pos="0"/>
        </w:tabs>
      </w:pPr>
      <w:r w:rsidRPr="005149C4">
        <w:t xml:space="preserve">Es importante indicar que la celebración de las reuniones restaurativas dependerá de si las partes al final del </w:t>
      </w:r>
      <w:r w:rsidR="009B4A99" w:rsidRPr="005149C4">
        <w:t>proceso</w:t>
      </w:r>
      <w:r w:rsidRPr="005149C4">
        <w:t xml:space="preserve"> están anuentes a realizarla</w:t>
      </w:r>
      <w:r w:rsidR="009B4A99" w:rsidRPr="005149C4">
        <w:t>s,</w:t>
      </w:r>
      <w:r w:rsidRPr="005149C4">
        <w:t xml:space="preserve"> mientras que las de verificación se programan según solicitud, ante un posible reporte de incumplimiento de la medida interpuesta a la parte ofensora.</w:t>
      </w:r>
    </w:p>
    <w:p w14:paraId="181FFEC6" w14:textId="77777777" w:rsidR="00D91634" w:rsidRPr="005149C4" w:rsidRDefault="00D91634" w:rsidP="00D91634">
      <w:pPr>
        <w:tabs>
          <w:tab w:val="left" w:pos="0"/>
        </w:tabs>
      </w:pPr>
      <w:r w:rsidRPr="005149C4">
        <w:t xml:space="preserve">Por otra parte, el artículo 22 de la Ley 9582 de Justicia Restaurativa establece lo siguiente: </w:t>
      </w:r>
    </w:p>
    <w:p w14:paraId="56D78616" w14:textId="4DB55037" w:rsidR="00D91634" w:rsidRPr="005149C4" w:rsidRDefault="00D91634" w:rsidP="00D91634">
      <w:pPr>
        <w:tabs>
          <w:tab w:val="left" w:pos="586"/>
        </w:tabs>
        <w:ind w:left="586" w:right="858"/>
        <w:rPr>
          <w:i/>
          <w:iCs/>
        </w:rPr>
      </w:pPr>
      <w:r w:rsidRPr="005149C4">
        <w:rPr>
          <w:i/>
          <w:iCs/>
        </w:rPr>
        <w:t>“Entre el ingreso del caso a la Oficina de Justicia Restaurativa y la celebración de la reunión restaurativa no podrá exceder el plazo máximo de un mes y en los casos tramitados bajo el procedimiento de flagrancia no podrá exceder el plazo de diez días. En los protocolos de actuación o en el reglamento de esta ley se deberán elaborar los procedimientos para garantizar la celeridad de los plazos, según el mandato de esta ley. “</w:t>
      </w:r>
    </w:p>
    <w:p w14:paraId="23BBEE70" w14:textId="77777777" w:rsidR="005B4B77" w:rsidRPr="005149C4" w:rsidRDefault="005B4B77" w:rsidP="00D35EEC">
      <w:pPr>
        <w:tabs>
          <w:tab w:val="left" w:pos="586"/>
        </w:tabs>
        <w:ind w:right="49"/>
      </w:pPr>
      <w:r w:rsidRPr="005149C4">
        <w:t xml:space="preserve">A partir de lo anterior, es necesario realizar el proceso de entrevistas de modo que la reunión restaurativa sea realizada dentro del plazo de ley, no obstante, de las Reuniones Restaurativas programadas se cuenta con un porcentaje de no realización debido a motivos como: </w:t>
      </w:r>
    </w:p>
    <w:p w14:paraId="7BB704BE" w14:textId="77777777" w:rsidR="005B4B77" w:rsidRPr="005149C4" w:rsidRDefault="005B4B77" w:rsidP="00464330">
      <w:pPr>
        <w:tabs>
          <w:tab w:val="left" w:pos="586"/>
        </w:tabs>
        <w:spacing w:before="120" w:after="120" w:line="240" w:lineRule="auto"/>
        <w:ind w:right="856"/>
      </w:pPr>
      <w:r w:rsidRPr="005149C4">
        <w:t>•</w:t>
      </w:r>
      <w:r w:rsidRPr="005149C4">
        <w:tab/>
        <w:t>La persona no se presentó</w:t>
      </w:r>
    </w:p>
    <w:p w14:paraId="373DE6DC" w14:textId="77777777" w:rsidR="005B4B77" w:rsidRPr="005149C4" w:rsidRDefault="005B4B77" w:rsidP="00464330">
      <w:pPr>
        <w:tabs>
          <w:tab w:val="left" w:pos="586"/>
        </w:tabs>
        <w:spacing w:before="120" w:after="120" w:line="240" w:lineRule="auto"/>
        <w:ind w:right="856"/>
      </w:pPr>
      <w:r w:rsidRPr="005149C4">
        <w:t>•</w:t>
      </w:r>
      <w:r w:rsidRPr="005149C4">
        <w:tab/>
        <w:t>La víctima no se presentó</w:t>
      </w:r>
    </w:p>
    <w:p w14:paraId="5CCE46E2" w14:textId="77777777" w:rsidR="005B4B77" w:rsidRPr="005149C4" w:rsidRDefault="005B4B77" w:rsidP="00464330">
      <w:pPr>
        <w:tabs>
          <w:tab w:val="left" w:pos="586"/>
        </w:tabs>
        <w:spacing w:before="120" w:after="120" w:line="240" w:lineRule="auto"/>
        <w:ind w:right="856"/>
      </w:pPr>
      <w:r w:rsidRPr="005149C4">
        <w:t>•</w:t>
      </w:r>
      <w:r w:rsidRPr="005149C4">
        <w:tab/>
        <w:t>No se presentó abogado particular</w:t>
      </w:r>
    </w:p>
    <w:p w14:paraId="70823872" w14:textId="77777777" w:rsidR="005B4B77" w:rsidRPr="005149C4" w:rsidRDefault="005B4B77" w:rsidP="00464330">
      <w:pPr>
        <w:tabs>
          <w:tab w:val="left" w:pos="586"/>
        </w:tabs>
        <w:spacing w:before="120" w:after="120" w:line="240" w:lineRule="auto"/>
        <w:ind w:right="856"/>
      </w:pPr>
      <w:r w:rsidRPr="005149C4">
        <w:t>•</w:t>
      </w:r>
      <w:r w:rsidRPr="005149C4">
        <w:tab/>
        <w:t>Otros motivos</w:t>
      </w:r>
    </w:p>
    <w:p w14:paraId="4EBC6047" w14:textId="2351EC6B" w:rsidR="005B4B77" w:rsidRPr="005149C4" w:rsidRDefault="005B4B77" w:rsidP="005B4B77">
      <w:pPr>
        <w:tabs>
          <w:tab w:val="left" w:pos="586"/>
        </w:tabs>
        <w:ind w:right="858"/>
      </w:pPr>
      <w:r w:rsidRPr="005149C4">
        <w:t>Los motivos anteriormente indicados se encuentran registrados en los anuarios judiciales elaborados por el Sub</w:t>
      </w:r>
      <w:r w:rsidR="009B4A99" w:rsidRPr="005149C4">
        <w:t>p</w:t>
      </w:r>
      <w:r w:rsidRPr="005149C4">
        <w:t>roceso de Estadística de la Dirección de Planificación, así como unificados dentro del rubro de Reuniones No Realizadas.</w:t>
      </w:r>
    </w:p>
    <w:p w14:paraId="3FD339A7" w14:textId="5643664D" w:rsidR="005B4B77" w:rsidRPr="005149C4" w:rsidRDefault="005B4B77" w:rsidP="005B4B77">
      <w:pPr>
        <w:tabs>
          <w:tab w:val="left" w:pos="586"/>
        </w:tabs>
        <w:ind w:right="858"/>
      </w:pPr>
      <w:r w:rsidRPr="005149C4">
        <w:t>A continuación, se presente el detalle de las reuniones restaurativas según equipo interdisciplinario para el</w:t>
      </w:r>
      <w:r w:rsidR="008A5434" w:rsidRPr="005149C4">
        <w:t xml:space="preserve"> </w:t>
      </w:r>
      <w:r w:rsidRPr="005149C4">
        <w:t>año 20</w:t>
      </w:r>
      <w:r w:rsidR="008A5434" w:rsidRPr="005149C4">
        <w:t>2</w:t>
      </w:r>
      <w:r w:rsidR="00602E91" w:rsidRPr="005149C4">
        <w:t>2</w:t>
      </w:r>
      <w:r w:rsidRPr="005149C4">
        <w:t>:</w:t>
      </w:r>
    </w:p>
    <w:p w14:paraId="1E703DD9" w14:textId="04F52B18" w:rsidR="00F5021B" w:rsidRPr="005149C4" w:rsidRDefault="008A5434" w:rsidP="00F5021B">
      <w:pPr>
        <w:ind w:left="284" w:right="333"/>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11</w:t>
      </w:r>
      <w:r w:rsidRPr="005149C4">
        <w:rPr>
          <w:b/>
          <w:bCs/>
          <w:sz w:val="20"/>
          <w:szCs w:val="20"/>
        </w:rPr>
        <w:fldChar w:fldCharType="end"/>
      </w:r>
      <w:r w:rsidRPr="005149C4">
        <w:rPr>
          <w:b/>
          <w:bCs/>
          <w:sz w:val="20"/>
          <w:szCs w:val="20"/>
        </w:rPr>
        <w:t xml:space="preserve">. </w:t>
      </w:r>
      <w:r w:rsidR="00CE6CB8" w:rsidRPr="005149C4">
        <w:rPr>
          <w:b/>
          <w:bCs/>
          <w:sz w:val="20"/>
          <w:szCs w:val="20"/>
        </w:rPr>
        <w:t xml:space="preserve">Reuniones Restaurativas en materia Penal Adulto para el </w:t>
      </w:r>
      <w:r w:rsidR="00A67618" w:rsidRPr="005149C4">
        <w:rPr>
          <w:b/>
          <w:bCs/>
          <w:sz w:val="20"/>
          <w:szCs w:val="20"/>
        </w:rPr>
        <w:t>año</w:t>
      </w:r>
      <w:r w:rsidR="00CE6CB8" w:rsidRPr="005149C4">
        <w:rPr>
          <w:b/>
          <w:bCs/>
          <w:sz w:val="20"/>
          <w:szCs w:val="20"/>
        </w:rPr>
        <w:t xml:space="preserve"> 202</w:t>
      </w:r>
      <w:r w:rsidR="00602E91" w:rsidRPr="005149C4">
        <w:rPr>
          <w:b/>
          <w:bCs/>
          <w:sz w:val="20"/>
          <w:szCs w:val="20"/>
        </w:rPr>
        <w:t>2</w:t>
      </w:r>
    </w:p>
    <w:tbl>
      <w:tblPr>
        <w:tblW w:w="10358" w:type="dxa"/>
        <w:tblInd w:w="-449" w:type="dxa"/>
        <w:tblCellMar>
          <w:left w:w="70" w:type="dxa"/>
          <w:right w:w="70" w:type="dxa"/>
        </w:tblCellMar>
        <w:tblLook w:val="04A0" w:firstRow="1" w:lastRow="0" w:firstColumn="1" w:lastColumn="0" w:noHBand="0" w:noVBand="1"/>
      </w:tblPr>
      <w:tblGrid>
        <w:gridCol w:w="1667"/>
        <w:gridCol w:w="1093"/>
        <w:gridCol w:w="608"/>
        <w:gridCol w:w="1027"/>
        <w:gridCol w:w="408"/>
        <w:gridCol w:w="991"/>
        <w:gridCol w:w="408"/>
        <w:gridCol w:w="1364"/>
        <w:gridCol w:w="508"/>
        <w:gridCol w:w="1186"/>
        <w:gridCol w:w="408"/>
        <w:gridCol w:w="690"/>
      </w:tblGrid>
      <w:tr w:rsidR="00602E91" w:rsidRPr="005149C4" w14:paraId="2568E52B" w14:textId="77777777" w:rsidTr="00602E91">
        <w:trPr>
          <w:trHeight w:val="360"/>
        </w:trPr>
        <w:tc>
          <w:tcPr>
            <w:tcW w:w="1667"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35CB659E"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Circuito Judicial</w:t>
            </w:r>
          </w:p>
        </w:tc>
        <w:tc>
          <w:tcPr>
            <w:tcW w:w="8691"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57063D42"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Reuniones programadas</w:t>
            </w:r>
          </w:p>
        </w:tc>
      </w:tr>
      <w:tr w:rsidR="00602E91" w:rsidRPr="005149C4" w14:paraId="05CD22C6" w14:textId="77777777" w:rsidTr="00602E91">
        <w:trPr>
          <w:trHeight w:val="360"/>
        </w:trPr>
        <w:tc>
          <w:tcPr>
            <w:tcW w:w="1667" w:type="dxa"/>
            <w:vMerge/>
            <w:tcBorders>
              <w:top w:val="double" w:sz="6" w:space="0" w:color="1F4E78"/>
              <w:left w:val="double" w:sz="6" w:space="0" w:color="1F4E78"/>
              <w:bottom w:val="double" w:sz="6" w:space="0" w:color="1F4E78"/>
              <w:right w:val="double" w:sz="6" w:space="0" w:color="1F4E78"/>
            </w:tcBorders>
            <w:vAlign w:val="center"/>
            <w:hideMark/>
          </w:tcPr>
          <w:p w14:paraId="442C7471" w14:textId="77777777" w:rsidR="00602E91" w:rsidRPr="00602E91" w:rsidRDefault="00602E91" w:rsidP="00602E91">
            <w:pPr>
              <w:spacing w:before="0" w:after="0" w:line="240" w:lineRule="auto"/>
              <w:jc w:val="left"/>
              <w:rPr>
                <w:rFonts w:eastAsia="Times New Roman" w:cs="Calibri"/>
                <w:color w:val="FFFFFF"/>
                <w:sz w:val="20"/>
                <w:szCs w:val="20"/>
                <w:lang w:eastAsia="es-CR"/>
              </w:rPr>
            </w:pPr>
          </w:p>
        </w:tc>
        <w:tc>
          <w:tcPr>
            <w:tcW w:w="1093" w:type="dxa"/>
            <w:tcBorders>
              <w:top w:val="nil"/>
              <w:left w:val="nil"/>
              <w:bottom w:val="double" w:sz="6" w:space="0" w:color="1F4E78"/>
              <w:right w:val="double" w:sz="6" w:space="0" w:color="1F4E78"/>
            </w:tcBorders>
            <w:shd w:val="clear" w:color="000000" w:fill="365F91"/>
            <w:noWrap/>
            <w:vAlign w:val="center"/>
            <w:hideMark/>
          </w:tcPr>
          <w:p w14:paraId="787BFA60"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Realizadas</w:t>
            </w:r>
          </w:p>
        </w:tc>
        <w:tc>
          <w:tcPr>
            <w:tcW w:w="608" w:type="dxa"/>
            <w:tcBorders>
              <w:top w:val="nil"/>
              <w:left w:val="nil"/>
              <w:bottom w:val="double" w:sz="6" w:space="0" w:color="1F4E78"/>
              <w:right w:val="double" w:sz="6" w:space="0" w:color="1F4E78"/>
            </w:tcBorders>
            <w:shd w:val="clear" w:color="000000" w:fill="365F91"/>
            <w:noWrap/>
            <w:vAlign w:val="center"/>
            <w:hideMark/>
          </w:tcPr>
          <w:p w14:paraId="47412139"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w:t>
            </w:r>
          </w:p>
        </w:tc>
        <w:tc>
          <w:tcPr>
            <w:tcW w:w="0" w:type="auto"/>
            <w:tcBorders>
              <w:top w:val="nil"/>
              <w:left w:val="nil"/>
              <w:bottom w:val="double" w:sz="6" w:space="0" w:color="1F4E78"/>
              <w:right w:val="double" w:sz="6" w:space="0" w:color="1F4E78"/>
            </w:tcBorders>
            <w:shd w:val="clear" w:color="000000" w:fill="365F91"/>
            <w:noWrap/>
            <w:vAlign w:val="center"/>
            <w:hideMark/>
          </w:tcPr>
          <w:p w14:paraId="28A4545C"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Pendiente</w:t>
            </w:r>
          </w:p>
        </w:tc>
        <w:tc>
          <w:tcPr>
            <w:tcW w:w="0" w:type="auto"/>
            <w:tcBorders>
              <w:top w:val="nil"/>
              <w:left w:val="nil"/>
              <w:bottom w:val="double" w:sz="6" w:space="0" w:color="1F4E78"/>
              <w:right w:val="double" w:sz="6" w:space="0" w:color="1F4E78"/>
            </w:tcBorders>
            <w:shd w:val="clear" w:color="000000" w:fill="365F91"/>
            <w:noWrap/>
            <w:vAlign w:val="center"/>
            <w:hideMark/>
          </w:tcPr>
          <w:p w14:paraId="4345204B"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w:t>
            </w:r>
          </w:p>
        </w:tc>
        <w:tc>
          <w:tcPr>
            <w:tcW w:w="0" w:type="auto"/>
            <w:tcBorders>
              <w:top w:val="nil"/>
              <w:left w:val="nil"/>
              <w:bottom w:val="double" w:sz="6" w:space="0" w:color="1F4E78"/>
              <w:right w:val="double" w:sz="6" w:space="0" w:color="1F4E78"/>
            </w:tcBorders>
            <w:shd w:val="clear" w:color="000000" w:fill="365F91"/>
            <w:noWrap/>
            <w:vAlign w:val="center"/>
            <w:hideMark/>
          </w:tcPr>
          <w:p w14:paraId="4DF4B30A"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Sin efecto</w:t>
            </w:r>
          </w:p>
        </w:tc>
        <w:tc>
          <w:tcPr>
            <w:tcW w:w="0" w:type="auto"/>
            <w:tcBorders>
              <w:top w:val="nil"/>
              <w:left w:val="nil"/>
              <w:bottom w:val="double" w:sz="6" w:space="0" w:color="1F4E78"/>
              <w:right w:val="double" w:sz="6" w:space="0" w:color="1F4E78"/>
            </w:tcBorders>
            <w:shd w:val="clear" w:color="000000" w:fill="365F91"/>
            <w:noWrap/>
            <w:vAlign w:val="center"/>
            <w:hideMark/>
          </w:tcPr>
          <w:p w14:paraId="3F855FA6"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w:t>
            </w:r>
          </w:p>
        </w:tc>
        <w:tc>
          <w:tcPr>
            <w:tcW w:w="0" w:type="auto"/>
            <w:tcBorders>
              <w:top w:val="nil"/>
              <w:left w:val="nil"/>
              <w:bottom w:val="double" w:sz="6" w:space="0" w:color="1F4E78"/>
              <w:right w:val="double" w:sz="6" w:space="0" w:color="1F4E78"/>
            </w:tcBorders>
            <w:shd w:val="clear" w:color="000000" w:fill="365F91"/>
            <w:noWrap/>
            <w:vAlign w:val="center"/>
            <w:hideMark/>
          </w:tcPr>
          <w:p w14:paraId="7AB3350C"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No realizadas</w:t>
            </w:r>
          </w:p>
        </w:tc>
        <w:tc>
          <w:tcPr>
            <w:tcW w:w="0" w:type="auto"/>
            <w:tcBorders>
              <w:top w:val="nil"/>
              <w:left w:val="nil"/>
              <w:bottom w:val="double" w:sz="6" w:space="0" w:color="1F4E78"/>
              <w:right w:val="double" w:sz="6" w:space="0" w:color="1F4E78"/>
            </w:tcBorders>
            <w:shd w:val="clear" w:color="000000" w:fill="365F91"/>
            <w:noWrap/>
            <w:vAlign w:val="center"/>
            <w:hideMark/>
          </w:tcPr>
          <w:p w14:paraId="48071415"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w:t>
            </w:r>
          </w:p>
        </w:tc>
        <w:tc>
          <w:tcPr>
            <w:tcW w:w="0" w:type="auto"/>
            <w:tcBorders>
              <w:top w:val="nil"/>
              <w:left w:val="nil"/>
              <w:bottom w:val="double" w:sz="6" w:space="0" w:color="1F4E78"/>
              <w:right w:val="double" w:sz="6" w:space="0" w:color="1F4E78"/>
            </w:tcBorders>
            <w:shd w:val="clear" w:color="000000" w:fill="365F91"/>
            <w:noWrap/>
            <w:vAlign w:val="center"/>
            <w:hideMark/>
          </w:tcPr>
          <w:p w14:paraId="529A33E2"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Suspendida</w:t>
            </w:r>
          </w:p>
        </w:tc>
        <w:tc>
          <w:tcPr>
            <w:tcW w:w="0" w:type="auto"/>
            <w:tcBorders>
              <w:top w:val="nil"/>
              <w:left w:val="nil"/>
              <w:bottom w:val="double" w:sz="6" w:space="0" w:color="1F4E78"/>
              <w:right w:val="double" w:sz="6" w:space="0" w:color="1F4E78"/>
            </w:tcBorders>
            <w:shd w:val="clear" w:color="000000" w:fill="365F91"/>
            <w:noWrap/>
            <w:vAlign w:val="center"/>
            <w:hideMark/>
          </w:tcPr>
          <w:p w14:paraId="00C53F2B"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w:t>
            </w:r>
          </w:p>
        </w:tc>
        <w:tc>
          <w:tcPr>
            <w:tcW w:w="690" w:type="dxa"/>
            <w:tcBorders>
              <w:top w:val="nil"/>
              <w:left w:val="nil"/>
              <w:bottom w:val="double" w:sz="6" w:space="0" w:color="1F4E78"/>
              <w:right w:val="double" w:sz="6" w:space="0" w:color="1F4E78"/>
            </w:tcBorders>
            <w:shd w:val="clear" w:color="000000" w:fill="365F91"/>
            <w:noWrap/>
            <w:vAlign w:val="center"/>
            <w:hideMark/>
          </w:tcPr>
          <w:p w14:paraId="2A1514D6" w14:textId="77777777" w:rsidR="00602E91" w:rsidRPr="00602E91" w:rsidRDefault="00602E91" w:rsidP="00602E91">
            <w:pPr>
              <w:spacing w:before="0" w:after="0" w:line="240" w:lineRule="auto"/>
              <w:jc w:val="center"/>
              <w:rPr>
                <w:rFonts w:eastAsia="Times New Roman" w:cs="Calibri"/>
                <w:color w:val="FFFFFF"/>
                <w:sz w:val="20"/>
                <w:szCs w:val="20"/>
                <w:lang w:eastAsia="es-CR"/>
              </w:rPr>
            </w:pPr>
            <w:r w:rsidRPr="00602E91">
              <w:rPr>
                <w:rFonts w:eastAsia="Times New Roman" w:cs="Calibri"/>
                <w:color w:val="FFFFFF"/>
                <w:sz w:val="20"/>
                <w:szCs w:val="20"/>
                <w:lang w:eastAsia="es-CR"/>
              </w:rPr>
              <w:t>Total</w:t>
            </w:r>
          </w:p>
        </w:tc>
      </w:tr>
      <w:tr w:rsidR="00602E91" w:rsidRPr="005149C4" w14:paraId="19B318FB"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29BBBA6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II Circuito Judicial de San José</w:t>
            </w:r>
          </w:p>
        </w:tc>
        <w:tc>
          <w:tcPr>
            <w:tcW w:w="1093" w:type="dxa"/>
            <w:tcBorders>
              <w:top w:val="nil"/>
              <w:left w:val="nil"/>
              <w:bottom w:val="double" w:sz="6" w:space="0" w:color="1F4E78"/>
              <w:right w:val="double" w:sz="6" w:space="0" w:color="1F4E78"/>
            </w:tcBorders>
            <w:shd w:val="clear" w:color="auto" w:fill="auto"/>
            <w:noWrap/>
            <w:vAlign w:val="bottom"/>
            <w:hideMark/>
          </w:tcPr>
          <w:p w14:paraId="21EB6AB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351</w:t>
            </w:r>
          </w:p>
        </w:tc>
        <w:tc>
          <w:tcPr>
            <w:tcW w:w="608" w:type="dxa"/>
            <w:tcBorders>
              <w:top w:val="nil"/>
              <w:left w:val="nil"/>
              <w:bottom w:val="double" w:sz="6" w:space="0" w:color="1F4E78"/>
              <w:right w:val="double" w:sz="6" w:space="0" w:color="1F4E78"/>
            </w:tcBorders>
            <w:shd w:val="clear" w:color="auto" w:fill="auto"/>
            <w:noWrap/>
            <w:vAlign w:val="bottom"/>
            <w:hideMark/>
          </w:tcPr>
          <w:p w14:paraId="5F697D0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92%</w:t>
            </w:r>
          </w:p>
        </w:tc>
        <w:tc>
          <w:tcPr>
            <w:tcW w:w="0" w:type="auto"/>
            <w:tcBorders>
              <w:top w:val="nil"/>
              <w:left w:val="nil"/>
              <w:bottom w:val="double" w:sz="6" w:space="0" w:color="1F4E78"/>
              <w:right w:val="double" w:sz="6" w:space="0" w:color="1F4E78"/>
            </w:tcBorders>
            <w:shd w:val="clear" w:color="auto" w:fill="auto"/>
            <w:noWrap/>
            <w:vAlign w:val="bottom"/>
            <w:hideMark/>
          </w:tcPr>
          <w:p w14:paraId="6CEF555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16</w:t>
            </w:r>
          </w:p>
        </w:tc>
        <w:tc>
          <w:tcPr>
            <w:tcW w:w="0" w:type="auto"/>
            <w:tcBorders>
              <w:top w:val="nil"/>
              <w:left w:val="nil"/>
              <w:bottom w:val="double" w:sz="6" w:space="0" w:color="1F4E78"/>
              <w:right w:val="double" w:sz="6" w:space="0" w:color="1F4E78"/>
            </w:tcBorders>
            <w:shd w:val="clear" w:color="auto" w:fill="auto"/>
            <w:noWrap/>
            <w:vAlign w:val="bottom"/>
            <w:hideMark/>
          </w:tcPr>
          <w:p w14:paraId="34AAE00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0" w:type="auto"/>
            <w:tcBorders>
              <w:top w:val="nil"/>
              <w:left w:val="nil"/>
              <w:bottom w:val="double" w:sz="6" w:space="0" w:color="1F4E78"/>
              <w:right w:val="double" w:sz="6" w:space="0" w:color="1F4E78"/>
            </w:tcBorders>
            <w:shd w:val="clear" w:color="auto" w:fill="auto"/>
            <w:noWrap/>
            <w:vAlign w:val="bottom"/>
            <w:hideMark/>
          </w:tcPr>
          <w:p w14:paraId="1A62119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3F49908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043AF14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w:t>
            </w:r>
          </w:p>
        </w:tc>
        <w:tc>
          <w:tcPr>
            <w:tcW w:w="0" w:type="auto"/>
            <w:tcBorders>
              <w:top w:val="nil"/>
              <w:left w:val="nil"/>
              <w:bottom w:val="double" w:sz="6" w:space="0" w:color="1F4E78"/>
              <w:right w:val="double" w:sz="6" w:space="0" w:color="1F4E78"/>
            </w:tcBorders>
            <w:shd w:val="clear" w:color="auto" w:fill="auto"/>
            <w:noWrap/>
            <w:vAlign w:val="bottom"/>
            <w:hideMark/>
          </w:tcPr>
          <w:p w14:paraId="6447D16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w:t>
            </w:r>
          </w:p>
        </w:tc>
        <w:tc>
          <w:tcPr>
            <w:tcW w:w="0" w:type="auto"/>
            <w:tcBorders>
              <w:top w:val="nil"/>
              <w:left w:val="nil"/>
              <w:bottom w:val="double" w:sz="6" w:space="0" w:color="1F4E78"/>
              <w:right w:val="double" w:sz="6" w:space="0" w:color="1F4E78"/>
            </w:tcBorders>
            <w:shd w:val="clear" w:color="auto" w:fill="auto"/>
            <w:noWrap/>
            <w:vAlign w:val="bottom"/>
            <w:hideMark/>
          </w:tcPr>
          <w:p w14:paraId="3239C36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w:t>
            </w:r>
          </w:p>
        </w:tc>
        <w:tc>
          <w:tcPr>
            <w:tcW w:w="0" w:type="auto"/>
            <w:tcBorders>
              <w:top w:val="nil"/>
              <w:left w:val="nil"/>
              <w:bottom w:val="double" w:sz="6" w:space="0" w:color="1F4E78"/>
              <w:right w:val="double" w:sz="6" w:space="0" w:color="1F4E78"/>
            </w:tcBorders>
            <w:shd w:val="clear" w:color="auto" w:fill="auto"/>
            <w:noWrap/>
            <w:vAlign w:val="bottom"/>
            <w:hideMark/>
          </w:tcPr>
          <w:p w14:paraId="6D0ADFF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690" w:type="dxa"/>
            <w:tcBorders>
              <w:top w:val="nil"/>
              <w:left w:val="nil"/>
              <w:bottom w:val="double" w:sz="6" w:space="0" w:color="1F4E78"/>
              <w:right w:val="double" w:sz="6" w:space="0" w:color="1F4E78"/>
            </w:tcBorders>
            <w:shd w:val="clear" w:color="auto" w:fill="auto"/>
            <w:noWrap/>
            <w:vAlign w:val="bottom"/>
            <w:hideMark/>
          </w:tcPr>
          <w:p w14:paraId="55402AB4"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380</w:t>
            </w:r>
          </w:p>
        </w:tc>
      </w:tr>
      <w:tr w:rsidR="00602E91" w:rsidRPr="005149C4" w14:paraId="51751D34"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06D203A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III Circuito Judicial de San José</w:t>
            </w:r>
          </w:p>
        </w:tc>
        <w:tc>
          <w:tcPr>
            <w:tcW w:w="1093" w:type="dxa"/>
            <w:tcBorders>
              <w:top w:val="nil"/>
              <w:left w:val="nil"/>
              <w:bottom w:val="double" w:sz="6" w:space="0" w:color="1F4E78"/>
              <w:right w:val="double" w:sz="6" w:space="0" w:color="1F4E78"/>
            </w:tcBorders>
            <w:shd w:val="clear" w:color="auto" w:fill="auto"/>
            <w:noWrap/>
            <w:vAlign w:val="bottom"/>
            <w:hideMark/>
          </w:tcPr>
          <w:p w14:paraId="41E275B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138</w:t>
            </w:r>
          </w:p>
        </w:tc>
        <w:tc>
          <w:tcPr>
            <w:tcW w:w="608" w:type="dxa"/>
            <w:tcBorders>
              <w:top w:val="nil"/>
              <w:left w:val="nil"/>
              <w:bottom w:val="double" w:sz="6" w:space="0" w:color="1F4E78"/>
              <w:right w:val="double" w:sz="6" w:space="0" w:color="1F4E78"/>
            </w:tcBorders>
            <w:shd w:val="clear" w:color="auto" w:fill="auto"/>
            <w:noWrap/>
            <w:vAlign w:val="bottom"/>
            <w:hideMark/>
          </w:tcPr>
          <w:p w14:paraId="27CB67E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67%</w:t>
            </w:r>
          </w:p>
        </w:tc>
        <w:tc>
          <w:tcPr>
            <w:tcW w:w="0" w:type="auto"/>
            <w:tcBorders>
              <w:top w:val="nil"/>
              <w:left w:val="nil"/>
              <w:bottom w:val="double" w:sz="6" w:space="0" w:color="1F4E78"/>
              <w:right w:val="double" w:sz="6" w:space="0" w:color="1F4E78"/>
            </w:tcBorders>
            <w:shd w:val="clear" w:color="auto" w:fill="auto"/>
            <w:noWrap/>
            <w:vAlign w:val="bottom"/>
            <w:hideMark/>
          </w:tcPr>
          <w:p w14:paraId="415D715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12</w:t>
            </w:r>
          </w:p>
        </w:tc>
        <w:tc>
          <w:tcPr>
            <w:tcW w:w="0" w:type="auto"/>
            <w:tcBorders>
              <w:top w:val="nil"/>
              <w:left w:val="nil"/>
              <w:bottom w:val="double" w:sz="6" w:space="0" w:color="1F4E78"/>
              <w:right w:val="double" w:sz="6" w:space="0" w:color="1F4E78"/>
            </w:tcBorders>
            <w:shd w:val="clear" w:color="auto" w:fill="auto"/>
            <w:noWrap/>
            <w:vAlign w:val="bottom"/>
            <w:hideMark/>
          </w:tcPr>
          <w:p w14:paraId="38D101F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6%</w:t>
            </w:r>
          </w:p>
        </w:tc>
        <w:tc>
          <w:tcPr>
            <w:tcW w:w="0" w:type="auto"/>
            <w:tcBorders>
              <w:top w:val="nil"/>
              <w:left w:val="nil"/>
              <w:bottom w:val="double" w:sz="6" w:space="0" w:color="1F4E78"/>
              <w:right w:val="double" w:sz="6" w:space="0" w:color="1F4E78"/>
            </w:tcBorders>
            <w:shd w:val="clear" w:color="auto" w:fill="auto"/>
            <w:noWrap/>
            <w:vAlign w:val="bottom"/>
            <w:hideMark/>
          </w:tcPr>
          <w:p w14:paraId="454492B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72BDE66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7A3CC86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45</w:t>
            </w:r>
          </w:p>
        </w:tc>
        <w:tc>
          <w:tcPr>
            <w:tcW w:w="0" w:type="auto"/>
            <w:tcBorders>
              <w:top w:val="nil"/>
              <w:left w:val="nil"/>
              <w:bottom w:val="double" w:sz="6" w:space="0" w:color="1F4E78"/>
              <w:right w:val="double" w:sz="6" w:space="0" w:color="1F4E78"/>
            </w:tcBorders>
            <w:shd w:val="clear" w:color="auto" w:fill="auto"/>
            <w:noWrap/>
            <w:vAlign w:val="bottom"/>
            <w:hideMark/>
          </w:tcPr>
          <w:p w14:paraId="08E1AA5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22%</w:t>
            </w:r>
          </w:p>
        </w:tc>
        <w:tc>
          <w:tcPr>
            <w:tcW w:w="0" w:type="auto"/>
            <w:tcBorders>
              <w:top w:val="nil"/>
              <w:left w:val="nil"/>
              <w:bottom w:val="double" w:sz="6" w:space="0" w:color="1F4E78"/>
              <w:right w:val="double" w:sz="6" w:space="0" w:color="1F4E78"/>
            </w:tcBorders>
            <w:shd w:val="clear" w:color="auto" w:fill="auto"/>
            <w:noWrap/>
            <w:vAlign w:val="bottom"/>
            <w:hideMark/>
          </w:tcPr>
          <w:p w14:paraId="5450434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11</w:t>
            </w:r>
          </w:p>
        </w:tc>
        <w:tc>
          <w:tcPr>
            <w:tcW w:w="0" w:type="auto"/>
            <w:tcBorders>
              <w:top w:val="nil"/>
              <w:left w:val="nil"/>
              <w:bottom w:val="double" w:sz="6" w:space="0" w:color="1F4E78"/>
              <w:right w:val="double" w:sz="6" w:space="0" w:color="1F4E78"/>
            </w:tcBorders>
            <w:shd w:val="clear" w:color="auto" w:fill="auto"/>
            <w:noWrap/>
            <w:vAlign w:val="bottom"/>
            <w:hideMark/>
          </w:tcPr>
          <w:p w14:paraId="2632418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w:t>
            </w:r>
          </w:p>
        </w:tc>
        <w:tc>
          <w:tcPr>
            <w:tcW w:w="690" w:type="dxa"/>
            <w:tcBorders>
              <w:top w:val="nil"/>
              <w:left w:val="nil"/>
              <w:bottom w:val="double" w:sz="6" w:space="0" w:color="1F4E78"/>
              <w:right w:val="double" w:sz="6" w:space="0" w:color="1F4E78"/>
            </w:tcBorders>
            <w:shd w:val="clear" w:color="auto" w:fill="auto"/>
            <w:noWrap/>
            <w:vAlign w:val="bottom"/>
            <w:hideMark/>
          </w:tcPr>
          <w:p w14:paraId="7107C09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206</w:t>
            </w:r>
          </w:p>
        </w:tc>
      </w:tr>
      <w:tr w:rsidR="00602E91" w:rsidRPr="005149C4" w14:paraId="47C85899" w14:textId="77777777" w:rsidTr="00602E91">
        <w:trPr>
          <w:trHeight w:val="33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14EE298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Cartago</w:t>
            </w:r>
          </w:p>
        </w:tc>
        <w:tc>
          <w:tcPr>
            <w:tcW w:w="1093" w:type="dxa"/>
            <w:tcBorders>
              <w:top w:val="nil"/>
              <w:left w:val="nil"/>
              <w:bottom w:val="double" w:sz="6" w:space="0" w:color="1F4E78"/>
              <w:right w:val="double" w:sz="6" w:space="0" w:color="1F4E78"/>
            </w:tcBorders>
            <w:shd w:val="clear" w:color="auto" w:fill="auto"/>
            <w:noWrap/>
            <w:vAlign w:val="bottom"/>
            <w:hideMark/>
          </w:tcPr>
          <w:p w14:paraId="0FBC37D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223</w:t>
            </w:r>
          </w:p>
        </w:tc>
        <w:tc>
          <w:tcPr>
            <w:tcW w:w="608" w:type="dxa"/>
            <w:tcBorders>
              <w:top w:val="nil"/>
              <w:left w:val="nil"/>
              <w:bottom w:val="double" w:sz="6" w:space="0" w:color="1F4E78"/>
              <w:right w:val="double" w:sz="6" w:space="0" w:color="1F4E78"/>
            </w:tcBorders>
            <w:shd w:val="clear" w:color="auto" w:fill="auto"/>
            <w:noWrap/>
            <w:vAlign w:val="bottom"/>
            <w:hideMark/>
          </w:tcPr>
          <w:p w14:paraId="42B759D2"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83%</w:t>
            </w:r>
          </w:p>
        </w:tc>
        <w:tc>
          <w:tcPr>
            <w:tcW w:w="0" w:type="auto"/>
            <w:tcBorders>
              <w:top w:val="nil"/>
              <w:left w:val="nil"/>
              <w:bottom w:val="double" w:sz="6" w:space="0" w:color="1F4E78"/>
              <w:right w:val="double" w:sz="6" w:space="0" w:color="1F4E78"/>
            </w:tcBorders>
            <w:shd w:val="clear" w:color="auto" w:fill="auto"/>
            <w:noWrap/>
            <w:vAlign w:val="bottom"/>
            <w:hideMark/>
          </w:tcPr>
          <w:p w14:paraId="0EFDACE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34DEC4B4"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612CFC5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15DA66D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76A8CF0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34</w:t>
            </w:r>
          </w:p>
        </w:tc>
        <w:tc>
          <w:tcPr>
            <w:tcW w:w="0" w:type="auto"/>
            <w:tcBorders>
              <w:top w:val="nil"/>
              <w:left w:val="nil"/>
              <w:bottom w:val="double" w:sz="6" w:space="0" w:color="1F4E78"/>
              <w:right w:val="double" w:sz="6" w:space="0" w:color="1F4E78"/>
            </w:tcBorders>
            <w:shd w:val="clear" w:color="auto" w:fill="auto"/>
            <w:noWrap/>
            <w:vAlign w:val="bottom"/>
            <w:hideMark/>
          </w:tcPr>
          <w:p w14:paraId="451C0A5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13%</w:t>
            </w:r>
          </w:p>
        </w:tc>
        <w:tc>
          <w:tcPr>
            <w:tcW w:w="0" w:type="auto"/>
            <w:tcBorders>
              <w:top w:val="nil"/>
              <w:left w:val="nil"/>
              <w:bottom w:val="double" w:sz="6" w:space="0" w:color="1F4E78"/>
              <w:right w:val="double" w:sz="6" w:space="0" w:color="1F4E78"/>
            </w:tcBorders>
            <w:shd w:val="clear" w:color="auto" w:fill="auto"/>
            <w:noWrap/>
            <w:vAlign w:val="bottom"/>
            <w:hideMark/>
          </w:tcPr>
          <w:p w14:paraId="5FC5F66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w:t>
            </w:r>
          </w:p>
        </w:tc>
        <w:tc>
          <w:tcPr>
            <w:tcW w:w="0" w:type="auto"/>
            <w:tcBorders>
              <w:top w:val="nil"/>
              <w:left w:val="nil"/>
              <w:bottom w:val="double" w:sz="6" w:space="0" w:color="1F4E78"/>
              <w:right w:val="double" w:sz="6" w:space="0" w:color="1F4E78"/>
            </w:tcBorders>
            <w:shd w:val="clear" w:color="auto" w:fill="auto"/>
            <w:noWrap/>
            <w:vAlign w:val="bottom"/>
            <w:hideMark/>
          </w:tcPr>
          <w:p w14:paraId="488BF51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690" w:type="dxa"/>
            <w:tcBorders>
              <w:top w:val="nil"/>
              <w:left w:val="nil"/>
              <w:bottom w:val="double" w:sz="6" w:space="0" w:color="1F4E78"/>
              <w:right w:val="double" w:sz="6" w:space="0" w:color="1F4E78"/>
            </w:tcBorders>
            <w:shd w:val="clear" w:color="auto" w:fill="auto"/>
            <w:noWrap/>
            <w:vAlign w:val="bottom"/>
            <w:hideMark/>
          </w:tcPr>
          <w:p w14:paraId="3C45408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268</w:t>
            </w:r>
          </w:p>
        </w:tc>
      </w:tr>
      <w:tr w:rsidR="00602E91" w:rsidRPr="005149C4" w14:paraId="47C7EA91" w14:textId="77777777" w:rsidTr="00602E91">
        <w:trPr>
          <w:trHeight w:val="33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6BFBC73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Heredia</w:t>
            </w:r>
          </w:p>
        </w:tc>
        <w:tc>
          <w:tcPr>
            <w:tcW w:w="1093" w:type="dxa"/>
            <w:tcBorders>
              <w:top w:val="nil"/>
              <w:left w:val="nil"/>
              <w:bottom w:val="double" w:sz="6" w:space="0" w:color="1F4E78"/>
              <w:right w:val="double" w:sz="6" w:space="0" w:color="1F4E78"/>
            </w:tcBorders>
            <w:shd w:val="clear" w:color="auto" w:fill="auto"/>
            <w:noWrap/>
            <w:vAlign w:val="bottom"/>
            <w:hideMark/>
          </w:tcPr>
          <w:p w14:paraId="3516567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260</w:t>
            </w:r>
          </w:p>
        </w:tc>
        <w:tc>
          <w:tcPr>
            <w:tcW w:w="608" w:type="dxa"/>
            <w:tcBorders>
              <w:top w:val="nil"/>
              <w:left w:val="nil"/>
              <w:bottom w:val="double" w:sz="6" w:space="0" w:color="1F4E78"/>
              <w:right w:val="double" w:sz="6" w:space="0" w:color="1F4E78"/>
            </w:tcBorders>
            <w:shd w:val="clear" w:color="auto" w:fill="auto"/>
            <w:noWrap/>
            <w:vAlign w:val="bottom"/>
            <w:hideMark/>
          </w:tcPr>
          <w:p w14:paraId="34FF997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87%</w:t>
            </w:r>
          </w:p>
        </w:tc>
        <w:tc>
          <w:tcPr>
            <w:tcW w:w="0" w:type="auto"/>
            <w:tcBorders>
              <w:top w:val="nil"/>
              <w:left w:val="nil"/>
              <w:bottom w:val="double" w:sz="6" w:space="0" w:color="1F4E78"/>
              <w:right w:val="double" w:sz="6" w:space="0" w:color="1F4E78"/>
            </w:tcBorders>
            <w:shd w:val="clear" w:color="auto" w:fill="auto"/>
            <w:noWrap/>
            <w:vAlign w:val="bottom"/>
            <w:hideMark/>
          </w:tcPr>
          <w:p w14:paraId="4CAEAD8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w:t>
            </w:r>
          </w:p>
        </w:tc>
        <w:tc>
          <w:tcPr>
            <w:tcW w:w="0" w:type="auto"/>
            <w:tcBorders>
              <w:top w:val="nil"/>
              <w:left w:val="nil"/>
              <w:bottom w:val="double" w:sz="6" w:space="0" w:color="1F4E78"/>
              <w:right w:val="double" w:sz="6" w:space="0" w:color="1F4E78"/>
            </w:tcBorders>
            <w:shd w:val="clear" w:color="auto" w:fill="auto"/>
            <w:noWrap/>
            <w:vAlign w:val="bottom"/>
            <w:hideMark/>
          </w:tcPr>
          <w:p w14:paraId="64445C0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2D8B4AA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53BC389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76D3FB14"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30</w:t>
            </w:r>
          </w:p>
        </w:tc>
        <w:tc>
          <w:tcPr>
            <w:tcW w:w="0" w:type="auto"/>
            <w:tcBorders>
              <w:top w:val="nil"/>
              <w:left w:val="nil"/>
              <w:bottom w:val="double" w:sz="6" w:space="0" w:color="1F4E78"/>
              <w:right w:val="double" w:sz="6" w:space="0" w:color="1F4E78"/>
            </w:tcBorders>
            <w:shd w:val="clear" w:color="auto" w:fill="auto"/>
            <w:noWrap/>
            <w:vAlign w:val="bottom"/>
            <w:hideMark/>
          </w:tcPr>
          <w:p w14:paraId="3D5422A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w:t>
            </w:r>
          </w:p>
        </w:tc>
        <w:tc>
          <w:tcPr>
            <w:tcW w:w="0" w:type="auto"/>
            <w:tcBorders>
              <w:top w:val="nil"/>
              <w:left w:val="nil"/>
              <w:bottom w:val="double" w:sz="6" w:space="0" w:color="1F4E78"/>
              <w:right w:val="double" w:sz="6" w:space="0" w:color="1F4E78"/>
            </w:tcBorders>
            <w:shd w:val="clear" w:color="auto" w:fill="auto"/>
            <w:noWrap/>
            <w:vAlign w:val="bottom"/>
            <w:hideMark/>
          </w:tcPr>
          <w:p w14:paraId="5FC157C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w:t>
            </w:r>
          </w:p>
        </w:tc>
        <w:tc>
          <w:tcPr>
            <w:tcW w:w="0" w:type="auto"/>
            <w:tcBorders>
              <w:top w:val="nil"/>
              <w:left w:val="nil"/>
              <w:bottom w:val="double" w:sz="6" w:space="0" w:color="1F4E78"/>
              <w:right w:val="double" w:sz="6" w:space="0" w:color="1F4E78"/>
            </w:tcBorders>
            <w:shd w:val="clear" w:color="auto" w:fill="auto"/>
            <w:noWrap/>
            <w:vAlign w:val="bottom"/>
            <w:hideMark/>
          </w:tcPr>
          <w:p w14:paraId="1751263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w:t>
            </w:r>
          </w:p>
        </w:tc>
        <w:tc>
          <w:tcPr>
            <w:tcW w:w="690" w:type="dxa"/>
            <w:tcBorders>
              <w:top w:val="nil"/>
              <w:left w:val="nil"/>
              <w:bottom w:val="double" w:sz="6" w:space="0" w:color="1F4E78"/>
              <w:right w:val="double" w:sz="6" w:space="0" w:color="1F4E78"/>
            </w:tcBorders>
            <w:shd w:val="clear" w:color="auto" w:fill="auto"/>
            <w:noWrap/>
            <w:vAlign w:val="bottom"/>
            <w:hideMark/>
          </w:tcPr>
          <w:p w14:paraId="1F34CDC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300</w:t>
            </w:r>
          </w:p>
        </w:tc>
      </w:tr>
      <w:tr w:rsidR="00602E91" w:rsidRPr="005149C4" w14:paraId="567C5117" w14:textId="77777777" w:rsidTr="00602E91">
        <w:trPr>
          <w:trHeight w:val="33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5B7EA64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Puntarenas</w:t>
            </w:r>
          </w:p>
        </w:tc>
        <w:tc>
          <w:tcPr>
            <w:tcW w:w="1093" w:type="dxa"/>
            <w:tcBorders>
              <w:top w:val="nil"/>
              <w:left w:val="nil"/>
              <w:bottom w:val="double" w:sz="6" w:space="0" w:color="1F4E78"/>
              <w:right w:val="double" w:sz="6" w:space="0" w:color="1F4E78"/>
            </w:tcBorders>
            <w:shd w:val="clear" w:color="auto" w:fill="auto"/>
            <w:noWrap/>
            <w:vAlign w:val="bottom"/>
            <w:hideMark/>
          </w:tcPr>
          <w:p w14:paraId="24BCBC7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180</w:t>
            </w:r>
          </w:p>
        </w:tc>
        <w:tc>
          <w:tcPr>
            <w:tcW w:w="608" w:type="dxa"/>
            <w:tcBorders>
              <w:top w:val="nil"/>
              <w:left w:val="nil"/>
              <w:bottom w:val="double" w:sz="6" w:space="0" w:color="1F4E78"/>
              <w:right w:val="double" w:sz="6" w:space="0" w:color="1F4E78"/>
            </w:tcBorders>
            <w:shd w:val="clear" w:color="auto" w:fill="auto"/>
            <w:noWrap/>
            <w:vAlign w:val="bottom"/>
            <w:hideMark/>
          </w:tcPr>
          <w:p w14:paraId="77970B8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71%</w:t>
            </w:r>
          </w:p>
        </w:tc>
        <w:tc>
          <w:tcPr>
            <w:tcW w:w="0" w:type="auto"/>
            <w:tcBorders>
              <w:top w:val="nil"/>
              <w:left w:val="nil"/>
              <w:bottom w:val="double" w:sz="6" w:space="0" w:color="1F4E78"/>
              <w:right w:val="double" w:sz="6" w:space="0" w:color="1F4E78"/>
            </w:tcBorders>
            <w:shd w:val="clear" w:color="auto" w:fill="auto"/>
            <w:noWrap/>
            <w:vAlign w:val="bottom"/>
            <w:hideMark/>
          </w:tcPr>
          <w:p w14:paraId="78A316C2"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23ACF81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3DB6DF6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2BA44F3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5980266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59</w:t>
            </w:r>
          </w:p>
        </w:tc>
        <w:tc>
          <w:tcPr>
            <w:tcW w:w="0" w:type="auto"/>
            <w:tcBorders>
              <w:top w:val="nil"/>
              <w:left w:val="nil"/>
              <w:bottom w:val="double" w:sz="6" w:space="0" w:color="1F4E78"/>
              <w:right w:val="double" w:sz="6" w:space="0" w:color="1F4E78"/>
            </w:tcBorders>
            <w:shd w:val="clear" w:color="auto" w:fill="auto"/>
            <w:noWrap/>
            <w:vAlign w:val="bottom"/>
            <w:hideMark/>
          </w:tcPr>
          <w:p w14:paraId="244D4DE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23%</w:t>
            </w:r>
          </w:p>
        </w:tc>
        <w:tc>
          <w:tcPr>
            <w:tcW w:w="0" w:type="auto"/>
            <w:tcBorders>
              <w:top w:val="nil"/>
              <w:left w:val="nil"/>
              <w:bottom w:val="double" w:sz="6" w:space="0" w:color="1F4E78"/>
              <w:right w:val="double" w:sz="6" w:space="0" w:color="1F4E78"/>
            </w:tcBorders>
            <w:shd w:val="clear" w:color="auto" w:fill="auto"/>
            <w:noWrap/>
            <w:vAlign w:val="bottom"/>
            <w:hideMark/>
          </w:tcPr>
          <w:p w14:paraId="44B34C2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14</w:t>
            </w:r>
          </w:p>
        </w:tc>
        <w:tc>
          <w:tcPr>
            <w:tcW w:w="0" w:type="auto"/>
            <w:tcBorders>
              <w:top w:val="nil"/>
              <w:left w:val="nil"/>
              <w:bottom w:val="double" w:sz="6" w:space="0" w:color="1F4E78"/>
              <w:right w:val="double" w:sz="6" w:space="0" w:color="1F4E78"/>
            </w:tcBorders>
            <w:shd w:val="clear" w:color="auto" w:fill="auto"/>
            <w:noWrap/>
            <w:vAlign w:val="bottom"/>
            <w:hideMark/>
          </w:tcPr>
          <w:p w14:paraId="2D7D197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6%</w:t>
            </w:r>
          </w:p>
        </w:tc>
        <w:tc>
          <w:tcPr>
            <w:tcW w:w="690" w:type="dxa"/>
            <w:tcBorders>
              <w:top w:val="nil"/>
              <w:left w:val="nil"/>
              <w:bottom w:val="double" w:sz="6" w:space="0" w:color="1F4E78"/>
              <w:right w:val="double" w:sz="6" w:space="0" w:color="1F4E78"/>
            </w:tcBorders>
            <w:shd w:val="clear" w:color="auto" w:fill="auto"/>
            <w:noWrap/>
            <w:vAlign w:val="bottom"/>
            <w:hideMark/>
          </w:tcPr>
          <w:p w14:paraId="33476F0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254</w:t>
            </w:r>
          </w:p>
        </w:tc>
      </w:tr>
      <w:tr w:rsidR="00602E91" w:rsidRPr="005149C4" w14:paraId="057C9A35" w14:textId="77777777" w:rsidTr="00602E91">
        <w:trPr>
          <w:trHeight w:val="33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7A3FB37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 xml:space="preserve">Alajuela </w:t>
            </w:r>
          </w:p>
        </w:tc>
        <w:tc>
          <w:tcPr>
            <w:tcW w:w="1093" w:type="dxa"/>
            <w:tcBorders>
              <w:top w:val="nil"/>
              <w:left w:val="nil"/>
              <w:bottom w:val="double" w:sz="6" w:space="0" w:color="1F4E78"/>
              <w:right w:val="double" w:sz="6" w:space="0" w:color="1F4E78"/>
            </w:tcBorders>
            <w:shd w:val="clear" w:color="auto" w:fill="auto"/>
            <w:noWrap/>
            <w:vAlign w:val="bottom"/>
            <w:hideMark/>
          </w:tcPr>
          <w:p w14:paraId="78D60EA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47</w:t>
            </w:r>
          </w:p>
        </w:tc>
        <w:tc>
          <w:tcPr>
            <w:tcW w:w="608" w:type="dxa"/>
            <w:tcBorders>
              <w:top w:val="nil"/>
              <w:left w:val="nil"/>
              <w:bottom w:val="double" w:sz="6" w:space="0" w:color="1F4E78"/>
              <w:right w:val="double" w:sz="6" w:space="0" w:color="1F4E78"/>
            </w:tcBorders>
            <w:shd w:val="clear" w:color="auto" w:fill="auto"/>
            <w:noWrap/>
            <w:vAlign w:val="bottom"/>
            <w:hideMark/>
          </w:tcPr>
          <w:p w14:paraId="46FD6F9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84%</w:t>
            </w:r>
          </w:p>
        </w:tc>
        <w:tc>
          <w:tcPr>
            <w:tcW w:w="0" w:type="auto"/>
            <w:tcBorders>
              <w:top w:val="nil"/>
              <w:left w:val="nil"/>
              <w:bottom w:val="double" w:sz="6" w:space="0" w:color="1F4E78"/>
              <w:right w:val="double" w:sz="6" w:space="0" w:color="1F4E78"/>
            </w:tcBorders>
            <w:shd w:val="clear" w:color="auto" w:fill="auto"/>
            <w:noWrap/>
            <w:vAlign w:val="bottom"/>
            <w:hideMark/>
          </w:tcPr>
          <w:p w14:paraId="03AED9F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w:t>
            </w:r>
          </w:p>
        </w:tc>
        <w:tc>
          <w:tcPr>
            <w:tcW w:w="0" w:type="auto"/>
            <w:tcBorders>
              <w:top w:val="nil"/>
              <w:left w:val="nil"/>
              <w:bottom w:val="double" w:sz="6" w:space="0" w:color="1F4E78"/>
              <w:right w:val="double" w:sz="6" w:space="0" w:color="1F4E78"/>
            </w:tcBorders>
            <w:shd w:val="clear" w:color="auto" w:fill="auto"/>
            <w:noWrap/>
            <w:vAlign w:val="bottom"/>
            <w:hideMark/>
          </w:tcPr>
          <w:p w14:paraId="65ED622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w:t>
            </w:r>
          </w:p>
        </w:tc>
        <w:tc>
          <w:tcPr>
            <w:tcW w:w="0" w:type="auto"/>
            <w:tcBorders>
              <w:top w:val="nil"/>
              <w:left w:val="nil"/>
              <w:bottom w:val="double" w:sz="6" w:space="0" w:color="1F4E78"/>
              <w:right w:val="double" w:sz="6" w:space="0" w:color="1F4E78"/>
            </w:tcBorders>
            <w:shd w:val="clear" w:color="auto" w:fill="auto"/>
            <w:noWrap/>
            <w:vAlign w:val="bottom"/>
            <w:hideMark/>
          </w:tcPr>
          <w:p w14:paraId="5EDA4DB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77E3B154"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7516D38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0" w:type="auto"/>
            <w:tcBorders>
              <w:top w:val="nil"/>
              <w:left w:val="nil"/>
              <w:bottom w:val="double" w:sz="6" w:space="0" w:color="1F4E78"/>
              <w:right w:val="double" w:sz="6" w:space="0" w:color="1F4E78"/>
            </w:tcBorders>
            <w:shd w:val="clear" w:color="auto" w:fill="auto"/>
            <w:noWrap/>
            <w:vAlign w:val="bottom"/>
            <w:hideMark/>
          </w:tcPr>
          <w:p w14:paraId="07BDF78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7%</w:t>
            </w:r>
          </w:p>
        </w:tc>
        <w:tc>
          <w:tcPr>
            <w:tcW w:w="0" w:type="auto"/>
            <w:tcBorders>
              <w:top w:val="nil"/>
              <w:left w:val="nil"/>
              <w:bottom w:val="double" w:sz="6" w:space="0" w:color="1F4E78"/>
              <w:right w:val="double" w:sz="6" w:space="0" w:color="1F4E78"/>
            </w:tcBorders>
            <w:shd w:val="clear" w:color="auto" w:fill="auto"/>
            <w:noWrap/>
            <w:vAlign w:val="bottom"/>
            <w:hideMark/>
          </w:tcPr>
          <w:p w14:paraId="1DCDB7E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w:t>
            </w:r>
          </w:p>
        </w:tc>
        <w:tc>
          <w:tcPr>
            <w:tcW w:w="0" w:type="auto"/>
            <w:tcBorders>
              <w:top w:val="nil"/>
              <w:left w:val="nil"/>
              <w:bottom w:val="double" w:sz="6" w:space="0" w:color="1F4E78"/>
              <w:right w:val="double" w:sz="6" w:space="0" w:color="1F4E78"/>
            </w:tcBorders>
            <w:shd w:val="clear" w:color="auto" w:fill="auto"/>
            <w:noWrap/>
            <w:vAlign w:val="bottom"/>
            <w:hideMark/>
          </w:tcPr>
          <w:p w14:paraId="78150C2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690" w:type="dxa"/>
            <w:tcBorders>
              <w:top w:val="nil"/>
              <w:left w:val="nil"/>
              <w:bottom w:val="double" w:sz="6" w:space="0" w:color="1F4E78"/>
              <w:right w:val="double" w:sz="6" w:space="0" w:color="1F4E78"/>
            </w:tcBorders>
            <w:shd w:val="clear" w:color="auto" w:fill="auto"/>
            <w:noWrap/>
            <w:vAlign w:val="bottom"/>
            <w:hideMark/>
          </w:tcPr>
          <w:p w14:paraId="5A80424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56</w:t>
            </w:r>
          </w:p>
        </w:tc>
      </w:tr>
      <w:tr w:rsidR="00602E91" w:rsidRPr="005149C4" w14:paraId="6080C1B7" w14:textId="77777777" w:rsidTr="00602E91">
        <w:trPr>
          <w:trHeight w:val="33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18349E0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 xml:space="preserve">San Ramón </w:t>
            </w:r>
          </w:p>
        </w:tc>
        <w:tc>
          <w:tcPr>
            <w:tcW w:w="1093" w:type="dxa"/>
            <w:tcBorders>
              <w:top w:val="nil"/>
              <w:left w:val="nil"/>
              <w:bottom w:val="double" w:sz="6" w:space="0" w:color="1F4E78"/>
              <w:right w:val="double" w:sz="6" w:space="0" w:color="1F4E78"/>
            </w:tcBorders>
            <w:shd w:val="clear" w:color="auto" w:fill="auto"/>
            <w:noWrap/>
            <w:vAlign w:val="bottom"/>
            <w:hideMark/>
          </w:tcPr>
          <w:p w14:paraId="359E291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47</w:t>
            </w:r>
          </w:p>
        </w:tc>
        <w:tc>
          <w:tcPr>
            <w:tcW w:w="608" w:type="dxa"/>
            <w:tcBorders>
              <w:top w:val="nil"/>
              <w:left w:val="nil"/>
              <w:bottom w:val="double" w:sz="6" w:space="0" w:color="1F4E78"/>
              <w:right w:val="double" w:sz="6" w:space="0" w:color="1F4E78"/>
            </w:tcBorders>
            <w:shd w:val="clear" w:color="auto" w:fill="auto"/>
            <w:noWrap/>
            <w:vAlign w:val="bottom"/>
            <w:hideMark/>
          </w:tcPr>
          <w:p w14:paraId="0F9A141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77%</w:t>
            </w:r>
          </w:p>
        </w:tc>
        <w:tc>
          <w:tcPr>
            <w:tcW w:w="0" w:type="auto"/>
            <w:tcBorders>
              <w:top w:val="nil"/>
              <w:left w:val="nil"/>
              <w:bottom w:val="double" w:sz="6" w:space="0" w:color="1F4E78"/>
              <w:right w:val="double" w:sz="6" w:space="0" w:color="1F4E78"/>
            </w:tcBorders>
            <w:shd w:val="clear" w:color="auto" w:fill="auto"/>
            <w:noWrap/>
            <w:vAlign w:val="bottom"/>
            <w:hideMark/>
          </w:tcPr>
          <w:p w14:paraId="2501A8E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4BBA352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41962E0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39717F7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5234C54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9</w:t>
            </w:r>
          </w:p>
        </w:tc>
        <w:tc>
          <w:tcPr>
            <w:tcW w:w="0" w:type="auto"/>
            <w:tcBorders>
              <w:top w:val="nil"/>
              <w:left w:val="nil"/>
              <w:bottom w:val="double" w:sz="6" w:space="0" w:color="1F4E78"/>
              <w:right w:val="double" w:sz="6" w:space="0" w:color="1F4E78"/>
            </w:tcBorders>
            <w:shd w:val="clear" w:color="auto" w:fill="auto"/>
            <w:noWrap/>
            <w:vAlign w:val="bottom"/>
            <w:hideMark/>
          </w:tcPr>
          <w:p w14:paraId="4D816A6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15%</w:t>
            </w:r>
          </w:p>
        </w:tc>
        <w:tc>
          <w:tcPr>
            <w:tcW w:w="0" w:type="auto"/>
            <w:tcBorders>
              <w:top w:val="nil"/>
              <w:left w:val="nil"/>
              <w:bottom w:val="double" w:sz="6" w:space="0" w:color="1F4E78"/>
              <w:right w:val="double" w:sz="6" w:space="0" w:color="1F4E78"/>
            </w:tcBorders>
            <w:shd w:val="clear" w:color="auto" w:fill="auto"/>
            <w:noWrap/>
            <w:vAlign w:val="bottom"/>
            <w:hideMark/>
          </w:tcPr>
          <w:p w14:paraId="78DC701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w:t>
            </w:r>
          </w:p>
        </w:tc>
        <w:tc>
          <w:tcPr>
            <w:tcW w:w="0" w:type="auto"/>
            <w:tcBorders>
              <w:top w:val="nil"/>
              <w:left w:val="nil"/>
              <w:bottom w:val="double" w:sz="6" w:space="0" w:color="1F4E78"/>
              <w:right w:val="double" w:sz="6" w:space="0" w:color="1F4E78"/>
            </w:tcBorders>
            <w:shd w:val="clear" w:color="auto" w:fill="auto"/>
            <w:noWrap/>
            <w:vAlign w:val="bottom"/>
            <w:hideMark/>
          </w:tcPr>
          <w:p w14:paraId="3BC55822"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w:t>
            </w:r>
          </w:p>
        </w:tc>
        <w:tc>
          <w:tcPr>
            <w:tcW w:w="690" w:type="dxa"/>
            <w:tcBorders>
              <w:top w:val="nil"/>
              <w:left w:val="nil"/>
              <w:bottom w:val="double" w:sz="6" w:space="0" w:color="1F4E78"/>
              <w:right w:val="double" w:sz="6" w:space="0" w:color="1F4E78"/>
            </w:tcBorders>
            <w:shd w:val="clear" w:color="auto" w:fill="auto"/>
            <w:noWrap/>
            <w:vAlign w:val="bottom"/>
            <w:hideMark/>
          </w:tcPr>
          <w:p w14:paraId="1CD2DD4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61</w:t>
            </w:r>
          </w:p>
        </w:tc>
      </w:tr>
      <w:tr w:rsidR="00602E91" w:rsidRPr="005149C4" w14:paraId="65B6FFAA"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4694752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I Circuito Judicial de la Zona Sur</w:t>
            </w:r>
          </w:p>
        </w:tc>
        <w:tc>
          <w:tcPr>
            <w:tcW w:w="1093" w:type="dxa"/>
            <w:tcBorders>
              <w:top w:val="nil"/>
              <w:left w:val="nil"/>
              <w:bottom w:val="double" w:sz="6" w:space="0" w:color="1F4E78"/>
              <w:right w:val="double" w:sz="6" w:space="0" w:color="1F4E78"/>
            </w:tcBorders>
            <w:shd w:val="clear" w:color="auto" w:fill="auto"/>
            <w:noWrap/>
            <w:vAlign w:val="bottom"/>
            <w:hideMark/>
          </w:tcPr>
          <w:p w14:paraId="485F33A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310</w:t>
            </w:r>
          </w:p>
        </w:tc>
        <w:tc>
          <w:tcPr>
            <w:tcW w:w="608" w:type="dxa"/>
            <w:tcBorders>
              <w:top w:val="nil"/>
              <w:left w:val="nil"/>
              <w:bottom w:val="double" w:sz="6" w:space="0" w:color="1F4E78"/>
              <w:right w:val="double" w:sz="6" w:space="0" w:color="1F4E78"/>
            </w:tcBorders>
            <w:shd w:val="clear" w:color="auto" w:fill="auto"/>
            <w:noWrap/>
            <w:vAlign w:val="bottom"/>
            <w:hideMark/>
          </w:tcPr>
          <w:p w14:paraId="074E843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83%</w:t>
            </w:r>
          </w:p>
        </w:tc>
        <w:tc>
          <w:tcPr>
            <w:tcW w:w="0" w:type="auto"/>
            <w:tcBorders>
              <w:top w:val="nil"/>
              <w:left w:val="nil"/>
              <w:bottom w:val="double" w:sz="6" w:space="0" w:color="1F4E78"/>
              <w:right w:val="double" w:sz="6" w:space="0" w:color="1F4E78"/>
            </w:tcBorders>
            <w:shd w:val="clear" w:color="auto" w:fill="auto"/>
            <w:noWrap/>
            <w:vAlign w:val="bottom"/>
            <w:hideMark/>
          </w:tcPr>
          <w:p w14:paraId="6A33CC7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9</w:t>
            </w:r>
          </w:p>
        </w:tc>
        <w:tc>
          <w:tcPr>
            <w:tcW w:w="0" w:type="auto"/>
            <w:tcBorders>
              <w:top w:val="nil"/>
              <w:left w:val="nil"/>
              <w:bottom w:val="double" w:sz="6" w:space="0" w:color="1F4E78"/>
              <w:right w:val="double" w:sz="6" w:space="0" w:color="1F4E78"/>
            </w:tcBorders>
            <w:shd w:val="clear" w:color="auto" w:fill="auto"/>
            <w:noWrap/>
            <w:vAlign w:val="bottom"/>
            <w:hideMark/>
          </w:tcPr>
          <w:p w14:paraId="60379C7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w:t>
            </w:r>
          </w:p>
        </w:tc>
        <w:tc>
          <w:tcPr>
            <w:tcW w:w="0" w:type="auto"/>
            <w:tcBorders>
              <w:top w:val="nil"/>
              <w:left w:val="nil"/>
              <w:bottom w:val="double" w:sz="6" w:space="0" w:color="1F4E78"/>
              <w:right w:val="double" w:sz="6" w:space="0" w:color="1F4E78"/>
            </w:tcBorders>
            <w:shd w:val="clear" w:color="auto" w:fill="auto"/>
            <w:noWrap/>
            <w:vAlign w:val="bottom"/>
            <w:hideMark/>
          </w:tcPr>
          <w:p w14:paraId="507A53A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7FE8000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025564D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37</w:t>
            </w:r>
          </w:p>
        </w:tc>
        <w:tc>
          <w:tcPr>
            <w:tcW w:w="0" w:type="auto"/>
            <w:tcBorders>
              <w:top w:val="nil"/>
              <w:left w:val="nil"/>
              <w:bottom w:val="double" w:sz="6" w:space="0" w:color="1F4E78"/>
              <w:right w:val="double" w:sz="6" w:space="0" w:color="1F4E78"/>
            </w:tcBorders>
            <w:shd w:val="clear" w:color="auto" w:fill="auto"/>
            <w:noWrap/>
            <w:vAlign w:val="bottom"/>
            <w:hideMark/>
          </w:tcPr>
          <w:p w14:paraId="210A0F0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w:t>
            </w:r>
          </w:p>
        </w:tc>
        <w:tc>
          <w:tcPr>
            <w:tcW w:w="0" w:type="auto"/>
            <w:tcBorders>
              <w:top w:val="nil"/>
              <w:left w:val="nil"/>
              <w:bottom w:val="double" w:sz="6" w:space="0" w:color="1F4E78"/>
              <w:right w:val="double" w:sz="6" w:space="0" w:color="1F4E78"/>
            </w:tcBorders>
            <w:shd w:val="clear" w:color="auto" w:fill="auto"/>
            <w:noWrap/>
            <w:vAlign w:val="bottom"/>
            <w:hideMark/>
          </w:tcPr>
          <w:p w14:paraId="19EF5C9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15</w:t>
            </w:r>
          </w:p>
        </w:tc>
        <w:tc>
          <w:tcPr>
            <w:tcW w:w="0" w:type="auto"/>
            <w:tcBorders>
              <w:top w:val="nil"/>
              <w:left w:val="nil"/>
              <w:bottom w:val="double" w:sz="6" w:space="0" w:color="1F4E78"/>
              <w:right w:val="double" w:sz="6" w:space="0" w:color="1F4E78"/>
            </w:tcBorders>
            <w:shd w:val="clear" w:color="auto" w:fill="auto"/>
            <w:noWrap/>
            <w:vAlign w:val="bottom"/>
            <w:hideMark/>
          </w:tcPr>
          <w:p w14:paraId="0EC087B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690" w:type="dxa"/>
            <w:tcBorders>
              <w:top w:val="nil"/>
              <w:left w:val="nil"/>
              <w:bottom w:val="double" w:sz="6" w:space="0" w:color="1F4E78"/>
              <w:right w:val="double" w:sz="6" w:space="0" w:color="1F4E78"/>
            </w:tcBorders>
            <w:shd w:val="clear" w:color="auto" w:fill="auto"/>
            <w:noWrap/>
            <w:vAlign w:val="bottom"/>
            <w:hideMark/>
          </w:tcPr>
          <w:p w14:paraId="0B23566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372</w:t>
            </w:r>
          </w:p>
        </w:tc>
      </w:tr>
      <w:tr w:rsidR="00602E91" w:rsidRPr="005149C4" w14:paraId="086AD5BE"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387B10D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I Circuito Judicial de la Zona Atlántica</w:t>
            </w:r>
          </w:p>
        </w:tc>
        <w:tc>
          <w:tcPr>
            <w:tcW w:w="1093" w:type="dxa"/>
            <w:tcBorders>
              <w:top w:val="nil"/>
              <w:left w:val="nil"/>
              <w:bottom w:val="double" w:sz="6" w:space="0" w:color="1F4E78"/>
              <w:right w:val="double" w:sz="6" w:space="0" w:color="1F4E78"/>
            </w:tcBorders>
            <w:shd w:val="clear" w:color="auto" w:fill="auto"/>
            <w:noWrap/>
            <w:vAlign w:val="bottom"/>
            <w:hideMark/>
          </w:tcPr>
          <w:p w14:paraId="64412FF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w:t>
            </w:r>
          </w:p>
        </w:tc>
        <w:tc>
          <w:tcPr>
            <w:tcW w:w="608" w:type="dxa"/>
            <w:tcBorders>
              <w:top w:val="nil"/>
              <w:left w:val="nil"/>
              <w:bottom w:val="double" w:sz="6" w:space="0" w:color="1F4E78"/>
              <w:right w:val="double" w:sz="6" w:space="0" w:color="1F4E78"/>
            </w:tcBorders>
            <w:shd w:val="clear" w:color="auto" w:fill="auto"/>
            <w:noWrap/>
            <w:vAlign w:val="bottom"/>
            <w:hideMark/>
          </w:tcPr>
          <w:p w14:paraId="33DAE5B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100%</w:t>
            </w:r>
          </w:p>
        </w:tc>
        <w:tc>
          <w:tcPr>
            <w:tcW w:w="0" w:type="auto"/>
            <w:tcBorders>
              <w:top w:val="nil"/>
              <w:left w:val="nil"/>
              <w:bottom w:val="double" w:sz="6" w:space="0" w:color="1F4E78"/>
              <w:right w:val="double" w:sz="6" w:space="0" w:color="1F4E78"/>
            </w:tcBorders>
            <w:shd w:val="clear" w:color="auto" w:fill="auto"/>
            <w:noWrap/>
            <w:vAlign w:val="bottom"/>
            <w:hideMark/>
          </w:tcPr>
          <w:p w14:paraId="6FAC3B8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3D75A3C2"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651815F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6810031E"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495473E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47F0701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6E08FB2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69979DA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690" w:type="dxa"/>
            <w:tcBorders>
              <w:top w:val="nil"/>
              <w:left w:val="nil"/>
              <w:bottom w:val="double" w:sz="6" w:space="0" w:color="1F4E78"/>
              <w:right w:val="double" w:sz="6" w:space="0" w:color="1F4E78"/>
            </w:tcBorders>
            <w:shd w:val="clear" w:color="auto" w:fill="auto"/>
            <w:noWrap/>
            <w:vAlign w:val="bottom"/>
            <w:hideMark/>
          </w:tcPr>
          <w:p w14:paraId="7887AFA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w:t>
            </w:r>
          </w:p>
        </w:tc>
      </w:tr>
      <w:tr w:rsidR="00602E91" w:rsidRPr="005149C4" w14:paraId="4F6C531C"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05968A82"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II Circuito Judicial de la Zona Atlántica</w:t>
            </w:r>
          </w:p>
        </w:tc>
        <w:tc>
          <w:tcPr>
            <w:tcW w:w="1093" w:type="dxa"/>
            <w:tcBorders>
              <w:top w:val="nil"/>
              <w:left w:val="nil"/>
              <w:bottom w:val="double" w:sz="6" w:space="0" w:color="1F4E78"/>
              <w:right w:val="double" w:sz="6" w:space="0" w:color="1F4E78"/>
            </w:tcBorders>
            <w:shd w:val="clear" w:color="auto" w:fill="auto"/>
            <w:noWrap/>
            <w:vAlign w:val="bottom"/>
            <w:hideMark/>
          </w:tcPr>
          <w:p w14:paraId="7B4C3E5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208</w:t>
            </w:r>
          </w:p>
        </w:tc>
        <w:tc>
          <w:tcPr>
            <w:tcW w:w="608" w:type="dxa"/>
            <w:tcBorders>
              <w:top w:val="nil"/>
              <w:left w:val="nil"/>
              <w:bottom w:val="double" w:sz="6" w:space="0" w:color="1F4E78"/>
              <w:right w:val="double" w:sz="6" w:space="0" w:color="1F4E78"/>
            </w:tcBorders>
            <w:shd w:val="clear" w:color="auto" w:fill="auto"/>
            <w:noWrap/>
            <w:vAlign w:val="bottom"/>
            <w:hideMark/>
          </w:tcPr>
          <w:p w14:paraId="37009AC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83%</w:t>
            </w:r>
          </w:p>
        </w:tc>
        <w:tc>
          <w:tcPr>
            <w:tcW w:w="0" w:type="auto"/>
            <w:tcBorders>
              <w:top w:val="nil"/>
              <w:left w:val="nil"/>
              <w:bottom w:val="double" w:sz="6" w:space="0" w:color="1F4E78"/>
              <w:right w:val="double" w:sz="6" w:space="0" w:color="1F4E78"/>
            </w:tcBorders>
            <w:shd w:val="clear" w:color="auto" w:fill="auto"/>
            <w:noWrap/>
            <w:vAlign w:val="bottom"/>
            <w:hideMark/>
          </w:tcPr>
          <w:p w14:paraId="2D3D771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0" w:type="auto"/>
            <w:tcBorders>
              <w:top w:val="nil"/>
              <w:left w:val="nil"/>
              <w:bottom w:val="double" w:sz="6" w:space="0" w:color="1F4E78"/>
              <w:right w:val="double" w:sz="6" w:space="0" w:color="1F4E78"/>
            </w:tcBorders>
            <w:shd w:val="clear" w:color="auto" w:fill="auto"/>
            <w:noWrap/>
            <w:vAlign w:val="bottom"/>
            <w:hideMark/>
          </w:tcPr>
          <w:p w14:paraId="2A0D8D4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w:t>
            </w:r>
          </w:p>
        </w:tc>
        <w:tc>
          <w:tcPr>
            <w:tcW w:w="0" w:type="auto"/>
            <w:tcBorders>
              <w:top w:val="nil"/>
              <w:left w:val="nil"/>
              <w:bottom w:val="double" w:sz="6" w:space="0" w:color="1F4E78"/>
              <w:right w:val="double" w:sz="6" w:space="0" w:color="1F4E78"/>
            </w:tcBorders>
            <w:shd w:val="clear" w:color="auto" w:fill="auto"/>
            <w:noWrap/>
            <w:vAlign w:val="bottom"/>
            <w:hideMark/>
          </w:tcPr>
          <w:p w14:paraId="64F2EA2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560D23C5"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51221B5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33</w:t>
            </w:r>
          </w:p>
        </w:tc>
        <w:tc>
          <w:tcPr>
            <w:tcW w:w="0" w:type="auto"/>
            <w:tcBorders>
              <w:top w:val="nil"/>
              <w:left w:val="nil"/>
              <w:bottom w:val="double" w:sz="6" w:space="0" w:color="1F4E78"/>
              <w:right w:val="double" w:sz="6" w:space="0" w:color="1F4E78"/>
            </w:tcBorders>
            <w:shd w:val="clear" w:color="auto" w:fill="auto"/>
            <w:noWrap/>
            <w:vAlign w:val="bottom"/>
            <w:hideMark/>
          </w:tcPr>
          <w:p w14:paraId="24801CE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13%</w:t>
            </w:r>
          </w:p>
        </w:tc>
        <w:tc>
          <w:tcPr>
            <w:tcW w:w="0" w:type="auto"/>
            <w:tcBorders>
              <w:top w:val="nil"/>
              <w:left w:val="nil"/>
              <w:bottom w:val="double" w:sz="6" w:space="0" w:color="1F4E78"/>
              <w:right w:val="double" w:sz="6" w:space="0" w:color="1F4E78"/>
            </w:tcBorders>
            <w:shd w:val="clear" w:color="auto" w:fill="auto"/>
            <w:noWrap/>
            <w:vAlign w:val="bottom"/>
            <w:hideMark/>
          </w:tcPr>
          <w:p w14:paraId="61E23950"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w:t>
            </w:r>
          </w:p>
        </w:tc>
        <w:tc>
          <w:tcPr>
            <w:tcW w:w="0" w:type="auto"/>
            <w:tcBorders>
              <w:top w:val="nil"/>
              <w:left w:val="nil"/>
              <w:bottom w:val="double" w:sz="6" w:space="0" w:color="1F4E78"/>
              <w:right w:val="double" w:sz="6" w:space="0" w:color="1F4E78"/>
            </w:tcBorders>
            <w:shd w:val="clear" w:color="auto" w:fill="auto"/>
            <w:noWrap/>
            <w:vAlign w:val="bottom"/>
            <w:hideMark/>
          </w:tcPr>
          <w:p w14:paraId="3EBD9904"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w:t>
            </w:r>
          </w:p>
        </w:tc>
        <w:tc>
          <w:tcPr>
            <w:tcW w:w="690" w:type="dxa"/>
            <w:tcBorders>
              <w:top w:val="nil"/>
              <w:left w:val="nil"/>
              <w:bottom w:val="double" w:sz="6" w:space="0" w:color="1F4E78"/>
              <w:right w:val="double" w:sz="6" w:space="0" w:color="1F4E78"/>
            </w:tcBorders>
            <w:shd w:val="clear" w:color="auto" w:fill="auto"/>
            <w:noWrap/>
            <w:vAlign w:val="bottom"/>
            <w:hideMark/>
          </w:tcPr>
          <w:p w14:paraId="0AA3F7F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250</w:t>
            </w:r>
          </w:p>
        </w:tc>
      </w:tr>
      <w:tr w:rsidR="00602E91" w:rsidRPr="005149C4" w14:paraId="6F8D9546"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09BD429A"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I Circuito Judicial de Guanacaste</w:t>
            </w:r>
          </w:p>
        </w:tc>
        <w:tc>
          <w:tcPr>
            <w:tcW w:w="1093" w:type="dxa"/>
            <w:tcBorders>
              <w:top w:val="nil"/>
              <w:left w:val="nil"/>
              <w:bottom w:val="double" w:sz="6" w:space="0" w:color="1F4E78"/>
              <w:right w:val="double" w:sz="6" w:space="0" w:color="1F4E78"/>
            </w:tcBorders>
            <w:shd w:val="clear" w:color="auto" w:fill="auto"/>
            <w:noWrap/>
            <w:vAlign w:val="bottom"/>
            <w:hideMark/>
          </w:tcPr>
          <w:p w14:paraId="3CB0B0D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183</w:t>
            </w:r>
          </w:p>
        </w:tc>
        <w:tc>
          <w:tcPr>
            <w:tcW w:w="608" w:type="dxa"/>
            <w:tcBorders>
              <w:top w:val="nil"/>
              <w:left w:val="nil"/>
              <w:bottom w:val="double" w:sz="6" w:space="0" w:color="1F4E78"/>
              <w:right w:val="double" w:sz="6" w:space="0" w:color="1F4E78"/>
            </w:tcBorders>
            <w:shd w:val="clear" w:color="auto" w:fill="auto"/>
            <w:noWrap/>
            <w:vAlign w:val="bottom"/>
            <w:hideMark/>
          </w:tcPr>
          <w:p w14:paraId="617DDA7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77%</w:t>
            </w:r>
          </w:p>
        </w:tc>
        <w:tc>
          <w:tcPr>
            <w:tcW w:w="0" w:type="auto"/>
            <w:tcBorders>
              <w:top w:val="nil"/>
              <w:left w:val="nil"/>
              <w:bottom w:val="double" w:sz="6" w:space="0" w:color="1F4E78"/>
              <w:right w:val="double" w:sz="6" w:space="0" w:color="1F4E78"/>
            </w:tcBorders>
            <w:shd w:val="clear" w:color="auto" w:fill="auto"/>
            <w:noWrap/>
            <w:vAlign w:val="bottom"/>
            <w:hideMark/>
          </w:tcPr>
          <w:p w14:paraId="3433BCD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11</w:t>
            </w:r>
          </w:p>
        </w:tc>
        <w:tc>
          <w:tcPr>
            <w:tcW w:w="0" w:type="auto"/>
            <w:tcBorders>
              <w:top w:val="nil"/>
              <w:left w:val="nil"/>
              <w:bottom w:val="double" w:sz="6" w:space="0" w:color="1F4E78"/>
              <w:right w:val="double" w:sz="6" w:space="0" w:color="1F4E78"/>
            </w:tcBorders>
            <w:shd w:val="clear" w:color="auto" w:fill="auto"/>
            <w:noWrap/>
            <w:vAlign w:val="bottom"/>
            <w:hideMark/>
          </w:tcPr>
          <w:p w14:paraId="3FE025E6"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w:t>
            </w:r>
          </w:p>
        </w:tc>
        <w:tc>
          <w:tcPr>
            <w:tcW w:w="0" w:type="auto"/>
            <w:tcBorders>
              <w:top w:val="nil"/>
              <w:left w:val="nil"/>
              <w:bottom w:val="double" w:sz="6" w:space="0" w:color="1F4E78"/>
              <w:right w:val="double" w:sz="6" w:space="0" w:color="1F4E78"/>
            </w:tcBorders>
            <w:shd w:val="clear" w:color="auto" w:fill="auto"/>
            <w:noWrap/>
            <w:vAlign w:val="bottom"/>
            <w:hideMark/>
          </w:tcPr>
          <w:p w14:paraId="151ABF5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3E2A93A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026FC9A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27</w:t>
            </w:r>
          </w:p>
        </w:tc>
        <w:tc>
          <w:tcPr>
            <w:tcW w:w="0" w:type="auto"/>
            <w:tcBorders>
              <w:top w:val="nil"/>
              <w:left w:val="nil"/>
              <w:bottom w:val="double" w:sz="6" w:space="0" w:color="1F4E78"/>
              <w:right w:val="double" w:sz="6" w:space="0" w:color="1F4E78"/>
            </w:tcBorders>
            <w:shd w:val="clear" w:color="auto" w:fill="auto"/>
            <w:noWrap/>
            <w:vAlign w:val="bottom"/>
            <w:hideMark/>
          </w:tcPr>
          <w:p w14:paraId="1598174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11%</w:t>
            </w:r>
          </w:p>
        </w:tc>
        <w:tc>
          <w:tcPr>
            <w:tcW w:w="0" w:type="auto"/>
            <w:tcBorders>
              <w:top w:val="nil"/>
              <w:left w:val="nil"/>
              <w:bottom w:val="double" w:sz="6" w:space="0" w:color="1F4E78"/>
              <w:right w:val="double" w:sz="6" w:space="0" w:color="1F4E78"/>
            </w:tcBorders>
            <w:shd w:val="clear" w:color="auto" w:fill="auto"/>
            <w:noWrap/>
            <w:vAlign w:val="bottom"/>
            <w:hideMark/>
          </w:tcPr>
          <w:p w14:paraId="06C12808"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16</w:t>
            </w:r>
          </w:p>
        </w:tc>
        <w:tc>
          <w:tcPr>
            <w:tcW w:w="0" w:type="auto"/>
            <w:tcBorders>
              <w:top w:val="nil"/>
              <w:left w:val="nil"/>
              <w:bottom w:val="double" w:sz="6" w:space="0" w:color="1F4E78"/>
              <w:right w:val="double" w:sz="6" w:space="0" w:color="1F4E78"/>
            </w:tcBorders>
            <w:shd w:val="clear" w:color="auto" w:fill="auto"/>
            <w:noWrap/>
            <w:vAlign w:val="bottom"/>
            <w:hideMark/>
          </w:tcPr>
          <w:p w14:paraId="3B29785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7%</w:t>
            </w:r>
          </w:p>
        </w:tc>
        <w:tc>
          <w:tcPr>
            <w:tcW w:w="690" w:type="dxa"/>
            <w:tcBorders>
              <w:top w:val="nil"/>
              <w:left w:val="nil"/>
              <w:bottom w:val="double" w:sz="6" w:space="0" w:color="1F4E78"/>
              <w:right w:val="double" w:sz="6" w:space="0" w:color="1F4E78"/>
            </w:tcBorders>
            <w:shd w:val="clear" w:color="auto" w:fill="auto"/>
            <w:noWrap/>
            <w:vAlign w:val="bottom"/>
            <w:hideMark/>
          </w:tcPr>
          <w:p w14:paraId="40FAC613"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238</w:t>
            </w:r>
          </w:p>
        </w:tc>
      </w:tr>
      <w:tr w:rsidR="00602E91" w:rsidRPr="005149C4" w14:paraId="11198F1A" w14:textId="77777777" w:rsidTr="00602E91">
        <w:trPr>
          <w:trHeight w:val="360"/>
        </w:trPr>
        <w:tc>
          <w:tcPr>
            <w:tcW w:w="1667" w:type="dxa"/>
            <w:tcBorders>
              <w:top w:val="nil"/>
              <w:left w:val="double" w:sz="6" w:space="0" w:color="1F4E78"/>
              <w:bottom w:val="double" w:sz="6" w:space="0" w:color="1F4E78"/>
              <w:right w:val="double" w:sz="6" w:space="0" w:color="1F4E78"/>
            </w:tcBorders>
            <w:shd w:val="clear" w:color="auto" w:fill="auto"/>
            <w:noWrap/>
            <w:vAlign w:val="bottom"/>
            <w:hideMark/>
          </w:tcPr>
          <w:p w14:paraId="25A49E7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Corredores</w:t>
            </w:r>
          </w:p>
        </w:tc>
        <w:tc>
          <w:tcPr>
            <w:tcW w:w="1093" w:type="dxa"/>
            <w:tcBorders>
              <w:top w:val="nil"/>
              <w:left w:val="nil"/>
              <w:bottom w:val="double" w:sz="6" w:space="0" w:color="1F4E78"/>
              <w:right w:val="double" w:sz="6" w:space="0" w:color="1F4E78"/>
            </w:tcBorders>
            <w:shd w:val="clear" w:color="auto" w:fill="auto"/>
            <w:noWrap/>
            <w:vAlign w:val="bottom"/>
            <w:hideMark/>
          </w:tcPr>
          <w:p w14:paraId="3760BEDC"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149</w:t>
            </w:r>
          </w:p>
        </w:tc>
        <w:tc>
          <w:tcPr>
            <w:tcW w:w="608" w:type="dxa"/>
            <w:tcBorders>
              <w:top w:val="nil"/>
              <w:left w:val="nil"/>
              <w:bottom w:val="double" w:sz="6" w:space="0" w:color="1F4E78"/>
              <w:right w:val="double" w:sz="6" w:space="0" w:color="1F4E78"/>
            </w:tcBorders>
            <w:shd w:val="clear" w:color="auto" w:fill="auto"/>
            <w:noWrap/>
            <w:vAlign w:val="bottom"/>
            <w:hideMark/>
          </w:tcPr>
          <w:p w14:paraId="1586C02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100%</w:t>
            </w:r>
          </w:p>
        </w:tc>
        <w:tc>
          <w:tcPr>
            <w:tcW w:w="0" w:type="auto"/>
            <w:tcBorders>
              <w:top w:val="nil"/>
              <w:left w:val="nil"/>
              <w:bottom w:val="double" w:sz="6" w:space="0" w:color="1F4E78"/>
              <w:right w:val="double" w:sz="6" w:space="0" w:color="1F4E78"/>
            </w:tcBorders>
            <w:shd w:val="clear" w:color="auto" w:fill="auto"/>
            <w:noWrap/>
            <w:vAlign w:val="bottom"/>
            <w:hideMark/>
          </w:tcPr>
          <w:p w14:paraId="6D86AE3F"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4%</w:t>
            </w:r>
          </w:p>
        </w:tc>
        <w:tc>
          <w:tcPr>
            <w:tcW w:w="0" w:type="auto"/>
            <w:tcBorders>
              <w:top w:val="nil"/>
              <w:left w:val="nil"/>
              <w:bottom w:val="double" w:sz="6" w:space="0" w:color="1F4E78"/>
              <w:right w:val="double" w:sz="6" w:space="0" w:color="1F4E78"/>
            </w:tcBorders>
            <w:shd w:val="clear" w:color="auto" w:fill="auto"/>
            <w:noWrap/>
            <w:vAlign w:val="bottom"/>
            <w:hideMark/>
          </w:tcPr>
          <w:p w14:paraId="62D7A06B"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05321AB1"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6E36A86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41E768C9"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57%</w:t>
            </w:r>
          </w:p>
        </w:tc>
        <w:tc>
          <w:tcPr>
            <w:tcW w:w="0" w:type="auto"/>
            <w:tcBorders>
              <w:top w:val="nil"/>
              <w:left w:val="nil"/>
              <w:bottom w:val="double" w:sz="6" w:space="0" w:color="1F4E78"/>
              <w:right w:val="double" w:sz="6" w:space="0" w:color="1F4E78"/>
            </w:tcBorders>
            <w:shd w:val="clear" w:color="auto" w:fill="auto"/>
            <w:noWrap/>
            <w:vAlign w:val="bottom"/>
            <w:hideMark/>
          </w:tcPr>
          <w:p w14:paraId="65ABBA1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0" w:type="auto"/>
            <w:tcBorders>
              <w:top w:val="nil"/>
              <w:left w:val="nil"/>
              <w:bottom w:val="double" w:sz="6" w:space="0" w:color="1F4E78"/>
              <w:right w:val="double" w:sz="6" w:space="0" w:color="1F4E78"/>
            </w:tcBorders>
            <w:shd w:val="clear" w:color="auto" w:fill="auto"/>
            <w:noWrap/>
            <w:vAlign w:val="bottom"/>
            <w:hideMark/>
          </w:tcPr>
          <w:p w14:paraId="080FD53D"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w:t>
            </w:r>
          </w:p>
        </w:tc>
        <w:tc>
          <w:tcPr>
            <w:tcW w:w="0" w:type="auto"/>
            <w:tcBorders>
              <w:top w:val="nil"/>
              <w:left w:val="nil"/>
              <w:bottom w:val="double" w:sz="6" w:space="0" w:color="1F4E78"/>
              <w:right w:val="double" w:sz="6" w:space="0" w:color="1F4E78"/>
            </w:tcBorders>
            <w:shd w:val="clear" w:color="auto" w:fill="auto"/>
            <w:noWrap/>
            <w:vAlign w:val="bottom"/>
            <w:hideMark/>
          </w:tcPr>
          <w:p w14:paraId="62742B72"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0%</w:t>
            </w:r>
          </w:p>
        </w:tc>
        <w:tc>
          <w:tcPr>
            <w:tcW w:w="690" w:type="dxa"/>
            <w:tcBorders>
              <w:top w:val="nil"/>
              <w:left w:val="nil"/>
              <w:bottom w:val="double" w:sz="6" w:space="0" w:color="1F4E78"/>
              <w:right w:val="double" w:sz="6" w:space="0" w:color="1F4E78"/>
            </w:tcBorders>
            <w:shd w:val="clear" w:color="auto" w:fill="auto"/>
            <w:noWrap/>
            <w:vAlign w:val="bottom"/>
            <w:hideMark/>
          </w:tcPr>
          <w:p w14:paraId="1DB3ADA7" w14:textId="77777777" w:rsidR="00602E91" w:rsidRPr="00602E91" w:rsidRDefault="00602E91" w:rsidP="00602E91">
            <w:pPr>
              <w:spacing w:before="0" w:after="0" w:line="240" w:lineRule="auto"/>
              <w:jc w:val="center"/>
              <w:rPr>
                <w:rFonts w:eastAsia="Times New Roman" w:cs="Calibri"/>
                <w:color w:val="000000"/>
                <w:sz w:val="20"/>
                <w:szCs w:val="20"/>
                <w:lang w:eastAsia="es-CR"/>
              </w:rPr>
            </w:pPr>
            <w:r w:rsidRPr="00602E91">
              <w:rPr>
                <w:rFonts w:eastAsia="Times New Roman" w:cs="Calibri"/>
                <w:color w:val="000000"/>
                <w:sz w:val="20"/>
                <w:szCs w:val="20"/>
                <w:lang w:eastAsia="es-CR"/>
              </w:rPr>
              <w:t>149,63</w:t>
            </w:r>
          </w:p>
        </w:tc>
      </w:tr>
    </w:tbl>
    <w:p w14:paraId="0F1E5FBD" w14:textId="288EF706" w:rsidR="00464330" w:rsidRPr="005149C4" w:rsidRDefault="008A5434" w:rsidP="00464330">
      <w:pPr>
        <w:ind w:right="49"/>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Subproceso de Estadística. Nota: Los datos corresponden al </w:t>
      </w:r>
      <w:r w:rsidR="00F5021B" w:rsidRPr="005149C4">
        <w:rPr>
          <w:rFonts w:cs="Calibri"/>
          <w:bCs/>
          <w:color w:val="000000"/>
          <w:sz w:val="20"/>
          <w:szCs w:val="20"/>
          <w:lang w:eastAsia="es-CR"/>
        </w:rPr>
        <w:t xml:space="preserve">año </w:t>
      </w:r>
      <w:r w:rsidRPr="005149C4">
        <w:rPr>
          <w:rFonts w:cs="Calibri"/>
          <w:bCs/>
          <w:color w:val="000000"/>
          <w:sz w:val="20"/>
          <w:szCs w:val="20"/>
          <w:lang w:eastAsia="es-CR"/>
        </w:rPr>
        <w:t>202</w:t>
      </w:r>
      <w:r w:rsidR="00602E91" w:rsidRPr="005149C4">
        <w:rPr>
          <w:rFonts w:cs="Calibri"/>
          <w:bCs/>
          <w:color w:val="000000"/>
          <w:sz w:val="20"/>
          <w:szCs w:val="20"/>
          <w:lang w:eastAsia="es-CR"/>
        </w:rPr>
        <w:t>2</w:t>
      </w:r>
      <w:r w:rsidR="00D51496" w:rsidRPr="005149C4">
        <w:rPr>
          <w:rFonts w:cs="Calibri"/>
          <w:bCs/>
          <w:color w:val="000000"/>
          <w:sz w:val="20"/>
          <w:szCs w:val="20"/>
          <w:lang w:eastAsia="es-CR"/>
        </w:rPr>
        <w:t>.</w:t>
      </w:r>
    </w:p>
    <w:p w14:paraId="1B08A5FE" w14:textId="67CFC510" w:rsidR="00F732E2" w:rsidRPr="005149C4" w:rsidRDefault="00F732E2" w:rsidP="00464330">
      <w:pPr>
        <w:ind w:right="49"/>
      </w:pPr>
      <w:r w:rsidRPr="005149C4">
        <w:t xml:space="preserve">A partir de la información anterior se determina un porcentaje promedio de realización de reuniones a nivel nacional de un </w:t>
      </w:r>
      <w:r w:rsidR="00602E91" w:rsidRPr="005149C4">
        <w:t>8</w:t>
      </w:r>
      <w:r w:rsidR="006B3D4F" w:rsidRPr="005149C4">
        <w:t>4</w:t>
      </w:r>
      <w:r w:rsidRPr="005149C4">
        <w:t xml:space="preserve">%. </w:t>
      </w:r>
      <w:r w:rsidR="000220B3" w:rsidRPr="005149C4">
        <w:t>Por encima de este</w:t>
      </w:r>
      <w:r w:rsidRPr="005149C4">
        <w:t xml:space="preserve"> valor se identifican </w:t>
      </w:r>
      <w:r w:rsidR="00F5021B" w:rsidRPr="005149C4">
        <w:t>cuatro</w:t>
      </w:r>
      <w:r w:rsidRPr="005149C4">
        <w:t xml:space="preserve"> Circuitos Judiciales, que corresponden al II Circuito Judicial de San José</w:t>
      </w:r>
      <w:r w:rsidR="00454F82" w:rsidRPr="005149C4">
        <w:t xml:space="preserve">, </w:t>
      </w:r>
      <w:r w:rsidRPr="005149C4">
        <w:t xml:space="preserve">Circuito Judicial de </w:t>
      </w:r>
      <w:r w:rsidR="009F6132" w:rsidRPr="005149C4">
        <w:t>Heredia</w:t>
      </w:r>
      <w:r w:rsidR="00602E91" w:rsidRPr="005149C4">
        <w:t>, el I Circuito de la Zona Atlántica y el Circuito de Corredores.</w:t>
      </w:r>
    </w:p>
    <w:p w14:paraId="6D482B74" w14:textId="5B65FD4F" w:rsidR="00454F82" w:rsidRPr="005149C4" w:rsidRDefault="00454F82" w:rsidP="00464330">
      <w:pPr>
        <w:ind w:right="49"/>
      </w:pPr>
      <w:r w:rsidRPr="005149C4">
        <w:t>Por otra parte, se tiene el</w:t>
      </w:r>
      <w:r w:rsidR="00602E91" w:rsidRPr="005149C4">
        <w:t xml:space="preserve"> </w:t>
      </w:r>
      <w:r w:rsidRPr="005149C4">
        <w:t xml:space="preserve">Circuito Judicial de </w:t>
      </w:r>
      <w:r w:rsidR="00602E91" w:rsidRPr="005149C4">
        <w:t xml:space="preserve">Cartago y el I Circuito de la Zona Sur, </w:t>
      </w:r>
      <w:r w:rsidRPr="005149C4">
        <w:t>con valores idéntico por debajo del promedio.</w:t>
      </w:r>
    </w:p>
    <w:p w14:paraId="4BAC5D51" w14:textId="2D9FD918" w:rsidR="00454F82" w:rsidRPr="005149C4" w:rsidRDefault="00454F82" w:rsidP="00464330">
      <w:pPr>
        <w:ind w:right="49"/>
      </w:pPr>
      <w:r w:rsidRPr="005149C4">
        <w:t xml:space="preserve">Por último, con un valor igual al promedio, corresponde al Circuito Judicial de </w:t>
      </w:r>
      <w:r w:rsidR="00602E91" w:rsidRPr="005149C4">
        <w:t>Alajuela.</w:t>
      </w:r>
    </w:p>
    <w:p w14:paraId="3C3DFA63" w14:textId="1E3DDDA3" w:rsidR="00F732E2" w:rsidRPr="005149C4" w:rsidRDefault="00F732E2" w:rsidP="00F732E2">
      <w:pPr>
        <w:tabs>
          <w:tab w:val="left" w:pos="0"/>
        </w:tabs>
      </w:pPr>
      <w:r w:rsidRPr="005149C4">
        <w:t>En este caso, es importante mencionar que</w:t>
      </w:r>
      <w:r w:rsidR="00FC0995" w:rsidRPr="005149C4">
        <w:t xml:space="preserve">, </w:t>
      </w:r>
      <w:r w:rsidRPr="005149C4">
        <w:t xml:space="preserve">la realización de </w:t>
      </w:r>
      <w:r w:rsidR="00454F82" w:rsidRPr="005149C4">
        <w:t>r</w:t>
      </w:r>
      <w:r w:rsidRPr="005149C4">
        <w:t xml:space="preserve">euniones </w:t>
      </w:r>
      <w:r w:rsidR="00454F82" w:rsidRPr="005149C4">
        <w:t>r</w:t>
      </w:r>
      <w:r w:rsidRPr="005149C4">
        <w:t xml:space="preserve">estaurativas deberá contemplar la reprogramación de las reuniones no realizadas que sean justificadas, dentro del plazo establecido por ley; motivo por el cual dentro del rubro de </w:t>
      </w:r>
      <w:r w:rsidR="00454F82" w:rsidRPr="005149C4">
        <w:t>r</w:t>
      </w:r>
      <w:r w:rsidRPr="005149C4">
        <w:t xml:space="preserve">euniones </w:t>
      </w:r>
      <w:r w:rsidR="00454F82" w:rsidRPr="005149C4">
        <w:t>r</w:t>
      </w:r>
      <w:r w:rsidRPr="005149C4">
        <w:t>ealizadas se contabilizan las reprogramaciones.</w:t>
      </w:r>
    </w:p>
    <w:p w14:paraId="46061CF3" w14:textId="15FDF870" w:rsidR="000A21D6" w:rsidRPr="005149C4" w:rsidRDefault="000A21D6" w:rsidP="00F732E2">
      <w:pPr>
        <w:tabs>
          <w:tab w:val="left" w:pos="0"/>
        </w:tabs>
      </w:pPr>
      <w:r w:rsidRPr="005149C4">
        <w:t xml:space="preserve">Adicionalmente, se muestra </w:t>
      </w:r>
      <w:r w:rsidR="00B955B1" w:rsidRPr="005149C4">
        <w:t xml:space="preserve">un </w:t>
      </w:r>
      <w:r w:rsidR="00C32562" w:rsidRPr="005149C4">
        <w:t>estado</w:t>
      </w:r>
      <w:r w:rsidR="00B955B1" w:rsidRPr="005149C4">
        <w:t xml:space="preserve"> designado como “pendiente”</w:t>
      </w:r>
      <w:r w:rsidR="003B08D7" w:rsidRPr="005149C4">
        <w:t xml:space="preserve">, que </w:t>
      </w:r>
      <w:r w:rsidR="0033412A" w:rsidRPr="005149C4">
        <w:t xml:space="preserve">en promedio representa el </w:t>
      </w:r>
      <w:r w:rsidR="002F6EBD" w:rsidRPr="005149C4">
        <w:t>2</w:t>
      </w:r>
      <w:r w:rsidR="0033412A" w:rsidRPr="005149C4">
        <w:t xml:space="preserve">% de los apuntes. En este caso, se aclara </w:t>
      </w:r>
      <w:r w:rsidR="00C32562" w:rsidRPr="005149C4">
        <w:t>que este estado pendiente</w:t>
      </w:r>
      <w:r w:rsidR="001B7049" w:rsidRPr="005149C4">
        <w:t xml:space="preserve"> no hace alusión a que la </w:t>
      </w:r>
      <w:r w:rsidR="00A43830" w:rsidRPr="005149C4">
        <w:t xml:space="preserve">reunión restaurativa se encuentra pendiente de realizar, sino </w:t>
      </w:r>
      <w:r w:rsidR="00BA3E22" w:rsidRPr="005149C4">
        <w:t>q</w:t>
      </w:r>
      <w:r w:rsidR="00A43830" w:rsidRPr="005149C4">
        <w:t>ue a nivel del sistema</w:t>
      </w:r>
      <w:r w:rsidR="00BA3E22" w:rsidRPr="005149C4">
        <w:t xml:space="preserve"> no se realizó la actualización del estado del apunte</w:t>
      </w:r>
      <w:r w:rsidR="009007B2" w:rsidRPr="005149C4">
        <w:t xml:space="preserve">, lo cual es una inconsistencia estadística </w:t>
      </w:r>
    </w:p>
    <w:p w14:paraId="69DD8916" w14:textId="20664FCE" w:rsidR="007D17C3" w:rsidRPr="005149C4" w:rsidRDefault="00AC360C" w:rsidP="00F732E2">
      <w:pPr>
        <w:tabs>
          <w:tab w:val="left" w:pos="0"/>
        </w:tabs>
      </w:pPr>
      <w:r w:rsidRPr="005149C4">
        <w:t xml:space="preserve">Respecto a las audiencias de verificación, se </w:t>
      </w:r>
      <w:r w:rsidR="0008129F" w:rsidRPr="005149C4">
        <w:t>muestra en el siguiente cuadro el detalle de la información al año 202</w:t>
      </w:r>
      <w:r w:rsidR="002F6EBD" w:rsidRPr="005149C4">
        <w:t>2</w:t>
      </w:r>
      <w:r w:rsidR="0008129F" w:rsidRPr="005149C4">
        <w:t>:</w:t>
      </w:r>
    </w:p>
    <w:p w14:paraId="54ED964B" w14:textId="459491EB" w:rsidR="002F6EBD" w:rsidRPr="005149C4" w:rsidRDefault="001F6D57" w:rsidP="002F6EBD">
      <w:pPr>
        <w:tabs>
          <w:tab w:val="left" w:pos="8505"/>
        </w:tabs>
        <w:spacing w:before="0" w:after="0" w:line="240" w:lineRule="auto"/>
        <w:ind w:right="333"/>
        <w:jc w:val="left"/>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12</w:t>
      </w:r>
      <w:r w:rsidRPr="005149C4">
        <w:rPr>
          <w:b/>
          <w:bCs/>
          <w:sz w:val="20"/>
          <w:szCs w:val="20"/>
        </w:rPr>
        <w:fldChar w:fldCharType="end"/>
      </w:r>
      <w:r w:rsidRPr="005149C4">
        <w:rPr>
          <w:b/>
          <w:bCs/>
          <w:sz w:val="20"/>
          <w:szCs w:val="20"/>
        </w:rPr>
        <w:t xml:space="preserve">. Audiencias de Verificación en materia Penal Adulto para el </w:t>
      </w:r>
      <w:r w:rsidR="00A67618" w:rsidRPr="005149C4">
        <w:rPr>
          <w:b/>
          <w:bCs/>
          <w:sz w:val="20"/>
          <w:szCs w:val="20"/>
        </w:rPr>
        <w:t xml:space="preserve">año </w:t>
      </w:r>
      <w:r w:rsidRPr="005149C4">
        <w:rPr>
          <w:b/>
          <w:bCs/>
          <w:sz w:val="20"/>
          <w:szCs w:val="20"/>
        </w:rPr>
        <w:t>202</w:t>
      </w:r>
      <w:r w:rsidR="002F6EBD" w:rsidRPr="005149C4">
        <w:rPr>
          <w:b/>
          <w:bCs/>
          <w:sz w:val="20"/>
          <w:szCs w:val="20"/>
        </w:rPr>
        <w:t>2</w:t>
      </w:r>
    </w:p>
    <w:p w14:paraId="6FAEBEE2" w14:textId="77777777" w:rsidR="002F6EBD" w:rsidRPr="005149C4" w:rsidRDefault="002F6EBD" w:rsidP="002F6EBD">
      <w:pPr>
        <w:tabs>
          <w:tab w:val="left" w:pos="8505"/>
        </w:tabs>
        <w:spacing w:before="0" w:after="0" w:line="240" w:lineRule="auto"/>
        <w:ind w:right="333"/>
        <w:jc w:val="left"/>
        <w:rPr>
          <w:b/>
          <w:bCs/>
          <w:sz w:val="20"/>
          <w:szCs w:val="20"/>
        </w:rPr>
      </w:pPr>
    </w:p>
    <w:tbl>
      <w:tblPr>
        <w:tblW w:w="10065" w:type="dxa"/>
        <w:tblInd w:w="-449" w:type="dxa"/>
        <w:tblLayout w:type="fixed"/>
        <w:tblCellMar>
          <w:left w:w="70" w:type="dxa"/>
          <w:right w:w="70" w:type="dxa"/>
        </w:tblCellMar>
        <w:tblLook w:val="04A0" w:firstRow="1" w:lastRow="0" w:firstColumn="1" w:lastColumn="0" w:noHBand="0" w:noVBand="1"/>
      </w:tblPr>
      <w:tblGrid>
        <w:gridCol w:w="1986"/>
        <w:gridCol w:w="1134"/>
        <w:gridCol w:w="708"/>
        <w:gridCol w:w="993"/>
        <w:gridCol w:w="567"/>
        <w:gridCol w:w="708"/>
        <w:gridCol w:w="426"/>
        <w:gridCol w:w="708"/>
        <w:gridCol w:w="567"/>
        <w:gridCol w:w="613"/>
        <w:gridCol w:w="663"/>
        <w:gridCol w:w="992"/>
      </w:tblGrid>
      <w:tr w:rsidR="002F6EBD" w:rsidRPr="002F6EBD" w14:paraId="0C6B2193" w14:textId="77777777" w:rsidTr="002F6EBD">
        <w:trPr>
          <w:trHeight w:val="330"/>
        </w:trPr>
        <w:tc>
          <w:tcPr>
            <w:tcW w:w="1986"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0CE191F0"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Circuito Judicial</w:t>
            </w:r>
          </w:p>
        </w:tc>
        <w:tc>
          <w:tcPr>
            <w:tcW w:w="8079"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44A86D05"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Audiencias de Verificación</w:t>
            </w:r>
          </w:p>
        </w:tc>
      </w:tr>
      <w:tr w:rsidR="002F6EBD" w:rsidRPr="005149C4" w14:paraId="494EB3CF" w14:textId="77777777" w:rsidTr="002F6EBD">
        <w:trPr>
          <w:trHeight w:val="330"/>
        </w:trPr>
        <w:tc>
          <w:tcPr>
            <w:tcW w:w="1986" w:type="dxa"/>
            <w:vMerge/>
            <w:tcBorders>
              <w:top w:val="double" w:sz="6" w:space="0" w:color="1F4E78"/>
              <w:left w:val="double" w:sz="6" w:space="0" w:color="1F4E78"/>
              <w:bottom w:val="double" w:sz="6" w:space="0" w:color="1F4E78"/>
              <w:right w:val="double" w:sz="6" w:space="0" w:color="1F4E78"/>
            </w:tcBorders>
            <w:vAlign w:val="center"/>
            <w:hideMark/>
          </w:tcPr>
          <w:p w14:paraId="04F3C631" w14:textId="77777777" w:rsidR="002F6EBD" w:rsidRPr="002F6EBD" w:rsidRDefault="002F6EBD" w:rsidP="002F6EBD">
            <w:pPr>
              <w:spacing w:before="0" w:after="0" w:line="240" w:lineRule="auto"/>
              <w:jc w:val="left"/>
              <w:rPr>
                <w:rFonts w:eastAsia="Times New Roman" w:cs="Calibri"/>
                <w:color w:val="FFFFFF"/>
                <w:sz w:val="18"/>
                <w:szCs w:val="18"/>
                <w:lang w:eastAsia="es-CR"/>
              </w:rPr>
            </w:pPr>
          </w:p>
        </w:tc>
        <w:tc>
          <w:tcPr>
            <w:tcW w:w="1134" w:type="dxa"/>
            <w:tcBorders>
              <w:top w:val="nil"/>
              <w:left w:val="nil"/>
              <w:bottom w:val="double" w:sz="6" w:space="0" w:color="1F4E78"/>
              <w:right w:val="double" w:sz="6" w:space="0" w:color="1F4E78"/>
            </w:tcBorders>
            <w:shd w:val="clear" w:color="000000" w:fill="365F91"/>
            <w:noWrap/>
            <w:vAlign w:val="center"/>
            <w:hideMark/>
          </w:tcPr>
          <w:p w14:paraId="17070BB6"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Realizadas</w:t>
            </w:r>
          </w:p>
        </w:tc>
        <w:tc>
          <w:tcPr>
            <w:tcW w:w="708" w:type="dxa"/>
            <w:tcBorders>
              <w:top w:val="nil"/>
              <w:left w:val="nil"/>
              <w:bottom w:val="double" w:sz="6" w:space="0" w:color="1F4E78"/>
              <w:right w:val="double" w:sz="6" w:space="0" w:color="1F4E78"/>
            </w:tcBorders>
            <w:shd w:val="clear" w:color="000000" w:fill="365F91"/>
            <w:noWrap/>
            <w:vAlign w:val="center"/>
            <w:hideMark/>
          </w:tcPr>
          <w:p w14:paraId="04590AA8"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w:t>
            </w:r>
          </w:p>
        </w:tc>
        <w:tc>
          <w:tcPr>
            <w:tcW w:w="993" w:type="dxa"/>
            <w:tcBorders>
              <w:top w:val="nil"/>
              <w:left w:val="nil"/>
              <w:bottom w:val="double" w:sz="6" w:space="0" w:color="1F4E78"/>
              <w:right w:val="double" w:sz="6" w:space="0" w:color="1F4E78"/>
            </w:tcBorders>
            <w:shd w:val="clear" w:color="000000" w:fill="365F91"/>
            <w:noWrap/>
            <w:vAlign w:val="center"/>
            <w:hideMark/>
          </w:tcPr>
          <w:p w14:paraId="66FA71B9"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Pendiente</w:t>
            </w:r>
          </w:p>
        </w:tc>
        <w:tc>
          <w:tcPr>
            <w:tcW w:w="567" w:type="dxa"/>
            <w:tcBorders>
              <w:top w:val="nil"/>
              <w:left w:val="nil"/>
              <w:bottom w:val="double" w:sz="6" w:space="0" w:color="1F4E78"/>
              <w:right w:val="double" w:sz="6" w:space="0" w:color="1F4E78"/>
            </w:tcBorders>
            <w:shd w:val="clear" w:color="000000" w:fill="365F91"/>
            <w:noWrap/>
            <w:vAlign w:val="center"/>
            <w:hideMark/>
          </w:tcPr>
          <w:p w14:paraId="30E9A3DE"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w:t>
            </w:r>
          </w:p>
        </w:tc>
        <w:tc>
          <w:tcPr>
            <w:tcW w:w="708" w:type="dxa"/>
            <w:tcBorders>
              <w:top w:val="nil"/>
              <w:left w:val="nil"/>
              <w:bottom w:val="double" w:sz="6" w:space="0" w:color="1F4E78"/>
              <w:right w:val="double" w:sz="6" w:space="0" w:color="1F4E78"/>
            </w:tcBorders>
            <w:shd w:val="clear" w:color="000000" w:fill="365F91"/>
            <w:noWrap/>
            <w:vAlign w:val="center"/>
            <w:hideMark/>
          </w:tcPr>
          <w:p w14:paraId="0E405770"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Sin efecto</w:t>
            </w:r>
          </w:p>
        </w:tc>
        <w:tc>
          <w:tcPr>
            <w:tcW w:w="426" w:type="dxa"/>
            <w:tcBorders>
              <w:top w:val="nil"/>
              <w:left w:val="nil"/>
              <w:bottom w:val="double" w:sz="6" w:space="0" w:color="1F4E78"/>
              <w:right w:val="double" w:sz="6" w:space="0" w:color="1F4E78"/>
            </w:tcBorders>
            <w:shd w:val="clear" w:color="000000" w:fill="365F91"/>
            <w:noWrap/>
            <w:vAlign w:val="center"/>
            <w:hideMark/>
          </w:tcPr>
          <w:p w14:paraId="55672AB8"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w:t>
            </w:r>
          </w:p>
        </w:tc>
        <w:tc>
          <w:tcPr>
            <w:tcW w:w="708" w:type="dxa"/>
            <w:tcBorders>
              <w:top w:val="nil"/>
              <w:left w:val="nil"/>
              <w:bottom w:val="double" w:sz="6" w:space="0" w:color="1F4E78"/>
              <w:right w:val="double" w:sz="6" w:space="0" w:color="1F4E78"/>
            </w:tcBorders>
            <w:shd w:val="clear" w:color="000000" w:fill="365F91"/>
            <w:noWrap/>
            <w:vAlign w:val="center"/>
            <w:hideMark/>
          </w:tcPr>
          <w:p w14:paraId="71DEB62C"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07FFB451"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w:t>
            </w:r>
          </w:p>
        </w:tc>
        <w:tc>
          <w:tcPr>
            <w:tcW w:w="613" w:type="dxa"/>
            <w:tcBorders>
              <w:top w:val="nil"/>
              <w:left w:val="nil"/>
              <w:bottom w:val="double" w:sz="6" w:space="0" w:color="1F4E78"/>
              <w:right w:val="double" w:sz="6" w:space="0" w:color="1F4E78"/>
            </w:tcBorders>
            <w:shd w:val="clear" w:color="000000" w:fill="365F91"/>
            <w:noWrap/>
            <w:vAlign w:val="center"/>
            <w:hideMark/>
          </w:tcPr>
          <w:p w14:paraId="77B5447D"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Suspendida</w:t>
            </w:r>
          </w:p>
        </w:tc>
        <w:tc>
          <w:tcPr>
            <w:tcW w:w="663" w:type="dxa"/>
            <w:tcBorders>
              <w:top w:val="nil"/>
              <w:left w:val="nil"/>
              <w:bottom w:val="double" w:sz="6" w:space="0" w:color="1F4E78"/>
              <w:right w:val="double" w:sz="6" w:space="0" w:color="1F4E78"/>
            </w:tcBorders>
            <w:shd w:val="clear" w:color="000000" w:fill="365F91"/>
            <w:noWrap/>
            <w:vAlign w:val="center"/>
            <w:hideMark/>
          </w:tcPr>
          <w:p w14:paraId="0011710A"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w:t>
            </w:r>
          </w:p>
        </w:tc>
        <w:tc>
          <w:tcPr>
            <w:tcW w:w="992" w:type="dxa"/>
            <w:tcBorders>
              <w:top w:val="nil"/>
              <w:left w:val="nil"/>
              <w:bottom w:val="double" w:sz="6" w:space="0" w:color="1F4E78"/>
              <w:right w:val="double" w:sz="6" w:space="0" w:color="1F4E78"/>
            </w:tcBorders>
            <w:shd w:val="clear" w:color="000000" w:fill="365F91"/>
            <w:noWrap/>
            <w:vAlign w:val="center"/>
            <w:hideMark/>
          </w:tcPr>
          <w:p w14:paraId="382A4967" w14:textId="77777777" w:rsidR="002F6EBD" w:rsidRPr="002F6EBD" w:rsidRDefault="002F6EBD" w:rsidP="002F6EBD">
            <w:pPr>
              <w:spacing w:before="0" w:after="0" w:line="240" w:lineRule="auto"/>
              <w:jc w:val="center"/>
              <w:rPr>
                <w:rFonts w:eastAsia="Times New Roman" w:cs="Calibri"/>
                <w:color w:val="FFFFFF"/>
                <w:sz w:val="18"/>
                <w:szCs w:val="18"/>
                <w:lang w:eastAsia="es-CR"/>
              </w:rPr>
            </w:pPr>
            <w:r w:rsidRPr="002F6EBD">
              <w:rPr>
                <w:rFonts w:eastAsia="Times New Roman" w:cs="Calibri"/>
                <w:color w:val="FFFFFF"/>
                <w:sz w:val="18"/>
                <w:szCs w:val="18"/>
                <w:lang w:eastAsia="es-CR"/>
              </w:rPr>
              <w:t>Total</w:t>
            </w:r>
          </w:p>
        </w:tc>
      </w:tr>
      <w:tr w:rsidR="002F6EBD" w:rsidRPr="005149C4" w14:paraId="3F92444B"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6B54E6EF"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II Circuito Judicial de San José</w:t>
            </w:r>
          </w:p>
        </w:tc>
        <w:tc>
          <w:tcPr>
            <w:tcW w:w="1134" w:type="dxa"/>
            <w:tcBorders>
              <w:top w:val="nil"/>
              <w:left w:val="nil"/>
              <w:bottom w:val="double" w:sz="6" w:space="0" w:color="1F4E78"/>
              <w:right w:val="double" w:sz="6" w:space="0" w:color="1F4E78"/>
            </w:tcBorders>
            <w:shd w:val="clear" w:color="auto" w:fill="auto"/>
            <w:noWrap/>
            <w:vAlign w:val="bottom"/>
            <w:hideMark/>
          </w:tcPr>
          <w:p w14:paraId="332C5DC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127</w:t>
            </w:r>
          </w:p>
        </w:tc>
        <w:tc>
          <w:tcPr>
            <w:tcW w:w="708" w:type="dxa"/>
            <w:tcBorders>
              <w:top w:val="nil"/>
              <w:left w:val="nil"/>
              <w:bottom w:val="double" w:sz="6" w:space="0" w:color="1F4E78"/>
              <w:right w:val="double" w:sz="6" w:space="0" w:color="1F4E78"/>
            </w:tcBorders>
            <w:shd w:val="clear" w:color="auto" w:fill="auto"/>
            <w:noWrap/>
            <w:vAlign w:val="bottom"/>
            <w:hideMark/>
          </w:tcPr>
          <w:p w14:paraId="4815839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66%</w:t>
            </w:r>
          </w:p>
        </w:tc>
        <w:tc>
          <w:tcPr>
            <w:tcW w:w="993" w:type="dxa"/>
            <w:tcBorders>
              <w:top w:val="nil"/>
              <w:left w:val="nil"/>
              <w:bottom w:val="double" w:sz="6" w:space="0" w:color="1F4E78"/>
              <w:right w:val="double" w:sz="6" w:space="0" w:color="1F4E78"/>
            </w:tcBorders>
            <w:shd w:val="clear" w:color="auto" w:fill="auto"/>
            <w:noWrap/>
            <w:vAlign w:val="bottom"/>
            <w:hideMark/>
          </w:tcPr>
          <w:p w14:paraId="7C650BF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17</w:t>
            </w:r>
          </w:p>
        </w:tc>
        <w:tc>
          <w:tcPr>
            <w:tcW w:w="567" w:type="dxa"/>
            <w:tcBorders>
              <w:top w:val="nil"/>
              <w:left w:val="nil"/>
              <w:bottom w:val="double" w:sz="6" w:space="0" w:color="1F4E78"/>
              <w:right w:val="double" w:sz="6" w:space="0" w:color="1F4E78"/>
            </w:tcBorders>
            <w:shd w:val="clear" w:color="auto" w:fill="auto"/>
            <w:noWrap/>
            <w:vAlign w:val="bottom"/>
            <w:hideMark/>
          </w:tcPr>
          <w:p w14:paraId="4B890F1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9%</w:t>
            </w:r>
          </w:p>
        </w:tc>
        <w:tc>
          <w:tcPr>
            <w:tcW w:w="708" w:type="dxa"/>
            <w:tcBorders>
              <w:top w:val="nil"/>
              <w:left w:val="nil"/>
              <w:bottom w:val="double" w:sz="6" w:space="0" w:color="1F4E78"/>
              <w:right w:val="double" w:sz="6" w:space="0" w:color="1F4E78"/>
            </w:tcBorders>
            <w:shd w:val="clear" w:color="auto" w:fill="auto"/>
            <w:noWrap/>
            <w:vAlign w:val="bottom"/>
            <w:hideMark/>
          </w:tcPr>
          <w:p w14:paraId="6414079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bottom"/>
            <w:hideMark/>
          </w:tcPr>
          <w:p w14:paraId="6F752FAF"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bottom"/>
            <w:hideMark/>
          </w:tcPr>
          <w:p w14:paraId="7DB32D0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45</w:t>
            </w:r>
          </w:p>
        </w:tc>
        <w:tc>
          <w:tcPr>
            <w:tcW w:w="567" w:type="dxa"/>
            <w:tcBorders>
              <w:top w:val="nil"/>
              <w:left w:val="nil"/>
              <w:bottom w:val="double" w:sz="6" w:space="0" w:color="1F4E78"/>
              <w:right w:val="double" w:sz="6" w:space="0" w:color="1F4E78"/>
            </w:tcBorders>
            <w:shd w:val="clear" w:color="auto" w:fill="auto"/>
            <w:noWrap/>
            <w:vAlign w:val="bottom"/>
            <w:hideMark/>
          </w:tcPr>
          <w:p w14:paraId="5DD276DF"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24%</w:t>
            </w:r>
          </w:p>
        </w:tc>
        <w:tc>
          <w:tcPr>
            <w:tcW w:w="613" w:type="dxa"/>
            <w:tcBorders>
              <w:top w:val="nil"/>
              <w:left w:val="nil"/>
              <w:bottom w:val="double" w:sz="6" w:space="0" w:color="1F4E78"/>
              <w:right w:val="double" w:sz="6" w:space="0" w:color="1F4E78"/>
            </w:tcBorders>
            <w:shd w:val="clear" w:color="auto" w:fill="auto"/>
            <w:noWrap/>
            <w:vAlign w:val="bottom"/>
            <w:hideMark/>
          </w:tcPr>
          <w:p w14:paraId="6E273E6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663" w:type="dxa"/>
            <w:tcBorders>
              <w:top w:val="nil"/>
              <w:left w:val="nil"/>
              <w:bottom w:val="double" w:sz="6" w:space="0" w:color="1F4E78"/>
              <w:right w:val="double" w:sz="6" w:space="0" w:color="1F4E78"/>
            </w:tcBorders>
            <w:shd w:val="clear" w:color="auto" w:fill="auto"/>
            <w:noWrap/>
            <w:vAlign w:val="bottom"/>
            <w:hideMark/>
          </w:tcPr>
          <w:p w14:paraId="7292A746"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992" w:type="dxa"/>
            <w:tcBorders>
              <w:top w:val="nil"/>
              <w:left w:val="nil"/>
              <w:bottom w:val="double" w:sz="6" w:space="0" w:color="1F4E78"/>
              <w:right w:val="double" w:sz="6" w:space="0" w:color="1F4E78"/>
            </w:tcBorders>
            <w:shd w:val="clear" w:color="auto" w:fill="auto"/>
            <w:noWrap/>
            <w:vAlign w:val="bottom"/>
            <w:hideMark/>
          </w:tcPr>
          <w:p w14:paraId="7F2813F3"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191</w:t>
            </w:r>
          </w:p>
        </w:tc>
      </w:tr>
      <w:tr w:rsidR="002F6EBD" w:rsidRPr="005149C4" w14:paraId="0D54936E"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6952C43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III Circuito Judicial de San José</w:t>
            </w:r>
          </w:p>
        </w:tc>
        <w:tc>
          <w:tcPr>
            <w:tcW w:w="1134" w:type="dxa"/>
            <w:tcBorders>
              <w:top w:val="nil"/>
              <w:left w:val="nil"/>
              <w:bottom w:val="double" w:sz="6" w:space="0" w:color="1F4E78"/>
              <w:right w:val="double" w:sz="6" w:space="0" w:color="1F4E78"/>
            </w:tcBorders>
            <w:shd w:val="clear" w:color="auto" w:fill="auto"/>
            <w:noWrap/>
            <w:vAlign w:val="bottom"/>
            <w:hideMark/>
          </w:tcPr>
          <w:p w14:paraId="273D689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120</w:t>
            </w:r>
          </w:p>
        </w:tc>
        <w:tc>
          <w:tcPr>
            <w:tcW w:w="708" w:type="dxa"/>
            <w:tcBorders>
              <w:top w:val="nil"/>
              <w:left w:val="nil"/>
              <w:bottom w:val="double" w:sz="6" w:space="0" w:color="1F4E78"/>
              <w:right w:val="double" w:sz="6" w:space="0" w:color="1F4E78"/>
            </w:tcBorders>
            <w:shd w:val="clear" w:color="auto" w:fill="auto"/>
            <w:noWrap/>
            <w:vAlign w:val="bottom"/>
            <w:hideMark/>
          </w:tcPr>
          <w:p w14:paraId="79E1313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89%</w:t>
            </w:r>
          </w:p>
        </w:tc>
        <w:tc>
          <w:tcPr>
            <w:tcW w:w="993" w:type="dxa"/>
            <w:tcBorders>
              <w:top w:val="nil"/>
              <w:left w:val="nil"/>
              <w:bottom w:val="double" w:sz="6" w:space="0" w:color="1F4E78"/>
              <w:right w:val="double" w:sz="6" w:space="0" w:color="1F4E78"/>
            </w:tcBorders>
            <w:shd w:val="clear" w:color="auto" w:fill="auto"/>
            <w:noWrap/>
            <w:vAlign w:val="bottom"/>
            <w:hideMark/>
          </w:tcPr>
          <w:p w14:paraId="4F29906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bottom"/>
            <w:hideMark/>
          </w:tcPr>
          <w:p w14:paraId="08948FB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w:t>
            </w:r>
          </w:p>
        </w:tc>
        <w:tc>
          <w:tcPr>
            <w:tcW w:w="708" w:type="dxa"/>
            <w:tcBorders>
              <w:top w:val="nil"/>
              <w:left w:val="nil"/>
              <w:bottom w:val="double" w:sz="6" w:space="0" w:color="1F4E78"/>
              <w:right w:val="double" w:sz="6" w:space="0" w:color="1F4E78"/>
            </w:tcBorders>
            <w:shd w:val="clear" w:color="auto" w:fill="auto"/>
            <w:noWrap/>
            <w:vAlign w:val="bottom"/>
            <w:hideMark/>
          </w:tcPr>
          <w:p w14:paraId="465A14F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bottom"/>
            <w:hideMark/>
          </w:tcPr>
          <w:p w14:paraId="08E3AF3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bottom"/>
            <w:hideMark/>
          </w:tcPr>
          <w:p w14:paraId="21C47B4A"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bottom"/>
            <w:hideMark/>
          </w:tcPr>
          <w:p w14:paraId="09BA77D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w:t>
            </w:r>
          </w:p>
        </w:tc>
        <w:tc>
          <w:tcPr>
            <w:tcW w:w="613" w:type="dxa"/>
            <w:tcBorders>
              <w:top w:val="nil"/>
              <w:left w:val="nil"/>
              <w:bottom w:val="double" w:sz="6" w:space="0" w:color="1F4E78"/>
              <w:right w:val="double" w:sz="6" w:space="0" w:color="1F4E78"/>
            </w:tcBorders>
            <w:shd w:val="clear" w:color="auto" w:fill="auto"/>
            <w:noWrap/>
            <w:vAlign w:val="bottom"/>
            <w:hideMark/>
          </w:tcPr>
          <w:p w14:paraId="519512A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663" w:type="dxa"/>
            <w:tcBorders>
              <w:top w:val="nil"/>
              <w:left w:val="nil"/>
              <w:bottom w:val="double" w:sz="6" w:space="0" w:color="1F4E78"/>
              <w:right w:val="double" w:sz="6" w:space="0" w:color="1F4E78"/>
            </w:tcBorders>
            <w:shd w:val="clear" w:color="auto" w:fill="auto"/>
            <w:noWrap/>
            <w:vAlign w:val="bottom"/>
            <w:hideMark/>
          </w:tcPr>
          <w:p w14:paraId="5EFA7C4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992" w:type="dxa"/>
            <w:tcBorders>
              <w:top w:val="nil"/>
              <w:left w:val="nil"/>
              <w:bottom w:val="double" w:sz="6" w:space="0" w:color="1F4E78"/>
              <w:right w:val="double" w:sz="6" w:space="0" w:color="1F4E78"/>
            </w:tcBorders>
            <w:shd w:val="clear" w:color="auto" w:fill="auto"/>
            <w:noWrap/>
            <w:vAlign w:val="bottom"/>
            <w:hideMark/>
          </w:tcPr>
          <w:p w14:paraId="4A7F365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135</w:t>
            </w:r>
          </w:p>
        </w:tc>
      </w:tr>
      <w:tr w:rsidR="002F6EBD" w:rsidRPr="005149C4" w14:paraId="44F7A717"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00A8A50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Cartago</w:t>
            </w:r>
          </w:p>
        </w:tc>
        <w:tc>
          <w:tcPr>
            <w:tcW w:w="1134" w:type="dxa"/>
            <w:tcBorders>
              <w:top w:val="nil"/>
              <w:left w:val="nil"/>
              <w:bottom w:val="double" w:sz="6" w:space="0" w:color="1F4E78"/>
              <w:right w:val="double" w:sz="6" w:space="0" w:color="1F4E78"/>
            </w:tcBorders>
            <w:shd w:val="clear" w:color="auto" w:fill="auto"/>
            <w:noWrap/>
            <w:vAlign w:val="bottom"/>
            <w:hideMark/>
          </w:tcPr>
          <w:p w14:paraId="60D09F2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113</w:t>
            </w:r>
          </w:p>
        </w:tc>
        <w:tc>
          <w:tcPr>
            <w:tcW w:w="708" w:type="dxa"/>
            <w:tcBorders>
              <w:top w:val="nil"/>
              <w:left w:val="nil"/>
              <w:bottom w:val="double" w:sz="6" w:space="0" w:color="1F4E78"/>
              <w:right w:val="double" w:sz="6" w:space="0" w:color="1F4E78"/>
            </w:tcBorders>
            <w:shd w:val="clear" w:color="auto" w:fill="auto"/>
            <w:noWrap/>
            <w:vAlign w:val="bottom"/>
            <w:hideMark/>
          </w:tcPr>
          <w:p w14:paraId="3E76037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65%</w:t>
            </w:r>
          </w:p>
        </w:tc>
        <w:tc>
          <w:tcPr>
            <w:tcW w:w="993" w:type="dxa"/>
            <w:tcBorders>
              <w:top w:val="nil"/>
              <w:left w:val="nil"/>
              <w:bottom w:val="double" w:sz="6" w:space="0" w:color="1F4E78"/>
              <w:right w:val="double" w:sz="6" w:space="0" w:color="1F4E78"/>
            </w:tcBorders>
            <w:shd w:val="clear" w:color="auto" w:fill="auto"/>
            <w:noWrap/>
            <w:vAlign w:val="bottom"/>
            <w:hideMark/>
          </w:tcPr>
          <w:p w14:paraId="5070CECA"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48</w:t>
            </w:r>
          </w:p>
        </w:tc>
        <w:tc>
          <w:tcPr>
            <w:tcW w:w="567" w:type="dxa"/>
            <w:tcBorders>
              <w:top w:val="nil"/>
              <w:left w:val="nil"/>
              <w:bottom w:val="double" w:sz="6" w:space="0" w:color="1F4E78"/>
              <w:right w:val="double" w:sz="6" w:space="0" w:color="1F4E78"/>
            </w:tcBorders>
            <w:shd w:val="clear" w:color="auto" w:fill="auto"/>
            <w:noWrap/>
            <w:vAlign w:val="bottom"/>
            <w:hideMark/>
          </w:tcPr>
          <w:p w14:paraId="12BA094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28%</w:t>
            </w:r>
          </w:p>
        </w:tc>
        <w:tc>
          <w:tcPr>
            <w:tcW w:w="708" w:type="dxa"/>
            <w:tcBorders>
              <w:top w:val="nil"/>
              <w:left w:val="nil"/>
              <w:bottom w:val="double" w:sz="6" w:space="0" w:color="1F4E78"/>
              <w:right w:val="double" w:sz="6" w:space="0" w:color="1F4E78"/>
            </w:tcBorders>
            <w:shd w:val="clear" w:color="auto" w:fill="auto"/>
            <w:noWrap/>
            <w:vAlign w:val="bottom"/>
            <w:hideMark/>
          </w:tcPr>
          <w:p w14:paraId="0603BAB9"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581F0653"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3942840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13</w:t>
            </w:r>
          </w:p>
        </w:tc>
        <w:tc>
          <w:tcPr>
            <w:tcW w:w="567" w:type="dxa"/>
            <w:tcBorders>
              <w:top w:val="nil"/>
              <w:left w:val="nil"/>
              <w:bottom w:val="double" w:sz="6" w:space="0" w:color="1F4E78"/>
              <w:right w:val="double" w:sz="6" w:space="0" w:color="1F4E78"/>
            </w:tcBorders>
            <w:shd w:val="clear" w:color="auto" w:fill="auto"/>
            <w:noWrap/>
            <w:vAlign w:val="bottom"/>
            <w:hideMark/>
          </w:tcPr>
          <w:p w14:paraId="47D0E82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w:t>
            </w:r>
          </w:p>
        </w:tc>
        <w:tc>
          <w:tcPr>
            <w:tcW w:w="613" w:type="dxa"/>
            <w:tcBorders>
              <w:top w:val="nil"/>
              <w:left w:val="nil"/>
              <w:bottom w:val="double" w:sz="6" w:space="0" w:color="1F4E78"/>
              <w:right w:val="double" w:sz="6" w:space="0" w:color="1F4E78"/>
            </w:tcBorders>
            <w:shd w:val="clear" w:color="auto" w:fill="auto"/>
            <w:noWrap/>
            <w:vAlign w:val="bottom"/>
            <w:hideMark/>
          </w:tcPr>
          <w:p w14:paraId="3465E1B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w:t>
            </w:r>
          </w:p>
        </w:tc>
        <w:tc>
          <w:tcPr>
            <w:tcW w:w="663" w:type="dxa"/>
            <w:tcBorders>
              <w:top w:val="nil"/>
              <w:left w:val="nil"/>
              <w:bottom w:val="double" w:sz="6" w:space="0" w:color="1F4E78"/>
              <w:right w:val="double" w:sz="6" w:space="0" w:color="1F4E78"/>
            </w:tcBorders>
            <w:shd w:val="clear" w:color="auto" w:fill="auto"/>
            <w:noWrap/>
            <w:vAlign w:val="bottom"/>
            <w:hideMark/>
          </w:tcPr>
          <w:p w14:paraId="4390743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17C6E97A"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174</w:t>
            </w:r>
          </w:p>
        </w:tc>
      </w:tr>
      <w:tr w:rsidR="002F6EBD" w:rsidRPr="005149C4" w14:paraId="234657EE"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6BD1F8EA"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Heredia</w:t>
            </w:r>
          </w:p>
        </w:tc>
        <w:tc>
          <w:tcPr>
            <w:tcW w:w="1134" w:type="dxa"/>
            <w:tcBorders>
              <w:top w:val="nil"/>
              <w:left w:val="nil"/>
              <w:bottom w:val="double" w:sz="6" w:space="0" w:color="1F4E78"/>
              <w:right w:val="double" w:sz="6" w:space="0" w:color="1F4E78"/>
            </w:tcBorders>
            <w:shd w:val="clear" w:color="auto" w:fill="auto"/>
            <w:noWrap/>
            <w:vAlign w:val="bottom"/>
            <w:hideMark/>
          </w:tcPr>
          <w:p w14:paraId="714727D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141</w:t>
            </w:r>
          </w:p>
        </w:tc>
        <w:tc>
          <w:tcPr>
            <w:tcW w:w="708" w:type="dxa"/>
            <w:tcBorders>
              <w:top w:val="nil"/>
              <w:left w:val="nil"/>
              <w:bottom w:val="double" w:sz="6" w:space="0" w:color="1F4E78"/>
              <w:right w:val="double" w:sz="6" w:space="0" w:color="1F4E78"/>
            </w:tcBorders>
            <w:shd w:val="clear" w:color="auto" w:fill="auto"/>
            <w:noWrap/>
            <w:vAlign w:val="bottom"/>
            <w:hideMark/>
          </w:tcPr>
          <w:p w14:paraId="51D110B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83%</w:t>
            </w:r>
          </w:p>
        </w:tc>
        <w:tc>
          <w:tcPr>
            <w:tcW w:w="993" w:type="dxa"/>
            <w:tcBorders>
              <w:top w:val="nil"/>
              <w:left w:val="nil"/>
              <w:bottom w:val="double" w:sz="6" w:space="0" w:color="1F4E78"/>
              <w:right w:val="double" w:sz="6" w:space="0" w:color="1F4E78"/>
            </w:tcBorders>
            <w:shd w:val="clear" w:color="auto" w:fill="auto"/>
            <w:noWrap/>
            <w:vAlign w:val="bottom"/>
            <w:hideMark/>
          </w:tcPr>
          <w:p w14:paraId="5C7A342F"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16</w:t>
            </w:r>
          </w:p>
        </w:tc>
        <w:tc>
          <w:tcPr>
            <w:tcW w:w="567" w:type="dxa"/>
            <w:tcBorders>
              <w:top w:val="nil"/>
              <w:left w:val="nil"/>
              <w:bottom w:val="double" w:sz="6" w:space="0" w:color="1F4E78"/>
              <w:right w:val="double" w:sz="6" w:space="0" w:color="1F4E78"/>
            </w:tcBorders>
            <w:shd w:val="clear" w:color="auto" w:fill="auto"/>
            <w:noWrap/>
            <w:vAlign w:val="bottom"/>
            <w:hideMark/>
          </w:tcPr>
          <w:p w14:paraId="5730DFC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9%</w:t>
            </w:r>
          </w:p>
        </w:tc>
        <w:tc>
          <w:tcPr>
            <w:tcW w:w="708" w:type="dxa"/>
            <w:tcBorders>
              <w:top w:val="nil"/>
              <w:left w:val="nil"/>
              <w:bottom w:val="double" w:sz="6" w:space="0" w:color="1F4E78"/>
              <w:right w:val="double" w:sz="6" w:space="0" w:color="1F4E78"/>
            </w:tcBorders>
            <w:shd w:val="clear" w:color="auto" w:fill="auto"/>
            <w:noWrap/>
            <w:vAlign w:val="bottom"/>
            <w:hideMark/>
          </w:tcPr>
          <w:p w14:paraId="0905433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29F1374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25E1860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w:t>
            </w:r>
          </w:p>
        </w:tc>
        <w:tc>
          <w:tcPr>
            <w:tcW w:w="567" w:type="dxa"/>
            <w:tcBorders>
              <w:top w:val="nil"/>
              <w:left w:val="nil"/>
              <w:bottom w:val="double" w:sz="6" w:space="0" w:color="1F4E78"/>
              <w:right w:val="double" w:sz="6" w:space="0" w:color="1F4E78"/>
            </w:tcBorders>
            <w:shd w:val="clear" w:color="auto" w:fill="auto"/>
            <w:noWrap/>
            <w:vAlign w:val="bottom"/>
            <w:hideMark/>
          </w:tcPr>
          <w:p w14:paraId="57DF134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w:t>
            </w:r>
          </w:p>
        </w:tc>
        <w:tc>
          <w:tcPr>
            <w:tcW w:w="613" w:type="dxa"/>
            <w:tcBorders>
              <w:top w:val="nil"/>
              <w:left w:val="nil"/>
              <w:bottom w:val="double" w:sz="6" w:space="0" w:color="1F4E78"/>
              <w:right w:val="double" w:sz="6" w:space="0" w:color="1F4E78"/>
            </w:tcBorders>
            <w:shd w:val="clear" w:color="auto" w:fill="auto"/>
            <w:noWrap/>
            <w:vAlign w:val="bottom"/>
            <w:hideMark/>
          </w:tcPr>
          <w:p w14:paraId="23F3841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663" w:type="dxa"/>
            <w:tcBorders>
              <w:top w:val="nil"/>
              <w:left w:val="nil"/>
              <w:bottom w:val="double" w:sz="6" w:space="0" w:color="1F4E78"/>
              <w:right w:val="double" w:sz="6" w:space="0" w:color="1F4E78"/>
            </w:tcBorders>
            <w:shd w:val="clear" w:color="auto" w:fill="auto"/>
            <w:noWrap/>
            <w:vAlign w:val="bottom"/>
            <w:hideMark/>
          </w:tcPr>
          <w:p w14:paraId="501FB63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992" w:type="dxa"/>
            <w:tcBorders>
              <w:top w:val="nil"/>
              <w:left w:val="nil"/>
              <w:bottom w:val="double" w:sz="6" w:space="0" w:color="1F4E78"/>
              <w:right w:val="double" w:sz="6" w:space="0" w:color="1F4E78"/>
            </w:tcBorders>
            <w:shd w:val="clear" w:color="auto" w:fill="auto"/>
            <w:noWrap/>
            <w:vAlign w:val="bottom"/>
            <w:hideMark/>
          </w:tcPr>
          <w:p w14:paraId="6B9DE42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169</w:t>
            </w:r>
          </w:p>
        </w:tc>
      </w:tr>
      <w:tr w:rsidR="002F6EBD" w:rsidRPr="005149C4" w14:paraId="7071DC27"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5CA7FBEF"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Puntarenas</w:t>
            </w:r>
          </w:p>
        </w:tc>
        <w:tc>
          <w:tcPr>
            <w:tcW w:w="1134" w:type="dxa"/>
            <w:tcBorders>
              <w:top w:val="nil"/>
              <w:left w:val="nil"/>
              <w:bottom w:val="double" w:sz="6" w:space="0" w:color="1F4E78"/>
              <w:right w:val="double" w:sz="6" w:space="0" w:color="1F4E78"/>
            </w:tcBorders>
            <w:shd w:val="clear" w:color="auto" w:fill="auto"/>
            <w:noWrap/>
            <w:vAlign w:val="bottom"/>
            <w:hideMark/>
          </w:tcPr>
          <w:p w14:paraId="3378DBB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108</w:t>
            </w:r>
          </w:p>
        </w:tc>
        <w:tc>
          <w:tcPr>
            <w:tcW w:w="708" w:type="dxa"/>
            <w:tcBorders>
              <w:top w:val="nil"/>
              <w:left w:val="nil"/>
              <w:bottom w:val="double" w:sz="6" w:space="0" w:color="1F4E78"/>
              <w:right w:val="double" w:sz="6" w:space="0" w:color="1F4E78"/>
            </w:tcBorders>
            <w:shd w:val="clear" w:color="auto" w:fill="auto"/>
            <w:noWrap/>
            <w:vAlign w:val="bottom"/>
            <w:hideMark/>
          </w:tcPr>
          <w:p w14:paraId="3E90BCF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71%</w:t>
            </w:r>
          </w:p>
        </w:tc>
        <w:tc>
          <w:tcPr>
            <w:tcW w:w="993" w:type="dxa"/>
            <w:tcBorders>
              <w:top w:val="nil"/>
              <w:left w:val="nil"/>
              <w:bottom w:val="double" w:sz="6" w:space="0" w:color="1F4E78"/>
              <w:right w:val="double" w:sz="6" w:space="0" w:color="1F4E78"/>
            </w:tcBorders>
            <w:shd w:val="clear" w:color="auto" w:fill="auto"/>
            <w:noWrap/>
            <w:vAlign w:val="bottom"/>
            <w:hideMark/>
          </w:tcPr>
          <w:p w14:paraId="51AD2066"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bottom"/>
            <w:hideMark/>
          </w:tcPr>
          <w:p w14:paraId="79C0C16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bottom"/>
            <w:hideMark/>
          </w:tcPr>
          <w:p w14:paraId="72C81F7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026B5E0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6C026DD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41</w:t>
            </w:r>
          </w:p>
        </w:tc>
        <w:tc>
          <w:tcPr>
            <w:tcW w:w="567" w:type="dxa"/>
            <w:tcBorders>
              <w:top w:val="nil"/>
              <w:left w:val="nil"/>
              <w:bottom w:val="double" w:sz="6" w:space="0" w:color="1F4E78"/>
              <w:right w:val="double" w:sz="6" w:space="0" w:color="1F4E78"/>
            </w:tcBorders>
            <w:shd w:val="clear" w:color="auto" w:fill="auto"/>
            <w:noWrap/>
            <w:vAlign w:val="bottom"/>
            <w:hideMark/>
          </w:tcPr>
          <w:p w14:paraId="343C6EE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27%</w:t>
            </w:r>
          </w:p>
        </w:tc>
        <w:tc>
          <w:tcPr>
            <w:tcW w:w="613" w:type="dxa"/>
            <w:tcBorders>
              <w:top w:val="nil"/>
              <w:left w:val="nil"/>
              <w:bottom w:val="double" w:sz="6" w:space="0" w:color="1F4E78"/>
              <w:right w:val="double" w:sz="6" w:space="0" w:color="1F4E78"/>
            </w:tcBorders>
            <w:shd w:val="clear" w:color="auto" w:fill="auto"/>
            <w:noWrap/>
            <w:vAlign w:val="bottom"/>
            <w:hideMark/>
          </w:tcPr>
          <w:p w14:paraId="0D78764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w:t>
            </w:r>
          </w:p>
        </w:tc>
        <w:tc>
          <w:tcPr>
            <w:tcW w:w="663" w:type="dxa"/>
            <w:tcBorders>
              <w:top w:val="nil"/>
              <w:left w:val="nil"/>
              <w:bottom w:val="double" w:sz="6" w:space="0" w:color="1F4E78"/>
              <w:right w:val="double" w:sz="6" w:space="0" w:color="1F4E78"/>
            </w:tcBorders>
            <w:shd w:val="clear" w:color="auto" w:fill="auto"/>
            <w:noWrap/>
            <w:vAlign w:val="bottom"/>
            <w:hideMark/>
          </w:tcPr>
          <w:p w14:paraId="615D74A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5950163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152</w:t>
            </w:r>
          </w:p>
        </w:tc>
      </w:tr>
      <w:tr w:rsidR="002F6EBD" w:rsidRPr="005149C4" w14:paraId="79358E33"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5B17B4A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 xml:space="preserve">Alajuela </w:t>
            </w:r>
          </w:p>
        </w:tc>
        <w:tc>
          <w:tcPr>
            <w:tcW w:w="1134" w:type="dxa"/>
            <w:tcBorders>
              <w:top w:val="nil"/>
              <w:left w:val="nil"/>
              <w:bottom w:val="double" w:sz="6" w:space="0" w:color="1F4E78"/>
              <w:right w:val="double" w:sz="6" w:space="0" w:color="1F4E78"/>
            </w:tcBorders>
            <w:shd w:val="clear" w:color="auto" w:fill="auto"/>
            <w:noWrap/>
            <w:vAlign w:val="bottom"/>
            <w:hideMark/>
          </w:tcPr>
          <w:p w14:paraId="37799D6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w:t>
            </w:r>
          </w:p>
        </w:tc>
        <w:tc>
          <w:tcPr>
            <w:tcW w:w="708" w:type="dxa"/>
            <w:tcBorders>
              <w:top w:val="nil"/>
              <w:left w:val="nil"/>
              <w:bottom w:val="double" w:sz="6" w:space="0" w:color="1F4E78"/>
              <w:right w:val="double" w:sz="6" w:space="0" w:color="1F4E78"/>
            </w:tcBorders>
            <w:shd w:val="clear" w:color="auto" w:fill="auto"/>
            <w:noWrap/>
            <w:vAlign w:val="bottom"/>
            <w:hideMark/>
          </w:tcPr>
          <w:p w14:paraId="4F98E14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67%</w:t>
            </w:r>
          </w:p>
        </w:tc>
        <w:tc>
          <w:tcPr>
            <w:tcW w:w="993" w:type="dxa"/>
            <w:tcBorders>
              <w:top w:val="nil"/>
              <w:left w:val="nil"/>
              <w:bottom w:val="double" w:sz="6" w:space="0" w:color="1F4E78"/>
              <w:right w:val="double" w:sz="6" w:space="0" w:color="1F4E78"/>
            </w:tcBorders>
            <w:shd w:val="clear" w:color="auto" w:fill="auto"/>
            <w:noWrap/>
            <w:vAlign w:val="bottom"/>
            <w:hideMark/>
          </w:tcPr>
          <w:p w14:paraId="3707E8C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bottom"/>
            <w:hideMark/>
          </w:tcPr>
          <w:p w14:paraId="45797DF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33%</w:t>
            </w:r>
          </w:p>
        </w:tc>
        <w:tc>
          <w:tcPr>
            <w:tcW w:w="708" w:type="dxa"/>
            <w:tcBorders>
              <w:top w:val="nil"/>
              <w:left w:val="nil"/>
              <w:bottom w:val="double" w:sz="6" w:space="0" w:color="1F4E78"/>
              <w:right w:val="double" w:sz="6" w:space="0" w:color="1F4E78"/>
            </w:tcBorders>
            <w:shd w:val="clear" w:color="auto" w:fill="auto"/>
            <w:noWrap/>
            <w:vAlign w:val="bottom"/>
            <w:hideMark/>
          </w:tcPr>
          <w:p w14:paraId="60E279F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6B6E07F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7735808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bottom"/>
            <w:hideMark/>
          </w:tcPr>
          <w:p w14:paraId="5A8F97A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613" w:type="dxa"/>
            <w:tcBorders>
              <w:top w:val="nil"/>
              <w:left w:val="nil"/>
              <w:bottom w:val="double" w:sz="6" w:space="0" w:color="1F4E78"/>
              <w:right w:val="double" w:sz="6" w:space="0" w:color="1F4E78"/>
            </w:tcBorders>
            <w:shd w:val="clear" w:color="auto" w:fill="auto"/>
            <w:noWrap/>
            <w:vAlign w:val="bottom"/>
            <w:hideMark/>
          </w:tcPr>
          <w:p w14:paraId="51B8A8F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663" w:type="dxa"/>
            <w:tcBorders>
              <w:top w:val="nil"/>
              <w:left w:val="nil"/>
              <w:bottom w:val="double" w:sz="6" w:space="0" w:color="1F4E78"/>
              <w:right w:val="double" w:sz="6" w:space="0" w:color="1F4E78"/>
            </w:tcBorders>
            <w:shd w:val="clear" w:color="auto" w:fill="auto"/>
            <w:noWrap/>
            <w:vAlign w:val="bottom"/>
            <w:hideMark/>
          </w:tcPr>
          <w:p w14:paraId="343715C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17%</w:t>
            </w:r>
          </w:p>
        </w:tc>
        <w:tc>
          <w:tcPr>
            <w:tcW w:w="992" w:type="dxa"/>
            <w:tcBorders>
              <w:top w:val="nil"/>
              <w:left w:val="nil"/>
              <w:bottom w:val="double" w:sz="6" w:space="0" w:color="1F4E78"/>
              <w:right w:val="double" w:sz="6" w:space="0" w:color="1F4E78"/>
            </w:tcBorders>
            <w:shd w:val="clear" w:color="auto" w:fill="auto"/>
            <w:noWrap/>
            <w:vAlign w:val="bottom"/>
            <w:hideMark/>
          </w:tcPr>
          <w:p w14:paraId="404A308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w:t>
            </w:r>
          </w:p>
        </w:tc>
      </w:tr>
      <w:tr w:rsidR="002F6EBD" w:rsidRPr="005149C4" w14:paraId="7AF163A8"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169D39D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 xml:space="preserve">San Ramón </w:t>
            </w:r>
          </w:p>
        </w:tc>
        <w:tc>
          <w:tcPr>
            <w:tcW w:w="1134" w:type="dxa"/>
            <w:tcBorders>
              <w:top w:val="nil"/>
              <w:left w:val="nil"/>
              <w:bottom w:val="double" w:sz="6" w:space="0" w:color="1F4E78"/>
              <w:right w:val="double" w:sz="6" w:space="0" w:color="1F4E78"/>
            </w:tcBorders>
            <w:shd w:val="clear" w:color="auto" w:fill="auto"/>
            <w:noWrap/>
            <w:vAlign w:val="bottom"/>
            <w:hideMark/>
          </w:tcPr>
          <w:p w14:paraId="28C06B3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35</w:t>
            </w:r>
          </w:p>
        </w:tc>
        <w:tc>
          <w:tcPr>
            <w:tcW w:w="708" w:type="dxa"/>
            <w:tcBorders>
              <w:top w:val="nil"/>
              <w:left w:val="nil"/>
              <w:bottom w:val="double" w:sz="6" w:space="0" w:color="1F4E78"/>
              <w:right w:val="double" w:sz="6" w:space="0" w:color="1F4E78"/>
            </w:tcBorders>
            <w:shd w:val="clear" w:color="auto" w:fill="auto"/>
            <w:noWrap/>
            <w:vAlign w:val="bottom"/>
            <w:hideMark/>
          </w:tcPr>
          <w:p w14:paraId="78DEA1E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83%</w:t>
            </w:r>
          </w:p>
        </w:tc>
        <w:tc>
          <w:tcPr>
            <w:tcW w:w="993" w:type="dxa"/>
            <w:tcBorders>
              <w:top w:val="nil"/>
              <w:left w:val="nil"/>
              <w:bottom w:val="double" w:sz="6" w:space="0" w:color="1F4E78"/>
              <w:right w:val="double" w:sz="6" w:space="0" w:color="1F4E78"/>
            </w:tcBorders>
            <w:shd w:val="clear" w:color="auto" w:fill="auto"/>
            <w:noWrap/>
            <w:vAlign w:val="bottom"/>
            <w:hideMark/>
          </w:tcPr>
          <w:p w14:paraId="0FF520B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bottom"/>
            <w:hideMark/>
          </w:tcPr>
          <w:p w14:paraId="49F4B63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bottom"/>
            <w:hideMark/>
          </w:tcPr>
          <w:p w14:paraId="4BFF3C7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19C05F7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041AA90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bottom"/>
            <w:hideMark/>
          </w:tcPr>
          <w:p w14:paraId="0DD33AC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12%</w:t>
            </w:r>
          </w:p>
        </w:tc>
        <w:tc>
          <w:tcPr>
            <w:tcW w:w="613" w:type="dxa"/>
            <w:tcBorders>
              <w:top w:val="nil"/>
              <w:left w:val="nil"/>
              <w:bottom w:val="double" w:sz="6" w:space="0" w:color="1F4E78"/>
              <w:right w:val="double" w:sz="6" w:space="0" w:color="1F4E78"/>
            </w:tcBorders>
            <w:shd w:val="clear" w:color="auto" w:fill="auto"/>
            <w:noWrap/>
            <w:vAlign w:val="bottom"/>
            <w:hideMark/>
          </w:tcPr>
          <w:p w14:paraId="7B819CF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663" w:type="dxa"/>
            <w:tcBorders>
              <w:top w:val="nil"/>
              <w:left w:val="nil"/>
              <w:bottom w:val="double" w:sz="6" w:space="0" w:color="1F4E78"/>
              <w:right w:val="double" w:sz="6" w:space="0" w:color="1F4E78"/>
            </w:tcBorders>
            <w:shd w:val="clear" w:color="auto" w:fill="auto"/>
            <w:noWrap/>
            <w:vAlign w:val="bottom"/>
            <w:hideMark/>
          </w:tcPr>
          <w:p w14:paraId="3670431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24%</w:t>
            </w:r>
          </w:p>
        </w:tc>
        <w:tc>
          <w:tcPr>
            <w:tcW w:w="992" w:type="dxa"/>
            <w:tcBorders>
              <w:top w:val="nil"/>
              <w:left w:val="nil"/>
              <w:bottom w:val="double" w:sz="6" w:space="0" w:color="1F4E78"/>
              <w:right w:val="double" w:sz="6" w:space="0" w:color="1F4E78"/>
            </w:tcBorders>
            <w:shd w:val="clear" w:color="auto" w:fill="auto"/>
            <w:noWrap/>
            <w:vAlign w:val="bottom"/>
            <w:hideMark/>
          </w:tcPr>
          <w:p w14:paraId="0BCAB79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42</w:t>
            </w:r>
          </w:p>
        </w:tc>
      </w:tr>
      <w:tr w:rsidR="002F6EBD" w:rsidRPr="005149C4" w14:paraId="71D5E2B3"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19891B6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I Circuito Judicial de la Zona Sur</w:t>
            </w:r>
          </w:p>
        </w:tc>
        <w:tc>
          <w:tcPr>
            <w:tcW w:w="1134" w:type="dxa"/>
            <w:tcBorders>
              <w:top w:val="nil"/>
              <w:left w:val="nil"/>
              <w:bottom w:val="double" w:sz="6" w:space="0" w:color="1F4E78"/>
              <w:right w:val="double" w:sz="6" w:space="0" w:color="1F4E78"/>
            </w:tcBorders>
            <w:shd w:val="clear" w:color="auto" w:fill="auto"/>
            <w:noWrap/>
            <w:vAlign w:val="bottom"/>
            <w:hideMark/>
          </w:tcPr>
          <w:p w14:paraId="3BECB2C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110</w:t>
            </w:r>
          </w:p>
        </w:tc>
        <w:tc>
          <w:tcPr>
            <w:tcW w:w="708" w:type="dxa"/>
            <w:tcBorders>
              <w:top w:val="nil"/>
              <w:left w:val="nil"/>
              <w:bottom w:val="double" w:sz="6" w:space="0" w:color="1F4E78"/>
              <w:right w:val="double" w:sz="6" w:space="0" w:color="1F4E78"/>
            </w:tcBorders>
            <w:shd w:val="clear" w:color="auto" w:fill="auto"/>
            <w:noWrap/>
            <w:vAlign w:val="bottom"/>
            <w:hideMark/>
          </w:tcPr>
          <w:p w14:paraId="02945CC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83%</w:t>
            </w:r>
          </w:p>
        </w:tc>
        <w:tc>
          <w:tcPr>
            <w:tcW w:w="993" w:type="dxa"/>
            <w:tcBorders>
              <w:top w:val="nil"/>
              <w:left w:val="nil"/>
              <w:bottom w:val="double" w:sz="6" w:space="0" w:color="1F4E78"/>
              <w:right w:val="double" w:sz="6" w:space="0" w:color="1F4E78"/>
            </w:tcBorders>
            <w:shd w:val="clear" w:color="auto" w:fill="auto"/>
            <w:noWrap/>
            <w:vAlign w:val="bottom"/>
            <w:hideMark/>
          </w:tcPr>
          <w:p w14:paraId="10B742B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bottom"/>
            <w:hideMark/>
          </w:tcPr>
          <w:p w14:paraId="6188125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bottom"/>
            <w:hideMark/>
          </w:tcPr>
          <w:p w14:paraId="3C34A7F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4B1C7B1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1EAAB1F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11</w:t>
            </w:r>
          </w:p>
        </w:tc>
        <w:tc>
          <w:tcPr>
            <w:tcW w:w="567" w:type="dxa"/>
            <w:tcBorders>
              <w:top w:val="nil"/>
              <w:left w:val="nil"/>
              <w:bottom w:val="double" w:sz="6" w:space="0" w:color="1F4E78"/>
              <w:right w:val="double" w:sz="6" w:space="0" w:color="1F4E78"/>
            </w:tcBorders>
            <w:shd w:val="clear" w:color="auto" w:fill="auto"/>
            <w:noWrap/>
            <w:vAlign w:val="bottom"/>
            <w:hideMark/>
          </w:tcPr>
          <w:p w14:paraId="157B1D3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w:t>
            </w:r>
          </w:p>
        </w:tc>
        <w:tc>
          <w:tcPr>
            <w:tcW w:w="613" w:type="dxa"/>
            <w:tcBorders>
              <w:top w:val="nil"/>
              <w:left w:val="nil"/>
              <w:bottom w:val="double" w:sz="6" w:space="0" w:color="1F4E78"/>
              <w:right w:val="double" w:sz="6" w:space="0" w:color="1F4E78"/>
            </w:tcBorders>
            <w:shd w:val="clear" w:color="auto" w:fill="auto"/>
            <w:noWrap/>
            <w:vAlign w:val="bottom"/>
            <w:hideMark/>
          </w:tcPr>
          <w:p w14:paraId="2F1B91F5"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10</w:t>
            </w:r>
          </w:p>
        </w:tc>
        <w:tc>
          <w:tcPr>
            <w:tcW w:w="663" w:type="dxa"/>
            <w:tcBorders>
              <w:top w:val="nil"/>
              <w:left w:val="nil"/>
              <w:bottom w:val="double" w:sz="6" w:space="0" w:color="1F4E78"/>
              <w:right w:val="double" w:sz="6" w:space="0" w:color="1F4E78"/>
            </w:tcBorders>
            <w:shd w:val="clear" w:color="auto" w:fill="auto"/>
            <w:noWrap/>
            <w:vAlign w:val="bottom"/>
            <w:hideMark/>
          </w:tcPr>
          <w:p w14:paraId="4FBB1D79"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w:t>
            </w:r>
          </w:p>
        </w:tc>
        <w:tc>
          <w:tcPr>
            <w:tcW w:w="992" w:type="dxa"/>
            <w:tcBorders>
              <w:top w:val="nil"/>
              <w:left w:val="nil"/>
              <w:bottom w:val="double" w:sz="6" w:space="0" w:color="1F4E78"/>
              <w:right w:val="double" w:sz="6" w:space="0" w:color="1F4E78"/>
            </w:tcBorders>
            <w:shd w:val="clear" w:color="auto" w:fill="auto"/>
            <w:noWrap/>
            <w:vAlign w:val="bottom"/>
            <w:hideMark/>
          </w:tcPr>
          <w:p w14:paraId="5866910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132</w:t>
            </w:r>
          </w:p>
        </w:tc>
      </w:tr>
      <w:tr w:rsidR="002F6EBD" w:rsidRPr="005149C4" w14:paraId="04E7CB8B"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3566D93A"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I Circuito Judicial de la Zona Atlántica</w:t>
            </w:r>
          </w:p>
        </w:tc>
        <w:tc>
          <w:tcPr>
            <w:tcW w:w="1134" w:type="dxa"/>
            <w:tcBorders>
              <w:top w:val="nil"/>
              <w:left w:val="nil"/>
              <w:bottom w:val="double" w:sz="6" w:space="0" w:color="1F4E78"/>
              <w:right w:val="double" w:sz="6" w:space="0" w:color="1F4E78"/>
            </w:tcBorders>
            <w:shd w:val="clear" w:color="auto" w:fill="auto"/>
            <w:noWrap/>
            <w:vAlign w:val="bottom"/>
            <w:hideMark/>
          </w:tcPr>
          <w:p w14:paraId="45A844A3"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11</w:t>
            </w:r>
          </w:p>
        </w:tc>
        <w:tc>
          <w:tcPr>
            <w:tcW w:w="708" w:type="dxa"/>
            <w:tcBorders>
              <w:top w:val="nil"/>
              <w:left w:val="nil"/>
              <w:bottom w:val="double" w:sz="6" w:space="0" w:color="1F4E78"/>
              <w:right w:val="double" w:sz="6" w:space="0" w:color="1F4E78"/>
            </w:tcBorders>
            <w:shd w:val="clear" w:color="auto" w:fill="auto"/>
            <w:noWrap/>
            <w:vAlign w:val="bottom"/>
            <w:hideMark/>
          </w:tcPr>
          <w:p w14:paraId="635DEE6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79%</w:t>
            </w:r>
          </w:p>
        </w:tc>
        <w:tc>
          <w:tcPr>
            <w:tcW w:w="993" w:type="dxa"/>
            <w:tcBorders>
              <w:top w:val="nil"/>
              <w:left w:val="nil"/>
              <w:bottom w:val="double" w:sz="6" w:space="0" w:color="1F4E78"/>
              <w:right w:val="double" w:sz="6" w:space="0" w:color="1F4E78"/>
            </w:tcBorders>
            <w:shd w:val="clear" w:color="auto" w:fill="auto"/>
            <w:noWrap/>
            <w:vAlign w:val="bottom"/>
            <w:hideMark/>
          </w:tcPr>
          <w:p w14:paraId="258F4F9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bottom"/>
            <w:hideMark/>
          </w:tcPr>
          <w:p w14:paraId="05EE1959"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1A4F209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68A2B9C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45BD7DC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bottom"/>
            <w:hideMark/>
          </w:tcPr>
          <w:p w14:paraId="118F1283"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21%</w:t>
            </w:r>
          </w:p>
        </w:tc>
        <w:tc>
          <w:tcPr>
            <w:tcW w:w="613" w:type="dxa"/>
            <w:tcBorders>
              <w:top w:val="nil"/>
              <w:left w:val="nil"/>
              <w:bottom w:val="double" w:sz="6" w:space="0" w:color="1F4E78"/>
              <w:right w:val="double" w:sz="6" w:space="0" w:color="1F4E78"/>
            </w:tcBorders>
            <w:shd w:val="clear" w:color="auto" w:fill="auto"/>
            <w:noWrap/>
            <w:vAlign w:val="bottom"/>
            <w:hideMark/>
          </w:tcPr>
          <w:p w14:paraId="38C5EF8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663" w:type="dxa"/>
            <w:tcBorders>
              <w:top w:val="nil"/>
              <w:left w:val="nil"/>
              <w:bottom w:val="double" w:sz="6" w:space="0" w:color="1F4E78"/>
              <w:right w:val="double" w:sz="6" w:space="0" w:color="1F4E78"/>
            </w:tcBorders>
            <w:shd w:val="clear" w:color="auto" w:fill="auto"/>
            <w:noWrap/>
            <w:vAlign w:val="bottom"/>
            <w:hideMark/>
          </w:tcPr>
          <w:p w14:paraId="1C83C466"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06123E2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14</w:t>
            </w:r>
          </w:p>
        </w:tc>
      </w:tr>
      <w:tr w:rsidR="002F6EBD" w:rsidRPr="005149C4" w14:paraId="70FBA2B6"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4B7857C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II Circuito Judicial de la Zona Atlántica</w:t>
            </w:r>
          </w:p>
        </w:tc>
        <w:tc>
          <w:tcPr>
            <w:tcW w:w="1134" w:type="dxa"/>
            <w:tcBorders>
              <w:top w:val="nil"/>
              <w:left w:val="nil"/>
              <w:bottom w:val="double" w:sz="6" w:space="0" w:color="1F4E78"/>
              <w:right w:val="double" w:sz="6" w:space="0" w:color="1F4E78"/>
            </w:tcBorders>
            <w:shd w:val="clear" w:color="auto" w:fill="auto"/>
            <w:noWrap/>
            <w:vAlign w:val="bottom"/>
            <w:hideMark/>
          </w:tcPr>
          <w:p w14:paraId="62CB732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122</w:t>
            </w:r>
          </w:p>
        </w:tc>
        <w:tc>
          <w:tcPr>
            <w:tcW w:w="708" w:type="dxa"/>
            <w:tcBorders>
              <w:top w:val="nil"/>
              <w:left w:val="nil"/>
              <w:bottom w:val="double" w:sz="6" w:space="0" w:color="1F4E78"/>
              <w:right w:val="double" w:sz="6" w:space="0" w:color="1F4E78"/>
            </w:tcBorders>
            <w:shd w:val="clear" w:color="auto" w:fill="auto"/>
            <w:noWrap/>
            <w:vAlign w:val="bottom"/>
            <w:hideMark/>
          </w:tcPr>
          <w:p w14:paraId="320DC2E3"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85%</w:t>
            </w:r>
          </w:p>
        </w:tc>
        <w:tc>
          <w:tcPr>
            <w:tcW w:w="993" w:type="dxa"/>
            <w:tcBorders>
              <w:top w:val="nil"/>
              <w:left w:val="nil"/>
              <w:bottom w:val="double" w:sz="6" w:space="0" w:color="1F4E78"/>
              <w:right w:val="double" w:sz="6" w:space="0" w:color="1F4E78"/>
            </w:tcBorders>
            <w:shd w:val="clear" w:color="auto" w:fill="auto"/>
            <w:noWrap/>
            <w:vAlign w:val="bottom"/>
            <w:hideMark/>
          </w:tcPr>
          <w:p w14:paraId="54FA53E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bottom"/>
            <w:hideMark/>
          </w:tcPr>
          <w:p w14:paraId="2270E1A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w:t>
            </w:r>
          </w:p>
        </w:tc>
        <w:tc>
          <w:tcPr>
            <w:tcW w:w="708" w:type="dxa"/>
            <w:tcBorders>
              <w:top w:val="nil"/>
              <w:left w:val="nil"/>
              <w:bottom w:val="double" w:sz="6" w:space="0" w:color="1F4E78"/>
              <w:right w:val="double" w:sz="6" w:space="0" w:color="1F4E78"/>
            </w:tcBorders>
            <w:shd w:val="clear" w:color="auto" w:fill="auto"/>
            <w:noWrap/>
            <w:vAlign w:val="bottom"/>
            <w:hideMark/>
          </w:tcPr>
          <w:p w14:paraId="5F8D109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41C16929"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33EC259C"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10</w:t>
            </w:r>
          </w:p>
        </w:tc>
        <w:tc>
          <w:tcPr>
            <w:tcW w:w="567" w:type="dxa"/>
            <w:tcBorders>
              <w:top w:val="nil"/>
              <w:left w:val="nil"/>
              <w:bottom w:val="double" w:sz="6" w:space="0" w:color="1F4E78"/>
              <w:right w:val="double" w:sz="6" w:space="0" w:color="1F4E78"/>
            </w:tcBorders>
            <w:shd w:val="clear" w:color="auto" w:fill="auto"/>
            <w:noWrap/>
            <w:vAlign w:val="bottom"/>
            <w:hideMark/>
          </w:tcPr>
          <w:p w14:paraId="056B91B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w:t>
            </w:r>
          </w:p>
        </w:tc>
        <w:tc>
          <w:tcPr>
            <w:tcW w:w="613" w:type="dxa"/>
            <w:tcBorders>
              <w:top w:val="nil"/>
              <w:left w:val="nil"/>
              <w:bottom w:val="double" w:sz="6" w:space="0" w:color="1F4E78"/>
              <w:right w:val="double" w:sz="6" w:space="0" w:color="1F4E78"/>
            </w:tcBorders>
            <w:shd w:val="clear" w:color="auto" w:fill="auto"/>
            <w:noWrap/>
            <w:vAlign w:val="bottom"/>
            <w:hideMark/>
          </w:tcPr>
          <w:p w14:paraId="0AC2BEC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w:t>
            </w:r>
          </w:p>
        </w:tc>
        <w:tc>
          <w:tcPr>
            <w:tcW w:w="663" w:type="dxa"/>
            <w:tcBorders>
              <w:top w:val="nil"/>
              <w:left w:val="nil"/>
              <w:bottom w:val="double" w:sz="6" w:space="0" w:color="1F4E78"/>
              <w:right w:val="double" w:sz="6" w:space="0" w:color="1F4E78"/>
            </w:tcBorders>
            <w:shd w:val="clear" w:color="auto" w:fill="auto"/>
            <w:noWrap/>
            <w:vAlign w:val="bottom"/>
            <w:hideMark/>
          </w:tcPr>
          <w:p w14:paraId="6C1CA35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w:t>
            </w:r>
          </w:p>
        </w:tc>
        <w:tc>
          <w:tcPr>
            <w:tcW w:w="992" w:type="dxa"/>
            <w:tcBorders>
              <w:top w:val="nil"/>
              <w:left w:val="nil"/>
              <w:bottom w:val="double" w:sz="6" w:space="0" w:color="1F4E78"/>
              <w:right w:val="double" w:sz="6" w:space="0" w:color="1F4E78"/>
            </w:tcBorders>
            <w:shd w:val="clear" w:color="auto" w:fill="auto"/>
            <w:noWrap/>
            <w:vAlign w:val="bottom"/>
            <w:hideMark/>
          </w:tcPr>
          <w:p w14:paraId="21B32769"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144</w:t>
            </w:r>
          </w:p>
        </w:tc>
      </w:tr>
      <w:tr w:rsidR="002F6EBD" w:rsidRPr="005149C4" w14:paraId="25B25C6C"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009E097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I Circuito Judicial de Guanacaste</w:t>
            </w:r>
          </w:p>
        </w:tc>
        <w:tc>
          <w:tcPr>
            <w:tcW w:w="1134" w:type="dxa"/>
            <w:tcBorders>
              <w:top w:val="nil"/>
              <w:left w:val="nil"/>
              <w:bottom w:val="double" w:sz="6" w:space="0" w:color="1F4E78"/>
              <w:right w:val="double" w:sz="6" w:space="0" w:color="1F4E78"/>
            </w:tcBorders>
            <w:shd w:val="clear" w:color="auto" w:fill="auto"/>
            <w:noWrap/>
            <w:vAlign w:val="bottom"/>
            <w:hideMark/>
          </w:tcPr>
          <w:p w14:paraId="49DE030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55</w:t>
            </w:r>
          </w:p>
        </w:tc>
        <w:tc>
          <w:tcPr>
            <w:tcW w:w="708" w:type="dxa"/>
            <w:tcBorders>
              <w:top w:val="nil"/>
              <w:left w:val="nil"/>
              <w:bottom w:val="double" w:sz="6" w:space="0" w:color="1F4E78"/>
              <w:right w:val="double" w:sz="6" w:space="0" w:color="1F4E78"/>
            </w:tcBorders>
            <w:shd w:val="clear" w:color="auto" w:fill="auto"/>
            <w:noWrap/>
            <w:vAlign w:val="bottom"/>
            <w:hideMark/>
          </w:tcPr>
          <w:p w14:paraId="65280E5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83%</w:t>
            </w:r>
          </w:p>
        </w:tc>
        <w:tc>
          <w:tcPr>
            <w:tcW w:w="993" w:type="dxa"/>
            <w:tcBorders>
              <w:top w:val="nil"/>
              <w:left w:val="nil"/>
              <w:bottom w:val="double" w:sz="6" w:space="0" w:color="1F4E78"/>
              <w:right w:val="double" w:sz="6" w:space="0" w:color="1F4E78"/>
            </w:tcBorders>
            <w:shd w:val="clear" w:color="auto" w:fill="auto"/>
            <w:noWrap/>
            <w:vAlign w:val="bottom"/>
            <w:hideMark/>
          </w:tcPr>
          <w:p w14:paraId="4CBB3E9A"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bottom"/>
            <w:hideMark/>
          </w:tcPr>
          <w:p w14:paraId="465D84B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bottom"/>
            <w:hideMark/>
          </w:tcPr>
          <w:p w14:paraId="0CB95A7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3DD055F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7C7F5459"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w:t>
            </w:r>
          </w:p>
        </w:tc>
        <w:tc>
          <w:tcPr>
            <w:tcW w:w="567" w:type="dxa"/>
            <w:tcBorders>
              <w:top w:val="nil"/>
              <w:left w:val="nil"/>
              <w:bottom w:val="double" w:sz="6" w:space="0" w:color="1F4E78"/>
              <w:right w:val="double" w:sz="6" w:space="0" w:color="1F4E78"/>
            </w:tcBorders>
            <w:shd w:val="clear" w:color="auto" w:fill="auto"/>
            <w:noWrap/>
            <w:vAlign w:val="bottom"/>
            <w:hideMark/>
          </w:tcPr>
          <w:p w14:paraId="3BD3D630"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11%</w:t>
            </w:r>
          </w:p>
        </w:tc>
        <w:tc>
          <w:tcPr>
            <w:tcW w:w="613" w:type="dxa"/>
            <w:tcBorders>
              <w:top w:val="nil"/>
              <w:left w:val="nil"/>
              <w:bottom w:val="double" w:sz="6" w:space="0" w:color="1F4E78"/>
              <w:right w:val="double" w:sz="6" w:space="0" w:color="1F4E78"/>
            </w:tcBorders>
            <w:shd w:val="clear" w:color="auto" w:fill="auto"/>
            <w:noWrap/>
            <w:vAlign w:val="bottom"/>
            <w:hideMark/>
          </w:tcPr>
          <w:p w14:paraId="48CCD30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w:t>
            </w:r>
          </w:p>
        </w:tc>
        <w:tc>
          <w:tcPr>
            <w:tcW w:w="663" w:type="dxa"/>
            <w:tcBorders>
              <w:top w:val="nil"/>
              <w:left w:val="nil"/>
              <w:bottom w:val="double" w:sz="6" w:space="0" w:color="1F4E78"/>
              <w:right w:val="double" w:sz="6" w:space="0" w:color="1F4E78"/>
            </w:tcBorders>
            <w:shd w:val="clear" w:color="auto" w:fill="auto"/>
            <w:noWrap/>
            <w:vAlign w:val="bottom"/>
            <w:hideMark/>
          </w:tcPr>
          <w:p w14:paraId="74C829A6"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w:t>
            </w:r>
          </w:p>
        </w:tc>
        <w:tc>
          <w:tcPr>
            <w:tcW w:w="992" w:type="dxa"/>
            <w:tcBorders>
              <w:top w:val="nil"/>
              <w:left w:val="nil"/>
              <w:bottom w:val="double" w:sz="6" w:space="0" w:color="1F4E78"/>
              <w:right w:val="double" w:sz="6" w:space="0" w:color="1F4E78"/>
            </w:tcBorders>
            <w:shd w:val="clear" w:color="auto" w:fill="auto"/>
            <w:noWrap/>
            <w:vAlign w:val="bottom"/>
            <w:hideMark/>
          </w:tcPr>
          <w:p w14:paraId="3DF2C668"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66</w:t>
            </w:r>
          </w:p>
        </w:tc>
      </w:tr>
      <w:tr w:rsidR="002F6EBD" w:rsidRPr="005149C4" w14:paraId="7FA3F9C6" w14:textId="77777777" w:rsidTr="002F6EBD">
        <w:trPr>
          <w:trHeight w:val="360"/>
        </w:trPr>
        <w:tc>
          <w:tcPr>
            <w:tcW w:w="1986" w:type="dxa"/>
            <w:tcBorders>
              <w:top w:val="nil"/>
              <w:left w:val="double" w:sz="6" w:space="0" w:color="1F4E78"/>
              <w:bottom w:val="double" w:sz="6" w:space="0" w:color="1F4E78"/>
              <w:right w:val="double" w:sz="6" w:space="0" w:color="1F4E78"/>
            </w:tcBorders>
            <w:shd w:val="clear" w:color="auto" w:fill="auto"/>
            <w:noWrap/>
            <w:vAlign w:val="bottom"/>
            <w:hideMark/>
          </w:tcPr>
          <w:p w14:paraId="46907081"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Corredores</w:t>
            </w:r>
          </w:p>
        </w:tc>
        <w:tc>
          <w:tcPr>
            <w:tcW w:w="1134" w:type="dxa"/>
            <w:tcBorders>
              <w:top w:val="nil"/>
              <w:left w:val="nil"/>
              <w:bottom w:val="double" w:sz="6" w:space="0" w:color="1F4E78"/>
              <w:right w:val="double" w:sz="6" w:space="0" w:color="1F4E78"/>
            </w:tcBorders>
            <w:shd w:val="clear" w:color="auto" w:fill="auto"/>
            <w:noWrap/>
            <w:vAlign w:val="bottom"/>
            <w:hideMark/>
          </w:tcPr>
          <w:p w14:paraId="2E38D37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11</w:t>
            </w:r>
          </w:p>
        </w:tc>
        <w:tc>
          <w:tcPr>
            <w:tcW w:w="708" w:type="dxa"/>
            <w:tcBorders>
              <w:top w:val="nil"/>
              <w:left w:val="nil"/>
              <w:bottom w:val="double" w:sz="6" w:space="0" w:color="1F4E78"/>
              <w:right w:val="double" w:sz="6" w:space="0" w:color="1F4E78"/>
            </w:tcBorders>
            <w:shd w:val="clear" w:color="auto" w:fill="auto"/>
            <w:noWrap/>
            <w:vAlign w:val="bottom"/>
            <w:hideMark/>
          </w:tcPr>
          <w:p w14:paraId="55154476"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52%</w:t>
            </w:r>
          </w:p>
        </w:tc>
        <w:tc>
          <w:tcPr>
            <w:tcW w:w="993" w:type="dxa"/>
            <w:tcBorders>
              <w:top w:val="nil"/>
              <w:left w:val="nil"/>
              <w:bottom w:val="double" w:sz="6" w:space="0" w:color="1F4E78"/>
              <w:right w:val="double" w:sz="6" w:space="0" w:color="1F4E78"/>
            </w:tcBorders>
            <w:shd w:val="clear" w:color="auto" w:fill="auto"/>
            <w:noWrap/>
            <w:vAlign w:val="bottom"/>
            <w:hideMark/>
          </w:tcPr>
          <w:p w14:paraId="2BF0409B"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bottom"/>
            <w:hideMark/>
          </w:tcPr>
          <w:p w14:paraId="3AEB36B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10%</w:t>
            </w:r>
          </w:p>
        </w:tc>
        <w:tc>
          <w:tcPr>
            <w:tcW w:w="708" w:type="dxa"/>
            <w:tcBorders>
              <w:top w:val="nil"/>
              <w:left w:val="nil"/>
              <w:bottom w:val="double" w:sz="6" w:space="0" w:color="1F4E78"/>
              <w:right w:val="double" w:sz="6" w:space="0" w:color="1F4E78"/>
            </w:tcBorders>
            <w:shd w:val="clear" w:color="auto" w:fill="auto"/>
            <w:noWrap/>
            <w:vAlign w:val="bottom"/>
            <w:hideMark/>
          </w:tcPr>
          <w:p w14:paraId="6C9E5A4D"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bottom"/>
            <w:hideMark/>
          </w:tcPr>
          <w:p w14:paraId="11FB1DAF"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5%</w:t>
            </w:r>
          </w:p>
        </w:tc>
        <w:tc>
          <w:tcPr>
            <w:tcW w:w="708" w:type="dxa"/>
            <w:tcBorders>
              <w:top w:val="nil"/>
              <w:left w:val="nil"/>
              <w:bottom w:val="double" w:sz="6" w:space="0" w:color="1F4E78"/>
              <w:right w:val="double" w:sz="6" w:space="0" w:color="1F4E78"/>
            </w:tcBorders>
            <w:shd w:val="clear" w:color="auto" w:fill="auto"/>
            <w:noWrap/>
            <w:vAlign w:val="bottom"/>
            <w:hideMark/>
          </w:tcPr>
          <w:p w14:paraId="69AE70A7"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7</w:t>
            </w:r>
          </w:p>
        </w:tc>
        <w:tc>
          <w:tcPr>
            <w:tcW w:w="567" w:type="dxa"/>
            <w:tcBorders>
              <w:top w:val="nil"/>
              <w:left w:val="nil"/>
              <w:bottom w:val="double" w:sz="6" w:space="0" w:color="1F4E78"/>
              <w:right w:val="double" w:sz="6" w:space="0" w:color="1F4E78"/>
            </w:tcBorders>
            <w:shd w:val="clear" w:color="auto" w:fill="auto"/>
            <w:noWrap/>
            <w:vAlign w:val="bottom"/>
            <w:hideMark/>
          </w:tcPr>
          <w:p w14:paraId="6424ABB4"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33%</w:t>
            </w:r>
          </w:p>
        </w:tc>
        <w:tc>
          <w:tcPr>
            <w:tcW w:w="613" w:type="dxa"/>
            <w:tcBorders>
              <w:top w:val="nil"/>
              <w:left w:val="nil"/>
              <w:bottom w:val="double" w:sz="6" w:space="0" w:color="1F4E78"/>
              <w:right w:val="double" w:sz="6" w:space="0" w:color="1F4E78"/>
            </w:tcBorders>
            <w:shd w:val="clear" w:color="auto" w:fill="auto"/>
            <w:noWrap/>
            <w:vAlign w:val="bottom"/>
            <w:hideMark/>
          </w:tcPr>
          <w:p w14:paraId="6DDC0DF3"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663" w:type="dxa"/>
            <w:tcBorders>
              <w:top w:val="nil"/>
              <w:left w:val="nil"/>
              <w:bottom w:val="double" w:sz="6" w:space="0" w:color="1F4E78"/>
              <w:right w:val="double" w:sz="6" w:space="0" w:color="1F4E78"/>
            </w:tcBorders>
            <w:shd w:val="clear" w:color="auto" w:fill="auto"/>
            <w:noWrap/>
            <w:vAlign w:val="bottom"/>
            <w:hideMark/>
          </w:tcPr>
          <w:p w14:paraId="2E102342"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3C2557BE" w14:textId="77777777" w:rsidR="002F6EBD" w:rsidRPr="002F6EBD" w:rsidRDefault="002F6EBD" w:rsidP="002F6EBD">
            <w:pPr>
              <w:spacing w:before="0" w:after="0" w:line="240" w:lineRule="auto"/>
              <w:jc w:val="center"/>
              <w:rPr>
                <w:rFonts w:eastAsia="Times New Roman" w:cs="Calibri"/>
                <w:color w:val="000000"/>
                <w:sz w:val="18"/>
                <w:szCs w:val="18"/>
                <w:lang w:eastAsia="es-CR"/>
              </w:rPr>
            </w:pPr>
            <w:r w:rsidRPr="002F6EBD">
              <w:rPr>
                <w:rFonts w:eastAsia="Times New Roman" w:cs="Calibri"/>
                <w:color w:val="000000"/>
                <w:sz w:val="18"/>
                <w:szCs w:val="18"/>
                <w:lang w:eastAsia="es-CR"/>
              </w:rPr>
              <w:t>21</w:t>
            </w:r>
          </w:p>
        </w:tc>
      </w:tr>
    </w:tbl>
    <w:p w14:paraId="3AEC124A" w14:textId="39AB92C3" w:rsidR="001F6D57" w:rsidRPr="005149C4" w:rsidRDefault="001F6D57" w:rsidP="001F6D57">
      <w:pPr>
        <w:ind w:right="49"/>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Subproceso de Estadística. </w:t>
      </w:r>
      <w:r w:rsidR="002F6EBD" w:rsidRPr="005149C4">
        <w:rPr>
          <w:rFonts w:cs="Calibri"/>
          <w:bCs/>
          <w:color w:val="000000"/>
          <w:sz w:val="20"/>
          <w:szCs w:val="20"/>
          <w:lang w:eastAsia="es-CR"/>
        </w:rPr>
        <w:t>Los datos corresponden al año 2022.</w:t>
      </w:r>
    </w:p>
    <w:p w14:paraId="67F3B98E" w14:textId="60B7451C" w:rsidR="002F6EBD" w:rsidRPr="005149C4" w:rsidRDefault="00D931E1" w:rsidP="00FB704C">
      <w:pPr>
        <w:tabs>
          <w:tab w:val="left" w:pos="0"/>
        </w:tabs>
      </w:pPr>
      <w:r w:rsidRPr="005149C4">
        <w:t>Respecto a las audiencias de verificación,</w:t>
      </w:r>
      <w:r w:rsidR="00E91902" w:rsidRPr="005149C4">
        <w:t xml:space="preserve"> el </w:t>
      </w:r>
      <w:r w:rsidR="005E2641" w:rsidRPr="005149C4">
        <w:t>porcentaje promedio de realización corresponde a un</w:t>
      </w:r>
      <w:r w:rsidR="005A1045" w:rsidRPr="005149C4">
        <w:t xml:space="preserve"> </w:t>
      </w:r>
      <w:r w:rsidR="002F6EBD" w:rsidRPr="005149C4">
        <w:t>76</w:t>
      </w:r>
      <w:r w:rsidR="005A1045" w:rsidRPr="005149C4">
        <w:t>%</w:t>
      </w:r>
      <w:r w:rsidR="00B36F61" w:rsidRPr="005149C4">
        <w:t>.</w:t>
      </w:r>
      <w:r w:rsidR="005E2641" w:rsidRPr="005149C4">
        <w:t xml:space="preserve"> </w:t>
      </w:r>
      <w:r w:rsidRPr="005149C4">
        <w:t xml:space="preserve"> </w:t>
      </w:r>
      <w:r w:rsidR="00F732E2" w:rsidRPr="005149C4">
        <w:t>Por</w:t>
      </w:r>
      <w:r w:rsidR="00B36F61" w:rsidRPr="005149C4">
        <w:t xml:space="preserve"> encima de este porcentaje </w:t>
      </w:r>
      <w:r w:rsidR="00BA789B" w:rsidRPr="005149C4">
        <w:t xml:space="preserve">se ubican </w:t>
      </w:r>
      <w:r w:rsidR="002F6EBD" w:rsidRPr="005149C4">
        <w:t>siete</w:t>
      </w:r>
      <w:r w:rsidR="00BA789B" w:rsidRPr="005149C4">
        <w:t xml:space="preserve"> </w:t>
      </w:r>
      <w:r w:rsidR="008F7C33" w:rsidRPr="005149C4">
        <w:t>circuitos judiciales</w:t>
      </w:r>
      <w:r w:rsidR="00C12820" w:rsidRPr="005149C4">
        <w:t>,</w:t>
      </w:r>
      <w:r w:rsidR="00FB704C" w:rsidRPr="005149C4">
        <w:t xml:space="preserve"> lo que corresponden a un 58 % de los circuitos:</w:t>
      </w:r>
      <w:r w:rsidR="00C12820" w:rsidRPr="005149C4">
        <w:t xml:space="preserve"> </w:t>
      </w:r>
      <w:r w:rsidR="00FB704C" w:rsidRPr="005149C4">
        <w:t>I Circuito Judicial de la Zona Sur, I Circuito Judicial de la Zona Atlántica, II Circuito Judicial de la Zona Atlántica, I Circuito Judicial de Guanacaste, III Circuito Judicial de San José y los Circuitos de Heredia y San Ramón.</w:t>
      </w:r>
    </w:p>
    <w:p w14:paraId="30BB86C0" w14:textId="1EE62738" w:rsidR="00F732E2" w:rsidRPr="005149C4" w:rsidRDefault="00EA3BA4" w:rsidP="00F732E2">
      <w:pPr>
        <w:tabs>
          <w:tab w:val="left" w:pos="0"/>
        </w:tabs>
      </w:pPr>
      <w:r w:rsidRPr="005149C4">
        <w:t>Por su parte, se tiene</w:t>
      </w:r>
      <w:r w:rsidR="00FF41E3" w:rsidRPr="005149C4">
        <w:t xml:space="preserve">n </w:t>
      </w:r>
      <w:r w:rsidR="00FB704C" w:rsidRPr="005149C4">
        <w:t xml:space="preserve">cuatro </w:t>
      </w:r>
      <w:r w:rsidR="00FF41E3" w:rsidRPr="005149C4">
        <w:t>c</w:t>
      </w:r>
      <w:r w:rsidR="008F7C33" w:rsidRPr="005149C4">
        <w:t>ircuitos judiciales</w:t>
      </w:r>
      <w:r w:rsidR="00E6480D" w:rsidRPr="005149C4">
        <w:t xml:space="preserve"> que se encuentran por debajo </w:t>
      </w:r>
      <w:r w:rsidR="00C32690" w:rsidRPr="005149C4">
        <w:t>del promedio</w:t>
      </w:r>
      <w:r w:rsidR="005218C7" w:rsidRPr="005149C4">
        <w:t>.</w:t>
      </w:r>
      <w:r w:rsidR="00C32690" w:rsidRPr="005149C4">
        <w:t xml:space="preserve"> </w:t>
      </w:r>
      <w:r w:rsidR="00FB704C" w:rsidRPr="005149C4">
        <w:t>II Circuito Judicial de San José y los Circuitos de Puntarenas, Cartago y Alajuela.</w:t>
      </w:r>
    </w:p>
    <w:p w14:paraId="55380680" w14:textId="309035FA" w:rsidR="00BC4E9A" w:rsidRPr="005149C4" w:rsidRDefault="00BA3E22" w:rsidP="00A94776">
      <w:pPr>
        <w:tabs>
          <w:tab w:val="left" w:pos="586"/>
        </w:tabs>
        <w:ind w:right="49"/>
      </w:pPr>
      <w:r w:rsidRPr="005149C4">
        <w:t xml:space="preserve">Sobre el estado “pendiente” se </w:t>
      </w:r>
      <w:r w:rsidR="00223A79" w:rsidRPr="005149C4">
        <w:t>indica</w:t>
      </w:r>
      <w:r w:rsidRPr="005149C4">
        <w:t xml:space="preserve"> que</w:t>
      </w:r>
      <w:r w:rsidR="00CC495C" w:rsidRPr="005149C4">
        <w:t>,</w:t>
      </w:r>
      <w:r w:rsidR="00177CC3" w:rsidRPr="005149C4">
        <w:t xml:space="preserve"> esto no hace alusión a que la audiencia de verificación </w:t>
      </w:r>
      <w:r w:rsidR="001A48A4" w:rsidRPr="005149C4">
        <w:t>está pendiente de realizar, sino que a nivel del sistema informático</w:t>
      </w:r>
      <w:r w:rsidR="00EE4C74" w:rsidRPr="005149C4">
        <w:t xml:space="preserve"> no se actualizó el </w:t>
      </w:r>
      <w:r w:rsidR="00BD69C3" w:rsidRPr="005149C4">
        <w:t>resultado correcto.</w:t>
      </w:r>
      <w:r w:rsidR="00CC702E" w:rsidRPr="005149C4">
        <w:t xml:space="preserve"> Para este caso particular, el porcentaje promedio de apuntes en estado pendiente es de </w:t>
      </w:r>
      <w:r w:rsidR="00223A79" w:rsidRPr="005149C4">
        <w:t xml:space="preserve">un </w:t>
      </w:r>
      <w:r w:rsidR="002F6EBD" w:rsidRPr="005149C4">
        <w:t>9</w:t>
      </w:r>
      <w:r w:rsidR="00223A79" w:rsidRPr="005149C4">
        <w:t>%</w:t>
      </w:r>
      <w:r w:rsidR="009007B2" w:rsidRPr="005149C4">
        <w:t>, esto se convierte en una inconsistencia estadística porque el dato debería ser cero</w:t>
      </w:r>
      <w:r w:rsidR="00FB704C" w:rsidRPr="005149C4">
        <w:t>.</w:t>
      </w:r>
    </w:p>
    <w:p w14:paraId="3CA8F5CC" w14:textId="5ADEB707" w:rsidR="00F91996" w:rsidRPr="005149C4" w:rsidRDefault="00F91996" w:rsidP="00A94776">
      <w:pPr>
        <w:tabs>
          <w:tab w:val="left" w:pos="586"/>
        </w:tabs>
        <w:ind w:right="49"/>
      </w:pPr>
      <w:r w:rsidRPr="005149C4">
        <w:t xml:space="preserve">Por último, </w:t>
      </w:r>
      <w:r w:rsidR="00223A79" w:rsidRPr="005149C4">
        <w:t xml:space="preserve">se muestra en el siguiente cuadro los estados de las entrevistas realizadas por </w:t>
      </w:r>
      <w:r w:rsidR="0052325D" w:rsidRPr="005149C4">
        <w:t>los</w:t>
      </w:r>
      <w:r w:rsidR="00223A79" w:rsidRPr="005149C4">
        <w:t xml:space="preserve"> equipos de Justicia Restaurativa en material Penal Adulto</w:t>
      </w:r>
      <w:r w:rsidR="00AE45B7" w:rsidRPr="005149C4">
        <w:t xml:space="preserve"> durante el año 202</w:t>
      </w:r>
      <w:r w:rsidR="00FB704C" w:rsidRPr="005149C4">
        <w:t>2</w:t>
      </w:r>
      <w:r w:rsidR="00223A79" w:rsidRPr="005149C4">
        <w:t>:</w:t>
      </w:r>
    </w:p>
    <w:p w14:paraId="20B665C9" w14:textId="42162E4B" w:rsidR="00482198" w:rsidRPr="005149C4" w:rsidRDefault="0050530D" w:rsidP="00F66964">
      <w:pPr>
        <w:tabs>
          <w:tab w:val="left" w:pos="8505"/>
        </w:tabs>
        <w:spacing w:before="0" w:after="0" w:line="240" w:lineRule="auto"/>
        <w:ind w:right="333"/>
        <w:jc w:val="center"/>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13</w:t>
      </w:r>
      <w:r w:rsidRPr="005149C4">
        <w:rPr>
          <w:b/>
          <w:bCs/>
          <w:sz w:val="20"/>
          <w:szCs w:val="20"/>
        </w:rPr>
        <w:fldChar w:fldCharType="end"/>
      </w:r>
      <w:r w:rsidRPr="005149C4">
        <w:rPr>
          <w:b/>
          <w:bCs/>
          <w:sz w:val="20"/>
          <w:szCs w:val="20"/>
        </w:rPr>
        <w:t xml:space="preserve">. Entrevistas en materia Penal Adulto para el </w:t>
      </w:r>
      <w:r w:rsidR="00482198" w:rsidRPr="005149C4">
        <w:rPr>
          <w:b/>
          <w:bCs/>
          <w:sz w:val="20"/>
          <w:szCs w:val="20"/>
        </w:rPr>
        <w:t xml:space="preserve">año </w:t>
      </w:r>
      <w:r w:rsidRPr="005149C4">
        <w:rPr>
          <w:b/>
          <w:bCs/>
          <w:sz w:val="20"/>
          <w:szCs w:val="20"/>
        </w:rPr>
        <w:t>202</w:t>
      </w:r>
      <w:r w:rsidR="00F66964" w:rsidRPr="005149C4">
        <w:rPr>
          <w:b/>
          <w:bCs/>
          <w:sz w:val="20"/>
          <w:szCs w:val="20"/>
        </w:rPr>
        <w:t>2</w:t>
      </w:r>
    </w:p>
    <w:p w14:paraId="67FAD121" w14:textId="77777777" w:rsidR="00F66964" w:rsidRPr="005149C4" w:rsidRDefault="00F66964" w:rsidP="00F66964">
      <w:pPr>
        <w:tabs>
          <w:tab w:val="left" w:pos="8505"/>
        </w:tabs>
        <w:spacing w:before="0" w:after="0" w:line="240" w:lineRule="auto"/>
        <w:ind w:right="333"/>
        <w:jc w:val="center"/>
        <w:rPr>
          <w:b/>
          <w:bCs/>
          <w:sz w:val="20"/>
          <w:szCs w:val="20"/>
        </w:rPr>
      </w:pPr>
    </w:p>
    <w:tbl>
      <w:tblPr>
        <w:tblW w:w="9781" w:type="dxa"/>
        <w:tblInd w:w="-165" w:type="dxa"/>
        <w:tblLayout w:type="fixed"/>
        <w:tblCellMar>
          <w:left w:w="70" w:type="dxa"/>
          <w:right w:w="70" w:type="dxa"/>
        </w:tblCellMar>
        <w:tblLook w:val="04A0" w:firstRow="1" w:lastRow="0" w:firstColumn="1" w:lastColumn="0" w:noHBand="0" w:noVBand="1"/>
      </w:tblPr>
      <w:tblGrid>
        <w:gridCol w:w="2269"/>
        <w:gridCol w:w="992"/>
        <w:gridCol w:w="567"/>
        <w:gridCol w:w="850"/>
        <w:gridCol w:w="426"/>
        <w:gridCol w:w="567"/>
        <w:gridCol w:w="425"/>
        <w:gridCol w:w="992"/>
        <w:gridCol w:w="567"/>
        <w:gridCol w:w="992"/>
        <w:gridCol w:w="426"/>
        <w:gridCol w:w="708"/>
      </w:tblGrid>
      <w:tr w:rsidR="00F66964" w:rsidRPr="00F66964" w14:paraId="352597C7" w14:textId="77777777" w:rsidTr="00F66964">
        <w:trPr>
          <w:trHeight w:val="360"/>
        </w:trPr>
        <w:tc>
          <w:tcPr>
            <w:tcW w:w="2269"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18DFEE6E"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Circuito Judicial</w:t>
            </w:r>
          </w:p>
        </w:tc>
        <w:tc>
          <w:tcPr>
            <w:tcW w:w="7512"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61CA9E3E"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Entrevistas</w:t>
            </w:r>
          </w:p>
        </w:tc>
      </w:tr>
      <w:tr w:rsidR="00F66964" w:rsidRPr="005149C4" w14:paraId="589BF598" w14:textId="77777777" w:rsidTr="00F66964">
        <w:trPr>
          <w:trHeight w:val="360"/>
        </w:trPr>
        <w:tc>
          <w:tcPr>
            <w:tcW w:w="2269" w:type="dxa"/>
            <w:vMerge/>
            <w:tcBorders>
              <w:top w:val="double" w:sz="6" w:space="0" w:color="1F4E78"/>
              <w:left w:val="double" w:sz="6" w:space="0" w:color="1F4E78"/>
              <w:bottom w:val="double" w:sz="6" w:space="0" w:color="1F4E78"/>
              <w:right w:val="double" w:sz="6" w:space="0" w:color="1F4E78"/>
            </w:tcBorders>
            <w:vAlign w:val="center"/>
            <w:hideMark/>
          </w:tcPr>
          <w:p w14:paraId="7E3C6C4E" w14:textId="77777777" w:rsidR="00F66964" w:rsidRPr="00F66964" w:rsidRDefault="00F66964" w:rsidP="00F66964">
            <w:pPr>
              <w:spacing w:before="0" w:after="0" w:line="240" w:lineRule="auto"/>
              <w:jc w:val="left"/>
              <w:rPr>
                <w:rFonts w:eastAsia="Times New Roman" w:cs="Calibri"/>
                <w:color w:val="FFFFFF"/>
                <w:sz w:val="16"/>
                <w:szCs w:val="16"/>
                <w:lang w:eastAsia="es-CR"/>
              </w:rPr>
            </w:pPr>
          </w:p>
        </w:tc>
        <w:tc>
          <w:tcPr>
            <w:tcW w:w="992" w:type="dxa"/>
            <w:tcBorders>
              <w:top w:val="nil"/>
              <w:left w:val="nil"/>
              <w:bottom w:val="double" w:sz="6" w:space="0" w:color="1F4E78"/>
              <w:right w:val="double" w:sz="6" w:space="0" w:color="1F4E78"/>
            </w:tcBorders>
            <w:shd w:val="clear" w:color="000000" w:fill="365F91"/>
            <w:noWrap/>
            <w:vAlign w:val="center"/>
            <w:hideMark/>
          </w:tcPr>
          <w:p w14:paraId="6F13E352"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6904ABB6"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w:t>
            </w:r>
          </w:p>
        </w:tc>
        <w:tc>
          <w:tcPr>
            <w:tcW w:w="850" w:type="dxa"/>
            <w:tcBorders>
              <w:top w:val="nil"/>
              <w:left w:val="nil"/>
              <w:bottom w:val="double" w:sz="6" w:space="0" w:color="1F4E78"/>
              <w:right w:val="double" w:sz="6" w:space="0" w:color="1F4E78"/>
            </w:tcBorders>
            <w:shd w:val="clear" w:color="000000" w:fill="365F91"/>
            <w:noWrap/>
            <w:vAlign w:val="center"/>
            <w:hideMark/>
          </w:tcPr>
          <w:p w14:paraId="733C46BF"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Pendiente</w:t>
            </w:r>
          </w:p>
        </w:tc>
        <w:tc>
          <w:tcPr>
            <w:tcW w:w="426" w:type="dxa"/>
            <w:tcBorders>
              <w:top w:val="nil"/>
              <w:left w:val="nil"/>
              <w:bottom w:val="double" w:sz="6" w:space="0" w:color="1F4E78"/>
              <w:right w:val="double" w:sz="6" w:space="0" w:color="1F4E78"/>
            </w:tcBorders>
            <w:shd w:val="clear" w:color="000000" w:fill="365F91"/>
            <w:noWrap/>
            <w:vAlign w:val="center"/>
            <w:hideMark/>
          </w:tcPr>
          <w:p w14:paraId="6A730139"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w:t>
            </w:r>
          </w:p>
        </w:tc>
        <w:tc>
          <w:tcPr>
            <w:tcW w:w="567" w:type="dxa"/>
            <w:tcBorders>
              <w:top w:val="nil"/>
              <w:left w:val="nil"/>
              <w:bottom w:val="double" w:sz="6" w:space="0" w:color="1F4E78"/>
              <w:right w:val="double" w:sz="6" w:space="0" w:color="1F4E78"/>
            </w:tcBorders>
            <w:shd w:val="clear" w:color="000000" w:fill="365F91"/>
            <w:noWrap/>
            <w:vAlign w:val="center"/>
            <w:hideMark/>
          </w:tcPr>
          <w:p w14:paraId="5902E104"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Sin efecto</w:t>
            </w:r>
          </w:p>
        </w:tc>
        <w:tc>
          <w:tcPr>
            <w:tcW w:w="425" w:type="dxa"/>
            <w:tcBorders>
              <w:top w:val="nil"/>
              <w:left w:val="nil"/>
              <w:bottom w:val="double" w:sz="6" w:space="0" w:color="1F4E78"/>
              <w:right w:val="double" w:sz="6" w:space="0" w:color="1F4E78"/>
            </w:tcBorders>
            <w:shd w:val="clear" w:color="000000" w:fill="365F91"/>
            <w:noWrap/>
            <w:vAlign w:val="center"/>
            <w:hideMark/>
          </w:tcPr>
          <w:p w14:paraId="5E7F3336"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w:t>
            </w:r>
          </w:p>
        </w:tc>
        <w:tc>
          <w:tcPr>
            <w:tcW w:w="992" w:type="dxa"/>
            <w:tcBorders>
              <w:top w:val="nil"/>
              <w:left w:val="nil"/>
              <w:bottom w:val="double" w:sz="6" w:space="0" w:color="1F4E78"/>
              <w:right w:val="double" w:sz="6" w:space="0" w:color="1F4E78"/>
            </w:tcBorders>
            <w:shd w:val="clear" w:color="000000" w:fill="365F91"/>
            <w:noWrap/>
            <w:vAlign w:val="center"/>
            <w:hideMark/>
          </w:tcPr>
          <w:p w14:paraId="50DC99E0"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3A07F87F"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w:t>
            </w:r>
          </w:p>
        </w:tc>
        <w:tc>
          <w:tcPr>
            <w:tcW w:w="992" w:type="dxa"/>
            <w:tcBorders>
              <w:top w:val="nil"/>
              <w:left w:val="nil"/>
              <w:bottom w:val="double" w:sz="6" w:space="0" w:color="1F4E78"/>
              <w:right w:val="double" w:sz="6" w:space="0" w:color="1F4E78"/>
            </w:tcBorders>
            <w:shd w:val="clear" w:color="000000" w:fill="365F91"/>
            <w:noWrap/>
            <w:vAlign w:val="center"/>
            <w:hideMark/>
          </w:tcPr>
          <w:p w14:paraId="5ED4FCF9"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Suspendida</w:t>
            </w:r>
          </w:p>
        </w:tc>
        <w:tc>
          <w:tcPr>
            <w:tcW w:w="426" w:type="dxa"/>
            <w:tcBorders>
              <w:top w:val="nil"/>
              <w:left w:val="nil"/>
              <w:bottom w:val="double" w:sz="6" w:space="0" w:color="1F4E78"/>
              <w:right w:val="double" w:sz="6" w:space="0" w:color="1F4E78"/>
            </w:tcBorders>
            <w:shd w:val="clear" w:color="000000" w:fill="365F91"/>
            <w:noWrap/>
            <w:vAlign w:val="center"/>
            <w:hideMark/>
          </w:tcPr>
          <w:p w14:paraId="2BF9B852"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w:t>
            </w:r>
          </w:p>
        </w:tc>
        <w:tc>
          <w:tcPr>
            <w:tcW w:w="708" w:type="dxa"/>
            <w:tcBorders>
              <w:top w:val="nil"/>
              <w:left w:val="nil"/>
              <w:bottom w:val="double" w:sz="6" w:space="0" w:color="1F4E78"/>
              <w:right w:val="double" w:sz="6" w:space="0" w:color="1F4E78"/>
            </w:tcBorders>
            <w:shd w:val="clear" w:color="000000" w:fill="365F91"/>
            <w:noWrap/>
            <w:vAlign w:val="center"/>
            <w:hideMark/>
          </w:tcPr>
          <w:p w14:paraId="2620EFCB" w14:textId="77777777" w:rsidR="00F66964" w:rsidRPr="00F66964" w:rsidRDefault="00F66964" w:rsidP="00F66964">
            <w:pPr>
              <w:spacing w:before="0" w:after="0" w:line="240" w:lineRule="auto"/>
              <w:jc w:val="center"/>
              <w:rPr>
                <w:rFonts w:eastAsia="Times New Roman" w:cs="Calibri"/>
                <w:color w:val="FFFFFF"/>
                <w:sz w:val="16"/>
                <w:szCs w:val="16"/>
                <w:lang w:eastAsia="es-CR"/>
              </w:rPr>
            </w:pPr>
            <w:r w:rsidRPr="00F66964">
              <w:rPr>
                <w:rFonts w:eastAsia="Times New Roman" w:cs="Calibri"/>
                <w:color w:val="FFFFFF"/>
                <w:sz w:val="16"/>
                <w:szCs w:val="16"/>
                <w:lang w:eastAsia="es-CR"/>
              </w:rPr>
              <w:t>Total</w:t>
            </w:r>
          </w:p>
        </w:tc>
      </w:tr>
      <w:tr w:rsidR="00F66964" w:rsidRPr="005149C4" w14:paraId="7386FE87"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7229A08E"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II Circuito Judicial de San José</w:t>
            </w:r>
          </w:p>
        </w:tc>
        <w:tc>
          <w:tcPr>
            <w:tcW w:w="992" w:type="dxa"/>
            <w:tcBorders>
              <w:top w:val="nil"/>
              <w:left w:val="nil"/>
              <w:bottom w:val="double" w:sz="6" w:space="0" w:color="1F4E78"/>
              <w:right w:val="double" w:sz="6" w:space="0" w:color="1F4E78"/>
            </w:tcBorders>
            <w:shd w:val="clear" w:color="auto" w:fill="auto"/>
            <w:noWrap/>
            <w:vAlign w:val="bottom"/>
            <w:hideMark/>
          </w:tcPr>
          <w:p w14:paraId="42016DB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3231</w:t>
            </w:r>
          </w:p>
        </w:tc>
        <w:tc>
          <w:tcPr>
            <w:tcW w:w="567" w:type="dxa"/>
            <w:tcBorders>
              <w:top w:val="nil"/>
              <w:left w:val="nil"/>
              <w:bottom w:val="double" w:sz="6" w:space="0" w:color="1F4E78"/>
              <w:right w:val="double" w:sz="6" w:space="0" w:color="1F4E78"/>
            </w:tcBorders>
            <w:shd w:val="clear" w:color="auto" w:fill="auto"/>
            <w:noWrap/>
            <w:vAlign w:val="bottom"/>
            <w:hideMark/>
          </w:tcPr>
          <w:p w14:paraId="4BDA97F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90%</w:t>
            </w:r>
          </w:p>
        </w:tc>
        <w:tc>
          <w:tcPr>
            <w:tcW w:w="850" w:type="dxa"/>
            <w:tcBorders>
              <w:top w:val="nil"/>
              <w:left w:val="nil"/>
              <w:bottom w:val="double" w:sz="6" w:space="0" w:color="1F4E78"/>
              <w:right w:val="double" w:sz="6" w:space="0" w:color="1F4E78"/>
            </w:tcBorders>
            <w:shd w:val="clear" w:color="auto" w:fill="auto"/>
            <w:noWrap/>
            <w:vAlign w:val="bottom"/>
            <w:hideMark/>
          </w:tcPr>
          <w:p w14:paraId="1C05999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55</w:t>
            </w:r>
          </w:p>
        </w:tc>
        <w:tc>
          <w:tcPr>
            <w:tcW w:w="426" w:type="dxa"/>
            <w:tcBorders>
              <w:top w:val="nil"/>
              <w:left w:val="nil"/>
              <w:bottom w:val="double" w:sz="6" w:space="0" w:color="1F4E78"/>
              <w:right w:val="double" w:sz="6" w:space="0" w:color="1F4E78"/>
            </w:tcBorders>
            <w:shd w:val="clear" w:color="auto" w:fill="auto"/>
            <w:noWrap/>
            <w:vAlign w:val="bottom"/>
            <w:hideMark/>
          </w:tcPr>
          <w:p w14:paraId="1DE1A65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bottom"/>
            <w:hideMark/>
          </w:tcPr>
          <w:p w14:paraId="74B7672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bottom"/>
            <w:hideMark/>
          </w:tcPr>
          <w:p w14:paraId="3AFDB75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32701D1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201</w:t>
            </w:r>
          </w:p>
        </w:tc>
        <w:tc>
          <w:tcPr>
            <w:tcW w:w="567" w:type="dxa"/>
            <w:tcBorders>
              <w:top w:val="nil"/>
              <w:left w:val="nil"/>
              <w:bottom w:val="double" w:sz="6" w:space="0" w:color="1F4E78"/>
              <w:right w:val="double" w:sz="6" w:space="0" w:color="1F4E78"/>
            </w:tcBorders>
            <w:shd w:val="clear" w:color="auto" w:fill="auto"/>
            <w:noWrap/>
            <w:vAlign w:val="bottom"/>
            <w:hideMark/>
          </w:tcPr>
          <w:p w14:paraId="1217C41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w:t>
            </w:r>
          </w:p>
        </w:tc>
        <w:tc>
          <w:tcPr>
            <w:tcW w:w="992" w:type="dxa"/>
            <w:tcBorders>
              <w:top w:val="nil"/>
              <w:left w:val="nil"/>
              <w:bottom w:val="double" w:sz="6" w:space="0" w:color="1F4E78"/>
              <w:right w:val="double" w:sz="6" w:space="0" w:color="1F4E78"/>
            </w:tcBorders>
            <w:shd w:val="clear" w:color="auto" w:fill="auto"/>
            <w:noWrap/>
            <w:vAlign w:val="bottom"/>
            <w:hideMark/>
          </w:tcPr>
          <w:p w14:paraId="34CA283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97</w:t>
            </w:r>
          </w:p>
        </w:tc>
        <w:tc>
          <w:tcPr>
            <w:tcW w:w="426" w:type="dxa"/>
            <w:tcBorders>
              <w:top w:val="nil"/>
              <w:left w:val="nil"/>
              <w:bottom w:val="double" w:sz="6" w:space="0" w:color="1F4E78"/>
              <w:right w:val="double" w:sz="6" w:space="0" w:color="1F4E78"/>
            </w:tcBorders>
            <w:shd w:val="clear" w:color="auto" w:fill="auto"/>
            <w:noWrap/>
            <w:vAlign w:val="bottom"/>
            <w:hideMark/>
          </w:tcPr>
          <w:p w14:paraId="4A7627A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w:t>
            </w:r>
          </w:p>
        </w:tc>
        <w:tc>
          <w:tcPr>
            <w:tcW w:w="708" w:type="dxa"/>
            <w:tcBorders>
              <w:top w:val="nil"/>
              <w:left w:val="nil"/>
              <w:bottom w:val="double" w:sz="6" w:space="0" w:color="1F4E78"/>
              <w:right w:val="double" w:sz="6" w:space="0" w:color="1F4E78"/>
            </w:tcBorders>
            <w:shd w:val="clear" w:color="auto" w:fill="auto"/>
            <w:noWrap/>
            <w:vAlign w:val="bottom"/>
            <w:hideMark/>
          </w:tcPr>
          <w:p w14:paraId="31DC827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3584</w:t>
            </w:r>
          </w:p>
        </w:tc>
      </w:tr>
      <w:tr w:rsidR="00F66964" w:rsidRPr="005149C4" w14:paraId="122CF3B3"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1CDF6A5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III Circuito Judicial de San José</w:t>
            </w:r>
          </w:p>
        </w:tc>
        <w:tc>
          <w:tcPr>
            <w:tcW w:w="992" w:type="dxa"/>
            <w:tcBorders>
              <w:top w:val="nil"/>
              <w:left w:val="nil"/>
              <w:bottom w:val="double" w:sz="6" w:space="0" w:color="1F4E78"/>
              <w:right w:val="double" w:sz="6" w:space="0" w:color="1F4E78"/>
            </w:tcBorders>
            <w:shd w:val="clear" w:color="auto" w:fill="auto"/>
            <w:noWrap/>
            <w:vAlign w:val="bottom"/>
            <w:hideMark/>
          </w:tcPr>
          <w:p w14:paraId="41FE873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1128</w:t>
            </w:r>
          </w:p>
        </w:tc>
        <w:tc>
          <w:tcPr>
            <w:tcW w:w="567" w:type="dxa"/>
            <w:tcBorders>
              <w:top w:val="nil"/>
              <w:left w:val="nil"/>
              <w:bottom w:val="double" w:sz="6" w:space="0" w:color="1F4E78"/>
              <w:right w:val="double" w:sz="6" w:space="0" w:color="1F4E78"/>
            </w:tcBorders>
            <w:shd w:val="clear" w:color="auto" w:fill="auto"/>
            <w:noWrap/>
            <w:vAlign w:val="bottom"/>
            <w:hideMark/>
          </w:tcPr>
          <w:p w14:paraId="5C95D7A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73%</w:t>
            </w:r>
          </w:p>
        </w:tc>
        <w:tc>
          <w:tcPr>
            <w:tcW w:w="850" w:type="dxa"/>
            <w:tcBorders>
              <w:top w:val="nil"/>
              <w:left w:val="nil"/>
              <w:bottom w:val="double" w:sz="6" w:space="0" w:color="1F4E78"/>
              <w:right w:val="double" w:sz="6" w:space="0" w:color="1F4E78"/>
            </w:tcBorders>
            <w:shd w:val="clear" w:color="auto" w:fill="auto"/>
            <w:noWrap/>
            <w:vAlign w:val="bottom"/>
            <w:hideMark/>
          </w:tcPr>
          <w:p w14:paraId="7B7F85A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81</w:t>
            </w:r>
          </w:p>
        </w:tc>
        <w:tc>
          <w:tcPr>
            <w:tcW w:w="426" w:type="dxa"/>
            <w:tcBorders>
              <w:top w:val="nil"/>
              <w:left w:val="nil"/>
              <w:bottom w:val="double" w:sz="6" w:space="0" w:color="1F4E78"/>
              <w:right w:val="double" w:sz="6" w:space="0" w:color="1F4E78"/>
            </w:tcBorders>
            <w:shd w:val="clear" w:color="auto" w:fill="auto"/>
            <w:noWrap/>
            <w:vAlign w:val="bottom"/>
            <w:hideMark/>
          </w:tcPr>
          <w:p w14:paraId="66380D6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bottom"/>
            <w:hideMark/>
          </w:tcPr>
          <w:p w14:paraId="0F67BE7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w:t>
            </w:r>
          </w:p>
        </w:tc>
        <w:tc>
          <w:tcPr>
            <w:tcW w:w="425" w:type="dxa"/>
            <w:tcBorders>
              <w:top w:val="nil"/>
              <w:left w:val="nil"/>
              <w:bottom w:val="double" w:sz="6" w:space="0" w:color="1F4E78"/>
              <w:right w:val="double" w:sz="6" w:space="0" w:color="1F4E78"/>
            </w:tcBorders>
            <w:shd w:val="clear" w:color="auto" w:fill="auto"/>
            <w:noWrap/>
            <w:vAlign w:val="bottom"/>
            <w:hideMark/>
          </w:tcPr>
          <w:p w14:paraId="1A032AC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068D1A0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327</w:t>
            </w:r>
          </w:p>
        </w:tc>
        <w:tc>
          <w:tcPr>
            <w:tcW w:w="567" w:type="dxa"/>
            <w:tcBorders>
              <w:top w:val="nil"/>
              <w:left w:val="nil"/>
              <w:bottom w:val="double" w:sz="6" w:space="0" w:color="1F4E78"/>
              <w:right w:val="double" w:sz="6" w:space="0" w:color="1F4E78"/>
            </w:tcBorders>
            <w:shd w:val="clear" w:color="auto" w:fill="auto"/>
            <w:noWrap/>
            <w:vAlign w:val="bottom"/>
            <w:hideMark/>
          </w:tcPr>
          <w:p w14:paraId="6E2CD43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21%</w:t>
            </w:r>
          </w:p>
        </w:tc>
        <w:tc>
          <w:tcPr>
            <w:tcW w:w="992" w:type="dxa"/>
            <w:tcBorders>
              <w:top w:val="nil"/>
              <w:left w:val="nil"/>
              <w:bottom w:val="double" w:sz="6" w:space="0" w:color="1F4E78"/>
              <w:right w:val="double" w:sz="6" w:space="0" w:color="1F4E78"/>
            </w:tcBorders>
            <w:shd w:val="clear" w:color="auto" w:fill="auto"/>
            <w:noWrap/>
            <w:vAlign w:val="bottom"/>
            <w:hideMark/>
          </w:tcPr>
          <w:p w14:paraId="48D7037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bottom"/>
            <w:hideMark/>
          </w:tcPr>
          <w:p w14:paraId="7BAE092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5EA2448E"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1544</w:t>
            </w:r>
          </w:p>
        </w:tc>
      </w:tr>
      <w:tr w:rsidR="00F66964" w:rsidRPr="005149C4" w14:paraId="758FE83F"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618DD40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Cartago</w:t>
            </w:r>
          </w:p>
        </w:tc>
        <w:tc>
          <w:tcPr>
            <w:tcW w:w="992" w:type="dxa"/>
            <w:tcBorders>
              <w:top w:val="nil"/>
              <w:left w:val="nil"/>
              <w:bottom w:val="double" w:sz="6" w:space="0" w:color="1F4E78"/>
              <w:right w:val="double" w:sz="6" w:space="0" w:color="1F4E78"/>
            </w:tcBorders>
            <w:shd w:val="clear" w:color="auto" w:fill="auto"/>
            <w:noWrap/>
            <w:vAlign w:val="bottom"/>
            <w:hideMark/>
          </w:tcPr>
          <w:p w14:paraId="190BB44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1596</w:t>
            </w:r>
          </w:p>
        </w:tc>
        <w:tc>
          <w:tcPr>
            <w:tcW w:w="567" w:type="dxa"/>
            <w:tcBorders>
              <w:top w:val="nil"/>
              <w:left w:val="nil"/>
              <w:bottom w:val="double" w:sz="6" w:space="0" w:color="1F4E78"/>
              <w:right w:val="double" w:sz="6" w:space="0" w:color="1F4E78"/>
            </w:tcBorders>
            <w:shd w:val="clear" w:color="auto" w:fill="auto"/>
            <w:noWrap/>
            <w:vAlign w:val="bottom"/>
            <w:hideMark/>
          </w:tcPr>
          <w:p w14:paraId="711020A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96%</w:t>
            </w:r>
          </w:p>
        </w:tc>
        <w:tc>
          <w:tcPr>
            <w:tcW w:w="850" w:type="dxa"/>
            <w:tcBorders>
              <w:top w:val="nil"/>
              <w:left w:val="nil"/>
              <w:bottom w:val="double" w:sz="6" w:space="0" w:color="1F4E78"/>
              <w:right w:val="double" w:sz="6" w:space="0" w:color="1F4E78"/>
            </w:tcBorders>
            <w:shd w:val="clear" w:color="auto" w:fill="auto"/>
            <w:noWrap/>
            <w:vAlign w:val="bottom"/>
            <w:hideMark/>
          </w:tcPr>
          <w:p w14:paraId="12C148C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25</w:t>
            </w:r>
          </w:p>
        </w:tc>
        <w:tc>
          <w:tcPr>
            <w:tcW w:w="426" w:type="dxa"/>
            <w:tcBorders>
              <w:top w:val="nil"/>
              <w:left w:val="nil"/>
              <w:bottom w:val="double" w:sz="6" w:space="0" w:color="1F4E78"/>
              <w:right w:val="double" w:sz="6" w:space="0" w:color="1F4E78"/>
            </w:tcBorders>
            <w:shd w:val="clear" w:color="auto" w:fill="auto"/>
            <w:noWrap/>
            <w:vAlign w:val="bottom"/>
            <w:hideMark/>
          </w:tcPr>
          <w:p w14:paraId="1C112D3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bottom"/>
            <w:hideMark/>
          </w:tcPr>
          <w:p w14:paraId="59FF8E2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425" w:type="dxa"/>
            <w:tcBorders>
              <w:top w:val="nil"/>
              <w:left w:val="nil"/>
              <w:bottom w:val="double" w:sz="6" w:space="0" w:color="1F4E78"/>
              <w:right w:val="double" w:sz="6" w:space="0" w:color="1F4E78"/>
            </w:tcBorders>
            <w:shd w:val="clear" w:color="auto" w:fill="auto"/>
            <w:noWrap/>
            <w:vAlign w:val="bottom"/>
            <w:hideMark/>
          </w:tcPr>
          <w:p w14:paraId="3BFDA12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0C1CEC8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42</w:t>
            </w:r>
          </w:p>
        </w:tc>
        <w:tc>
          <w:tcPr>
            <w:tcW w:w="567" w:type="dxa"/>
            <w:tcBorders>
              <w:top w:val="nil"/>
              <w:left w:val="nil"/>
              <w:bottom w:val="double" w:sz="6" w:space="0" w:color="1F4E78"/>
              <w:right w:val="double" w:sz="6" w:space="0" w:color="1F4E78"/>
            </w:tcBorders>
            <w:shd w:val="clear" w:color="auto" w:fill="auto"/>
            <w:noWrap/>
            <w:vAlign w:val="bottom"/>
            <w:hideMark/>
          </w:tcPr>
          <w:p w14:paraId="4CA9CA5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w:t>
            </w:r>
          </w:p>
        </w:tc>
        <w:tc>
          <w:tcPr>
            <w:tcW w:w="992" w:type="dxa"/>
            <w:tcBorders>
              <w:top w:val="nil"/>
              <w:left w:val="nil"/>
              <w:bottom w:val="double" w:sz="6" w:space="0" w:color="1F4E78"/>
              <w:right w:val="double" w:sz="6" w:space="0" w:color="1F4E78"/>
            </w:tcBorders>
            <w:shd w:val="clear" w:color="auto" w:fill="auto"/>
            <w:noWrap/>
            <w:vAlign w:val="bottom"/>
            <w:hideMark/>
          </w:tcPr>
          <w:p w14:paraId="28C404E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w:t>
            </w:r>
          </w:p>
        </w:tc>
        <w:tc>
          <w:tcPr>
            <w:tcW w:w="426" w:type="dxa"/>
            <w:tcBorders>
              <w:top w:val="nil"/>
              <w:left w:val="nil"/>
              <w:bottom w:val="double" w:sz="6" w:space="0" w:color="1F4E78"/>
              <w:right w:val="double" w:sz="6" w:space="0" w:color="1F4E78"/>
            </w:tcBorders>
            <w:shd w:val="clear" w:color="auto" w:fill="auto"/>
            <w:noWrap/>
            <w:vAlign w:val="bottom"/>
            <w:hideMark/>
          </w:tcPr>
          <w:p w14:paraId="02FE077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6670198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1667</w:t>
            </w:r>
          </w:p>
        </w:tc>
      </w:tr>
      <w:tr w:rsidR="00F66964" w:rsidRPr="005149C4" w14:paraId="03BEE974"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2CCD9D1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Heredia</w:t>
            </w:r>
          </w:p>
        </w:tc>
        <w:tc>
          <w:tcPr>
            <w:tcW w:w="992" w:type="dxa"/>
            <w:tcBorders>
              <w:top w:val="nil"/>
              <w:left w:val="nil"/>
              <w:bottom w:val="double" w:sz="6" w:space="0" w:color="1F4E78"/>
              <w:right w:val="double" w:sz="6" w:space="0" w:color="1F4E78"/>
            </w:tcBorders>
            <w:shd w:val="clear" w:color="auto" w:fill="auto"/>
            <w:noWrap/>
            <w:vAlign w:val="bottom"/>
            <w:hideMark/>
          </w:tcPr>
          <w:p w14:paraId="670F697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1603</w:t>
            </w:r>
          </w:p>
        </w:tc>
        <w:tc>
          <w:tcPr>
            <w:tcW w:w="567" w:type="dxa"/>
            <w:tcBorders>
              <w:top w:val="nil"/>
              <w:left w:val="nil"/>
              <w:bottom w:val="double" w:sz="6" w:space="0" w:color="1F4E78"/>
              <w:right w:val="double" w:sz="6" w:space="0" w:color="1F4E78"/>
            </w:tcBorders>
            <w:shd w:val="clear" w:color="auto" w:fill="auto"/>
            <w:noWrap/>
            <w:vAlign w:val="bottom"/>
            <w:hideMark/>
          </w:tcPr>
          <w:p w14:paraId="554E07B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91%</w:t>
            </w:r>
          </w:p>
        </w:tc>
        <w:tc>
          <w:tcPr>
            <w:tcW w:w="850" w:type="dxa"/>
            <w:tcBorders>
              <w:top w:val="nil"/>
              <w:left w:val="nil"/>
              <w:bottom w:val="double" w:sz="6" w:space="0" w:color="1F4E78"/>
              <w:right w:val="double" w:sz="6" w:space="0" w:color="1F4E78"/>
            </w:tcBorders>
            <w:shd w:val="clear" w:color="auto" w:fill="auto"/>
            <w:noWrap/>
            <w:vAlign w:val="bottom"/>
            <w:hideMark/>
          </w:tcPr>
          <w:p w14:paraId="2D8A0F1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65</w:t>
            </w:r>
          </w:p>
        </w:tc>
        <w:tc>
          <w:tcPr>
            <w:tcW w:w="426" w:type="dxa"/>
            <w:tcBorders>
              <w:top w:val="nil"/>
              <w:left w:val="nil"/>
              <w:bottom w:val="double" w:sz="6" w:space="0" w:color="1F4E78"/>
              <w:right w:val="double" w:sz="6" w:space="0" w:color="1F4E78"/>
            </w:tcBorders>
            <w:shd w:val="clear" w:color="auto" w:fill="auto"/>
            <w:noWrap/>
            <w:vAlign w:val="bottom"/>
            <w:hideMark/>
          </w:tcPr>
          <w:p w14:paraId="247257A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4%</w:t>
            </w:r>
          </w:p>
        </w:tc>
        <w:tc>
          <w:tcPr>
            <w:tcW w:w="567" w:type="dxa"/>
            <w:tcBorders>
              <w:top w:val="nil"/>
              <w:left w:val="nil"/>
              <w:bottom w:val="double" w:sz="6" w:space="0" w:color="1F4E78"/>
              <w:right w:val="double" w:sz="6" w:space="0" w:color="1F4E78"/>
            </w:tcBorders>
            <w:shd w:val="clear" w:color="auto" w:fill="auto"/>
            <w:noWrap/>
            <w:vAlign w:val="bottom"/>
            <w:hideMark/>
          </w:tcPr>
          <w:p w14:paraId="519A4BA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bottom"/>
            <w:hideMark/>
          </w:tcPr>
          <w:p w14:paraId="275554A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0F9C943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99</w:t>
            </w:r>
          </w:p>
        </w:tc>
        <w:tc>
          <w:tcPr>
            <w:tcW w:w="567" w:type="dxa"/>
            <w:tcBorders>
              <w:top w:val="nil"/>
              <w:left w:val="nil"/>
              <w:bottom w:val="double" w:sz="6" w:space="0" w:color="1F4E78"/>
              <w:right w:val="double" w:sz="6" w:space="0" w:color="1F4E78"/>
            </w:tcBorders>
            <w:shd w:val="clear" w:color="auto" w:fill="auto"/>
            <w:noWrap/>
            <w:vAlign w:val="bottom"/>
            <w:hideMark/>
          </w:tcPr>
          <w:p w14:paraId="04EE886E"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w:t>
            </w:r>
          </w:p>
        </w:tc>
        <w:tc>
          <w:tcPr>
            <w:tcW w:w="992" w:type="dxa"/>
            <w:tcBorders>
              <w:top w:val="nil"/>
              <w:left w:val="nil"/>
              <w:bottom w:val="double" w:sz="6" w:space="0" w:color="1F4E78"/>
              <w:right w:val="double" w:sz="6" w:space="0" w:color="1F4E78"/>
            </w:tcBorders>
            <w:shd w:val="clear" w:color="auto" w:fill="auto"/>
            <w:noWrap/>
            <w:vAlign w:val="bottom"/>
            <w:hideMark/>
          </w:tcPr>
          <w:p w14:paraId="4DF488E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3934CE7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39E0E50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1767</w:t>
            </w:r>
          </w:p>
        </w:tc>
      </w:tr>
      <w:tr w:rsidR="00F66964" w:rsidRPr="005149C4" w14:paraId="26F2E125"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4E0ECB8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Puntarenas</w:t>
            </w:r>
          </w:p>
        </w:tc>
        <w:tc>
          <w:tcPr>
            <w:tcW w:w="992" w:type="dxa"/>
            <w:tcBorders>
              <w:top w:val="nil"/>
              <w:left w:val="nil"/>
              <w:bottom w:val="double" w:sz="6" w:space="0" w:color="1F4E78"/>
              <w:right w:val="double" w:sz="6" w:space="0" w:color="1F4E78"/>
            </w:tcBorders>
            <w:shd w:val="clear" w:color="auto" w:fill="auto"/>
            <w:noWrap/>
            <w:vAlign w:val="bottom"/>
            <w:hideMark/>
          </w:tcPr>
          <w:p w14:paraId="28A3B3D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1180</w:t>
            </w:r>
          </w:p>
        </w:tc>
        <w:tc>
          <w:tcPr>
            <w:tcW w:w="567" w:type="dxa"/>
            <w:tcBorders>
              <w:top w:val="nil"/>
              <w:left w:val="nil"/>
              <w:bottom w:val="double" w:sz="6" w:space="0" w:color="1F4E78"/>
              <w:right w:val="double" w:sz="6" w:space="0" w:color="1F4E78"/>
            </w:tcBorders>
            <w:shd w:val="clear" w:color="auto" w:fill="auto"/>
            <w:noWrap/>
            <w:vAlign w:val="bottom"/>
            <w:hideMark/>
          </w:tcPr>
          <w:p w14:paraId="2B37343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85%</w:t>
            </w:r>
          </w:p>
        </w:tc>
        <w:tc>
          <w:tcPr>
            <w:tcW w:w="850" w:type="dxa"/>
            <w:tcBorders>
              <w:top w:val="nil"/>
              <w:left w:val="nil"/>
              <w:bottom w:val="double" w:sz="6" w:space="0" w:color="1F4E78"/>
              <w:right w:val="double" w:sz="6" w:space="0" w:color="1F4E78"/>
            </w:tcBorders>
            <w:shd w:val="clear" w:color="auto" w:fill="auto"/>
            <w:noWrap/>
            <w:vAlign w:val="bottom"/>
            <w:hideMark/>
          </w:tcPr>
          <w:p w14:paraId="7FDB1E8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31</w:t>
            </w:r>
          </w:p>
        </w:tc>
        <w:tc>
          <w:tcPr>
            <w:tcW w:w="426" w:type="dxa"/>
            <w:tcBorders>
              <w:top w:val="nil"/>
              <w:left w:val="nil"/>
              <w:bottom w:val="double" w:sz="6" w:space="0" w:color="1F4E78"/>
              <w:right w:val="double" w:sz="6" w:space="0" w:color="1F4E78"/>
            </w:tcBorders>
            <w:shd w:val="clear" w:color="auto" w:fill="auto"/>
            <w:noWrap/>
            <w:vAlign w:val="bottom"/>
            <w:hideMark/>
          </w:tcPr>
          <w:p w14:paraId="142E5D1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bottom"/>
            <w:hideMark/>
          </w:tcPr>
          <w:p w14:paraId="51B5D23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11</w:t>
            </w:r>
          </w:p>
        </w:tc>
        <w:tc>
          <w:tcPr>
            <w:tcW w:w="425" w:type="dxa"/>
            <w:tcBorders>
              <w:top w:val="nil"/>
              <w:left w:val="nil"/>
              <w:bottom w:val="double" w:sz="6" w:space="0" w:color="1F4E78"/>
              <w:right w:val="double" w:sz="6" w:space="0" w:color="1F4E78"/>
            </w:tcBorders>
            <w:shd w:val="clear" w:color="auto" w:fill="auto"/>
            <w:noWrap/>
            <w:vAlign w:val="bottom"/>
            <w:hideMark/>
          </w:tcPr>
          <w:p w14:paraId="474E247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992" w:type="dxa"/>
            <w:tcBorders>
              <w:top w:val="nil"/>
              <w:left w:val="nil"/>
              <w:bottom w:val="double" w:sz="6" w:space="0" w:color="1F4E78"/>
              <w:right w:val="double" w:sz="6" w:space="0" w:color="1F4E78"/>
            </w:tcBorders>
            <w:shd w:val="clear" w:color="auto" w:fill="auto"/>
            <w:noWrap/>
            <w:vAlign w:val="bottom"/>
            <w:hideMark/>
          </w:tcPr>
          <w:p w14:paraId="1BD950E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165</w:t>
            </w:r>
          </w:p>
        </w:tc>
        <w:tc>
          <w:tcPr>
            <w:tcW w:w="567" w:type="dxa"/>
            <w:tcBorders>
              <w:top w:val="nil"/>
              <w:left w:val="nil"/>
              <w:bottom w:val="double" w:sz="6" w:space="0" w:color="1F4E78"/>
              <w:right w:val="double" w:sz="6" w:space="0" w:color="1F4E78"/>
            </w:tcBorders>
            <w:shd w:val="clear" w:color="auto" w:fill="auto"/>
            <w:noWrap/>
            <w:vAlign w:val="bottom"/>
            <w:hideMark/>
          </w:tcPr>
          <w:p w14:paraId="7B00A04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12%</w:t>
            </w:r>
          </w:p>
        </w:tc>
        <w:tc>
          <w:tcPr>
            <w:tcW w:w="992" w:type="dxa"/>
            <w:tcBorders>
              <w:top w:val="nil"/>
              <w:left w:val="nil"/>
              <w:bottom w:val="double" w:sz="6" w:space="0" w:color="1F4E78"/>
              <w:right w:val="double" w:sz="6" w:space="0" w:color="1F4E78"/>
            </w:tcBorders>
            <w:shd w:val="clear" w:color="auto" w:fill="auto"/>
            <w:noWrap/>
            <w:vAlign w:val="bottom"/>
            <w:hideMark/>
          </w:tcPr>
          <w:p w14:paraId="62129EA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w:t>
            </w:r>
          </w:p>
        </w:tc>
        <w:tc>
          <w:tcPr>
            <w:tcW w:w="426" w:type="dxa"/>
            <w:tcBorders>
              <w:top w:val="nil"/>
              <w:left w:val="nil"/>
              <w:bottom w:val="double" w:sz="6" w:space="0" w:color="1F4E78"/>
              <w:right w:val="double" w:sz="6" w:space="0" w:color="1F4E78"/>
            </w:tcBorders>
            <w:shd w:val="clear" w:color="auto" w:fill="auto"/>
            <w:noWrap/>
            <w:vAlign w:val="bottom"/>
            <w:hideMark/>
          </w:tcPr>
          <w:p w14:paraId="7F5CA60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20598FE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1392</w:t>
            </w:r>
          </w:p>
        </w:tc>
      </w:tr>
      <w:tr w:rsidR="00F66964" w:rsidRPr="005149C4" w14:paraId="77625EFA"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4EB419D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 xml:space="preserve">Alajuela </w:t>
            </w:r>
          </w:p>
        </w:tc>
        <w:tc>
          <w:tcPr>
            <w:tcW w:w="992" w:type="dxa"/>
            <w:tcBorders>
              <w:top w:val="nil"/>
              <w:left w:val="nil"/>
              <w:bottom w:val="double" w:sz="6" w:space="0" w:color="1F4E78"/>
              <w:right w:val="double" w:sz="6" w:space="0" w:color="1F4E78"/>
            </w:tcBorders>
            <w:shd w:val="clear" w:color="auto" w:fill="auto"/>
            <w:noWrap/>
            <w:vAlign w:val="bottom"/>
            <w:hideMark/>
          </w:tcPr>
          <w:p w14:paraId="6E4F247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163</w:t>
            </w:r>
          </w:p>
        </w:tc>
        <w:tc>
          <w:tcPr>
            <w:tcW w:w="567" w:type="dxa"/>
            <w:tcBorders>
              <w:top w:val="nil"/>
              <w:left w:val="nil"/>
              <w:bottom w:val="double" w:sz="6" w:space="0" w:color="1F4E78"/>
              <w:right w:val="double" w:sz="6" w:space="0" w:color="1F4E78"/>
            </w:tcBorders>
            <w:shd w:val="clear" w:color="auto" w:fill="auto"/>
            <w:noWrap/>
            <w:vAlign w:val="bottom"/>
            <w:hideMark/>
          </w:tcPr>
          <w:p w14:paraId="6D35E1C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67%</w:t>
            </w:r>
          </w:p>
        </w:tc>
        <w:tc>
          <w:tcPr>
            <w:tcW w:w="850" w:type="dxa"/>
            <w:tcBorders>
              <w:top w:val="nil"/>
              <w:left w:val="nil"/>
              <w:bottom w:val="double" w:sz="6" w:space="0" w:color="1F4E78"/>
              <w:right w:val="double" w:sz="6" w:space="0" w:color="1F4E78"/>
            </w:tcBorders>
            <w:shd w:val="clear" w:color="auto" w:fill="auto"/>
            <w:noWrap/>
            <w:vAlign w:val="bottom"/>
            <w:hideMark/>
          </w:tcPr>
          <w:p w14:paraId="4722C01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13</w:t>
            </w:r>
          </w:p>
        </w:tc>
        <w:tc>
          <w:tcPr>
            <w:tcW w:w="426" w:type="dxa"/>
            <w:tcBorders>
              <w:top w:val="nil"/>
              <w:left w:val="nil"/>
              <w:bottom w:val="double" w:sz="6" w:space="0" w:color="1F4E78"/>
              <w:right w:val="double" w:sz="6" w:space="0" w:color="1F4E78"/>
            </w:tcBorders>
            <w:shd w:val="clear" w:color="auto" w:fill="auto"/>
            <w:noWrap/>
            <w:vAlign w:val="bottom"/>
            <w:hideMark/>
          </w:tcPr>
          <w:p w14:paraId="1B3032D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bottom"/>
            <w:hideMark/>
          </w:tcPr>
          <w:p w14:paraId="231BE91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bottom"/>
            <w:hideMark/>
          </w:tcPr>
          <w:p w14:paraId="00CA79B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72AC313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66</w:t>
            </w:r>
          </w:p>
        </w:tc>
        <w:tc>
          <w:tcPr>
            <w:tcW w:w="567" w:type="dxa"/>
            <w:tcBorders>
              <w:top w:val="nil"/>
              <w:left w:val="nil"/>
              <w:bottom w:val="double" w:sz="6" w:space="0" w:color="1F4E78"/>
              <w:right w:val="double" w:sz="6" w:space="0" w:color="1F4E78"/>
            </w:tcBorders>
            <w:shd w:val="clear" w:color="auto" w:fill="auto"/>
            <w:noWrap/>
            <w:vAlign w:val="bottom"/>
            <w:hideMark/>
          </w:tcPr>
          <w:p w14:paraId="52E87BE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27%</w:t>
            </w:r>
          </w:p>
        </w:tc>
        <w:tc>
          <w:tcPr>
            <w:tcW w:w="992" w:type="dxa"/>
            <w:tcBorders>
              <w:top w:val="nil"/>
              <w:left w:val="nil"/>
              <w:bottom w:val="double" w:sz="6" w:space="0" w:color="1F4E78"/>
              <w:right w:val="double" w:sz="6" w:space="0" w:color="1F4E78"/>
            </w:tcBorders>
            <w:shd w:val="clear" w:color="auto" w:fill="auto"/>
            <w:noWrap/>
            <w:vAlign w:val="bottom"/>
            <w:hideMark/>
          </w:tcPr>
          <w:p w14:paraId="3BE6DEA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22F7B4C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13DF44E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242</w:t>
            </w:r>
          </w:p>
        </w:tc>
      </w:tr>
      <w:tr w:rsidR="00F66964" w:rsidRPr="005149C4" w14:paraId="19EB6ECC"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13E2849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 xml:space="preserve">San Ramón </w:t>
            </w:r>
          </w:p>
        </w:tc>
        <w:tc>
          <w:tcPr>
            <w:tcW w:w="992" w:type="dxa"/>
            <w:tcBorders>
              <w:top w:val="nil"/>
              <w:left w:val="nil"/>
              <w:bottom w:val="double" w:sz="6" w:space="0" w:color="1F4E78"/>
              <w:right w:val="double" w:sz="6" w:space="0" w:color="1F4E78"/>
            </w:tcBorders>
            <w:shd w:val="clear" w:color="auto" w:fill="auto"/>
            <w:noWrap/>
            <w:vAlign w:val="bottom"/>
            <w:hideMark/>
          </w:tcPr>
          <w:p w14:paraId="7405AB1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405</w:t>
            </w:r>
          </w:p>
        </w:tc>
        <w:tc>
          <w:tcPr>
            <w:tcW w:w="567" w:type="dxa"/>
            <w:tcBorders>
              <w:top w:val="nil"/>
              <w:left w:val="nil"/>
              <w:bottom w:val="double" w:sz="6" w:space="0" w:color="1F4E78"/>
              <w:right w:val="double" w:sz="6" w:space="0" w:color="1F4E78"/>
            </w:tcBorders>
            <w:shd w:val="clear" w:color="auto" w:fill="auto"/>
            <w:noWrap/>
            <w:vAlign w:val="bottom"/>
            <w:hideMark/>
          </w:tcPr>
          <w:p w14:paraId="18814C1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80%</w:t>
            </w:r>
          </w:p>
        </w:tc>
        <w:tc>
          <w:tcPr>
            <w:tcW w:w="850" w:type="dxa"/>
            <w:tcBorders>
              <w:top w:val="nil"/>
              <w:left w:val="nil"/>
              <w:bottom w:val="double" w:sz="6" w:space="0" w:color="1F4E78"/>
              <w:right w:val="double" w:sz="6" w:space="0" w:color="1F4E78"/>
            </w:tcBorders>
            <w:shd w:val="clear" w:color="auto" w:fill="auto"/>
            <w:noWrap/>
            <w:vAlign w:val="bottom"/>
            <w:hideMark/>
          </w:tcPr>
          <w:p w14:paraId="3351448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bottom"/>
            <w:hideMark/>
          </w:tcPr>
          <w:p w14:paraId="4FBDF88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bottom"/>
            <w:hideMark/>
          </w:tcPr>
          <w:p w14:paraId="45F35F6E"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425" w:type="dxa"/>
            <w:tcBorders>
              <w:top w:val="nil"/>
              <w:left w:val="nil"/>
              <w:bottom w:val="double" w:sz="6" w:space="0" w:color="1F4E78"/>
              <w:right w:val="double" w:sz="6" w:space="0" w:color="1F4E78"/>
            </w:tcBorders>
            <w:shd w:val="clear" w:color="auto" w:fill="auto"/>
            <w:noWrap/>
            <w:vAlign w:val="bottom"/>
            <w:hideMark/>
          </w:tcPr>
          <w:p w14:paraId="24A0CE6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481A741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88</w:t>
            </w:r>
          </w:p>
        </w:tc>
        <w:tc>
          <w:tcPr>
            <w:tcW w:w="567" w:type="dxa"/>
            <w:tcBorders>
              <w:top w:val="nil"/>
              <w:left w:val="nil"/>
              <w:bottom w:val="double" w:sz="6" w:space="0" w:color="1F4E78"/>
              <w:right w:val="double" w:sz="6" w:space="0" w:color="1F4E78"/>
            </w:tcBorders>
            <w:shd w:val="clear" w:color="auto" w:fill="auto"/>
            <w:noWrap/>
            <w:vAlign w:val="bottom"/>
            <w:hideMark/>
          </w:tcPr>
          <w:p w14:paraId="39E5A00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17%</w:t>
            </w:r>
          </w:p>
        </w:tc>
        <w:tc>
          <w:tcPr>
            <w:tcW w:w="992" w:type="dxa"/>
            <w:tcBorders>
              <w:top w:val="nil"/>
              <w:left w:val="nil"/>
              <w:bottom w:val="double" w:sz="6" w:space="0" w:color="1F4E78"/>
              <w:right w:val="double" w:sz="6" w:space="0" w:color="1F4E78"/>
            </w:tcBorders>
            <w:shd w:val="clear" w:color="auto" w:fill="auto"/>
            <w:noWrap/>
            <w:vAlign w:val="bottom"/>
            <w:hideMark/>
          </w:tcPr>
          <w:p w14:paraId="3939136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w:t>
            </w:r>
          </w:p>
        </w:tc>
        <w:tc>
          <w:tcPr>
            <w:tcW w:w="426" w:type="dxa"/>
            <w:tcBorders>
              <w:top w:val="nil"/>
              <w:left w:val="nil"/>
              <w:bottom w:val="double" w:sz="6" w:space="0" w:color="1F4E78"/>
              <w:right w:val="double" w:sz="6" w:space="0" w:color="1F4E78"/>
            </w:tcBorders>
            <w:shd w:val="clear" w:color="auto" w:fill="auto"/>
            <w:noWrap/>
            <w:vAlign w:val="bottom"/>
            <w:hideMark/>
          </w:tcPr>
          <w:p w14:paraId="5DAAD8C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bottom"/>
            <w:hideMark/>
          </w:tcPr>
          <w:p w14:paraId="7E4AE2C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504</w:t>
            </w:r>
          </w:p>
        </w:tc>
      </w:tr>
      <w:tr w:rsidR="00F66964" w:rsidRPr="005149C4" w14:paraId="7F209E50"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7806550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I Circuito Judicial de la Zona Sur</w:t>
            </w:r>
          </w:p>
        </w:tc>
        <w:tc>
          <w:tcPr>
            <w:tcW w:w="992" w:type="dxa"/>
            <w:tcBorders>
              <w:top w:val="nil"/>
              <w:left w:val="nil"/>
              <w:bottom w:val="double" w:sz="6" w:space="0" w:color="1F4E78"/>
              <w:right w:val="double" w:sz="6" w:space="0" w:color="1F4E78"/>
            </w:tcBorders>
            <w:shd w:val="clear" w:color="auto" w:fill="auto"/>
            <w:noWrap/>
            <w:vAlign w:val="bottom"/>
            <w:hideMark/>
          </w:tcPr>
          <w:p w14:paraId="25FA0F3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1223</w:t>
            </w:r>
          </w:p>
        </w:tc>
        <w:tc>
          <w:tcPr>
            <w:tcW w:w="567" w:type="dxa"/>
            <w:tcBorders>
              <w:top w:val="nil"/>
              <w:left w:val="nil"/>
              <w:bottom w:val="double" w:sz="6" w:space="0" w:color="1F4E78"/>
              <w:right w:val="double" w:sz="6" w:space="0" w:color="1F4E78"/>
            </w:tcBorders>
            <w:shd w:val="clear" w:color="auto" w:fill="auto"/>
            <w:noWrap/>
            <w:vAlign w:val="bottom"/>
            <w:hideMark/>
          </w:tcPr>
          <w:p w14:paraId="0525B6A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94%</w:t>
            </w:r>
          </w:p>
        </w:tc>
        <w:tc>
          <w:tcPr>
            <w:tcW w:w="850" w:type="dxa"/>
            <w:tcBorders>
              <w:top w:val="nil"/>
              <w:left w:val="nil"/>
              <w:bottom w:val="double" w:sz="6" w:space="0" w:color="1F4E78"/>
              <w:right w:val="double" w:sz="6" w:space="0" w:color="1F4E78"/>
            </w:tcBorders>
            <w:shd w:val="clear" w:color="auto" w:fill="auto"/>
            <w:noWrap/>
            <w:vAlign w:val="bottom"/>
            <w:hideMark/>
          </w:tcPr>
          <w:p w14:paraId="12DBDA3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w:t>
            </w:r>
          </w:p>
        </w:tc>
        <w:tc>
          <w:tcPr>
            <w:tcW w:w="426" w:type="dxa"/>
            <w:tcBorders>
              <w:top w:val="nil"/>
              <w:left w:val="nil"/>
              <w:bottom w:val="double" w:sz="6" w:space="0" w:color="1F4E78"/>
              <w:right w:val="double" w:sz="6" w:space="0" w:color="1F4E78"/>
            </w:tcBorders>
            <w:shd w:val="clear" w:color="auto" w:fill="auto"/>
            <w:noWrap/>
            <w:vAlign w:val="bottom"/>
            <w:hideMark/>
          </w:tcPr>
          <w:p w14:paraId="174F2B6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bottom"/>
            <w:hideMark/>
          </w:tcPr>
          <w:p w14:paraId="5340C37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bottom"/>
            <w:hideMark/>
          </w:tcPr>
          <w:p w14:paraId="76979D2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31748A6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68</w:t>
            </w:r>
          </w:p>
        </w:tc>
        <w:tc>
          <w:tcPr>
            <w:tcW w:w="567" w:type="dxa"/>
            <w:tcBorders>
              <w:top w:val="nil"/>
              <w:left w:val="nil"/>
              <w:bottom w:val="double" w:sz="6" w:space="0" w:color="1F4E78"/>
              <w:right w:val="double" w:sz="6" w:space="0" w:color="1F4E78"/>
            </w:tcBorders>
            <w:shd w:val="clear" w:color="auto" w:fill="auto"/>
            <w:noWrap/>
            <w:vAlign w:val="bottom"/>
            <w:hideMark/>
          </w:tcPr>
          <w:p w14:paraId="5EED817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w:t>
            </w:r>
          </w:p>
        </w:tc>
        <w:tc>
          <w:tcPr>
            <w:tcW w:w="992" w:type="dxa"/>
            <w:tcBorders>
              <w:top w:val="nil"/>
              <w:left w:val="nil"/>
              <w:bottom w:val="double" w:sz="6" w:space="0" w:color="1F4E78"/>
              <w:right w:val="double" w:sz="6" w:space="0" w:color="1F4E78"/>
            </w:tcBorders>
            <w:shd w:val="clear" w:color="auto" w:fill="auto"/>
            <w:noWrap/>
            <w:vAlign w:val="bottom"/>
            <w:hideMark/>
          </w:tcPr>
          <w:p w14:paraId="588D282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4</w:t>
            </w:r>
          </w:p>
        </w:tc>
        <w:tc>
          <w:tcPr>
            <w:tcW w:w="426" w:type="dxa"/>
            <w:tcBorders>
              <w:top w:val="nil"/>
              <w:left w:val="nil"/>
              <w:bottom w:val="double" w:sz="6" w:space="0" w:color="1F4E78"/>
              <w:right w:val="double" w:sz="6" w:space="0" w:color="1F4E78"/>
            </w:tcBorders>
            <w:shd w:val="clear" w:color="auto" w:fill="auto"/>
            <w:noWrap/>
            <w:vAlign w:val="bottom"/>
            <w:hideMark/>
          </w:tcPr>
          <w:p w14:paraId="3A49F2D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41F56B4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1304</w:t>
            </w:r>
          </w:p>
        </w:tc>
      </w:tr>
      <w:tr w:rsidR="00F66964" w:rsidRPr="005149C4" w14:paraId="476C5236"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21664D0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I Circuito Judicial de la Zona Atlántica</w:t>
            </w:r>
          </w:p>
        </w:tc>
        <w:tc>
          <w:tcPr>
            <w:tcW w:w="992" w:type="dxa"/>
            <w:tcBorders>
              <w:top w:val="nil"/>
              <w:left w:val="nil"/>
              <w:bottom w:val="double" w:sz="6" w:space="0" w:color="1F4E78"/>
              <w:right w:val="double" w:sz="6" w:space="0" w:color="1F4E78"/>
            </w:tcBorders>
            <w:shd w:val="clear" w:color="auto" w:fill="auto"/>
            <w:noWrap/>
            <w:vAlign w:val="bottom"/>
            <w:hideMark/>
          </w:tcPr>
          <w:p w14:paraId="6CA53FE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28</w:t>
            </w:r>
          </w:p>
        </w:tc>
        <w:tc>
          <w:tcPr>
            <w:tcW w:w="567" w:type="dxa"/>
            <w:tcBorders>
              <w:top w:val="nil"/>
              <w:left w:val="nil"/>
              <w:bottom w:val="double" w:sz="6" w:space="0" w:color="1F4E78"/>
              <w:right w:val="double" w:sz="6" w:space="0" w:color="1F4E78"/>
            </w:tcBorders>
            <w:shd w:val="clear" w:color="auto" w:fill="auto"/>
            <w:noWrap/>
            <w:vAlign w:val="bottom"/>
            <w:hideMark/>
          </w:tcPr>
          <w:p w14:paraId="1A92977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67%</w:t>
            </w:r>
          </w:p>
        </w:tc>
        <w:tc>
          <w:tcPr>
            <w:tcW w:w="850" w:type="dxa"/>
            <w:tcBorders>
              <w:top w:val="nil"/>
              <w:left w:val="nil"/>
              <w:bottom w:val="double" w:sz="6" w:space="0" w:color="1F4E78"/>
              <w:right w:val="double" w:sz="6" w:space="0" w:color="1F4E78"/>
            </w:tcBorders>
            <w:shd w:val="clear" w:color="auto" w:fill="auto"/>
            <w:noWrap/>
            <w:vAlign w:val="bottom"/>
            <w:hideMark/>
          </w:tcPr>
          <w:p w14:paraId="04CA13A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w:t>
            </w:r>
          </w:p>
        </w:tc>
        <w:tc>
          <w:tcPr>
            <w:tcW w:w="426" w:type="dxa"/>
            <w:tcBorders>
              <w:top w:val="nil"/>
              <w:left w:val="nil"/>
              <w:bottom w:val="double" w:sz="6" w:space="0" w:color="1F4E78"/>
              <w:right w:val="double" w:sz="6" w:space="0" w:color="1F4E78"/>
            </w:tcBorders>
            <w:shd w:val="clear" w:color="auto" w:fill="auto"/>
            <w:noWrap/>
            <w:vAlign w:val="bottom"/>
            <w:hideMark/>
          </w:tcPr>
          <w:p w14:paraId="576038C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7%</w:t>
            </w:r>
          </w:p>
        </w:tc>
        <w:tc>
          <w:tcPr>
            <w:tcW w:w="567" w:type="dxa"/>
            <w:tcBorders>
              <w:top w:val="nil"/>
              <w:left w:val="nil"/>
              <w:bottom w:val="double" w:sz="6" w:space="0" w:color="1F4E78"/>
              <w:right w:val="double" w:sz="6" w:space="0" w:color="1F4E78"/>
            </w:tcBorders>
            <w:shd w:val="clear" w:color="auto" w:fill="auto"/>
            <w:noWrap/>
            <w:vAlign w:val="bottom"/>
            <w:hideMark/>
          </w:tcPr>
          <w:p w14:paraId="216EAE4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bottom"/>
            <w:hideMark/>
          </w:tcPr>
          <w:p w14:paraId="2E20323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2433DED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10</w:t>
            </w:r>
          </w:p>
        </w:tc>
        <w:tc>
          <w:tcPr>
            <w:tcW w:w="567" w:type="dxa"/>
            <w:tcBorders>
              <w:top w:val="nil"/>
              <w:left w:val="nil"/>
              <w:bottom w:val="double" w:sz="6" w:space="0" w:color="1F4E78"/>
              <w:right w:val="double" w:sz="6" w:space="0" w:color="1F4E78"/>
            </w:tcBorders>
            <w:shd w:val="clear" w:color="auto" w:fill="auto"/>
            <w:noWrap/>
            <w:vAlign w:val="bottom"/>
            <w:hideMark/>
          </w:tcPr>
          <w:p w14:paraId="74F9D7E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24%</w:t>
            </w:r>
          </w:p>
        </w:tc>
        <w:tc>
          <w:tcPr>
            <w:tcW w:w="992" w:type="dxa"/>
            <w:tcBorders>
              <w:top w:val="nil"/>
              <w:left w:val="nil"/>
              <w:bottom w:val="double" w:sz="6" w:space="0" w:color="1F4E78"/>
              <w:right w:val="double" w:sz="6" w:space="0" w:color="1F4E78"/>
            </w:tcBorders>
            <w:shd w:val="clear" w:color="auto" w:fill="auto"/>
            <w:noWrap/>
            <w:vAlign w:val="bottom"/>
            <w:hideMark/>
          </w:tcPr>
          <w:p w14:paraId="2FDC3F9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bottom"/>
            <w:hideMark/>
          </w:tcPr>
          <w:p w14:paraId="2F803DC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bottom"/>
            <w:hideMark/>
          </w:tcPr>
          <w:p w14:paraId="65CEBE6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42</w:t>
            </w:r>
          </w:p>
        </w:tc>
      </w:tr>
      <w:tr w:rsidR="00F66964" w:rsidRPr="005149C4" w14:paraId="17A25178"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219AA9B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II Circuito Judicial de la Zona Atlántica</w:t>
            </w:r>
          </w:p>
        </w:tc>
        <w:tc>
          <w:tcPr>
            <w:tcW w:w="992" w:type="dxa"/>
            <w:tcBorders>
              <w:top w:val="nil"/>
              <w:left w:val="nil"/>
              <w:bottom w:val="double" w:sz="6" w:space="0" w:color="1F4E78"/>
              <w:right w:val="double" w:sz="6" w:space="0" w:color="1F4E78"/>
            </w:tcBorders>
            <w:shd w:val="clear" w:color="auto" w:fill="auto"/>
            <w:noWrap/>
            <w:vAlign w:val="bottom"/>
            <w:hideMark/>
          </w:tcPr>
          <w:p w14:paraId="456D07D3"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1640</w:t>
            </w:r>
          </w:p>
        </w:tc>
        <w:tc>
          <w:tcPr>
            <w:tcW w:w="567" w:type="dxa"/>
            <w:tcBorders>
              <w:top w:val="nil"/>
              <w:left w:val="nil"/>
              <w:bottom w:val="double" w:sz="6" w:space="0" w:color="1F4E78"/>
              <w:right w:val="double" w:sz="6" w:space="0" w:color="1F4E78"/>
            </w:tcBorders>
            <w:shd w:val="clear" w:color="auto" w:fill="auto"/>
            <w:noWrap/>
            <w:vAlign w:val="bottom"/>
            <w:hideMark/>
          </w:tcPr>
          <w:p w14:paraId="02D214A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91%</w:t>
            </w:r>
          </w:p>
        </w:tc>
        <w:tc>
          <w:tcPr>
            <w:tcW w:w="850" w:type="dxa"/>
            <w:tcBorders>
              <w:top w:val="nil"/>
              <w:left w:val="nil"/>
              <w:bottom w:val="double" w:sz="6" w:space="0" w:color="1F4E78"/>
              <w:right w:val="double" w:sz="6" w:space="0" w:color="1F4E78"/>
            </w:tcBorders>
            <w:shd w:val="clear" w:color="auto" w:fill="auto"/>
            <w:noWrap/>
            <w:vAlign w:val="bottom"/>
            <w:hideMark/>
          </w:tcPr>
          <w:p w14:paraId="506F0CD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94</w:t>
            </w:r>
          </w:p>
        </w:tc>
        <w:tc>
          <w:tcPr>
            <w:tcW w:w="426" w:type="dxa"/>
            <w:tcBorders>
              <w:top w:val="nil"/>
              <w:left w:val="nil"/>
              <w:bottom w:val="double" w:sz="6" w:space="0" w:color="1F4E78"/>
              <w:right w:val="double" w:sz="6" w:space="0" w:color="1F4E78"/>
            </w:tcBorders>
            <w:shd w:val="clear" w:color="auto" w:fill="auto"/>
            <w:noWrap/>
            <w:vAlign w:val="bottom"/>
            <w:hideMark/>
          </w:tcPr>
          <w:p w14:paraId="4F4C09C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bottom"/>
            <w:hideMark/>
          </w:tcPr>
          <w:p w14:paraId="331F928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w:t>
            </w:r>
          </w:p>
        </w:tc>
        <w:tc>
          <w:tcPr>
            <w:tcW w:w="425" w:type="dxa"/>
            <w:tcBorders>
              <w:top w:val="nil"/>
              <w:left w:val="nil"/>
              <w:bottom w:val="double" w:sz="6" w:space="0" w:color="1F4E78"/>
              <w:right w:val="double" w:sz="6" w:space="0" w:color="1F4E78"/>
            </w:tcBorders>
            <w:shd w:val="clear" w:color="auto" w:fill="auto"/>
            <w:noWrap/>
            <w:vAlign w:val="bottom"/>
            <w:hideMark/>
          </w:tcPr>
          <w:p w14:paraId="5D43FA5C"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13E88EA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54</w:t>
            </w:r>
          </w:p>
        </w:tc>
        <w:tc>
          <w:tcPr>
            <w:tcW w:w="567" w:type="dxa"/>
            <w:tcBorders>
              <w:top w:val="nil"/>
              <w:left w:val="nil"/>
              <w:bottom w:val="double" w:sz="6" w:space="0" w:color="1F4E78"/>
              <w:right w:val="double" w:sz="6" w:space="0" w:color="1F4E78"/>
            </w:tcBorders>
            <w:shd w:val="clear" w:color="auto" w:fill="auto"/>
            <w:noWrap/>
            <w:vAlign w:val="bottom"/>
            <w:hideMark/>
          </w:tcPr>
          <w:p w14:paraId="5BB5D12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w:t>
            </w:r>
          </w:p>
        </w:tc>
        <w:tc>
          <w:tcPr>
            <w:tcW w:w="992" w:type="dxa"/>
            <w:tcBorders>
              <w:top w:val="nil"/>
              <w:left w:val="nil"/>
              <w:bottom w:val="double" w:sz="6" w:space="0" w:color="1F4E78"/>
              <w:right w:val="double" w:sz="6" w:space="0" w:color="1F4E78"/>
            </w:tcBorders>
            <w:shd w:val="clear" w:color="auto" w:fill="auto"/>
            <w:noWrap/>
            <w:vAlign w:val="bottom"/>
            <w:hideMark/>
          </w:tcPr>
          <w:p w14:paraId="69264E69"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bottom"/>
            <w:hideMark/>
          </w:tcPr>
          <w:p w14:paraId="7D9B12A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4127317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1798</w:t>
            </w:r>
          </w:p>
        </w:tc>
      </w:tr>
      <w:tr w:rsidR="00F66964" w:rsidRPr="005149C4" w14:paraId="670C3C13"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491C1FE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I Circuito Judicial de Guanacaste</w:t>
            </w:r>
          </w:p>
        </w:tc>
        <w:tc>
          <w:tcPr>
            <w:tcW w:w="992" w:type="dxa"/>
            <w:tcBorders>
              <w:top w:val="nil"/>
              <w:left w:val="nil"/>
              <w:bottom w:val="double" w:sz="6" w:space="0" w:color="1F4E78"/>
              <w:right w:val="double" w:sz="6" w:space="0" w:color="1F4E78"/>
            </w:tcBorders>
            <w:shd w:val="clear" w:color="auto" w:fill="auto"/>
            <w:noWrap/>
            <w:vAlign w:val="bottom"/>
            <w:hideMark/>
          </w:tcPr>
          <w:p w14:paraId="5700499D"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818</w:t>
            </w:r>
          </w:p>
        </w:tc>
        <w:tc>
          <w:tcPr>
            <w:tcW w:w="567" w:type="dxa"/>
            <w:tcBorders>
              <w:top w:val="nil"/>
              <w:left w:val="nil"/>
              <w:bottom w:val="double" w:sz="6" w:space="0" w:color="1F4E78"/>
              <w:right w:val="double" w:sz="6" w:space="0" w:color="1F4E78"/>
            </w:tcBorders>
            <w:shd w:val="clear" w:color="auto" w:fill="auto"/>
            <w:noWrap/>
            <w:vAlign w:val="bottom"/>
            <w:hideMark/>
          </w:tcPr>
          <w:p w14:paraId="4114F96E"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93%</w:t>
            </w:r>
          </w:p>
        </w:tc>
        <w:tc>
          <w:tcPr>
            <w:tcW w:w="850" w:type="dxa"/>
            <w:tcBorders>
              <w:top w:val="nil"/>
              <w:left w:val="nil"/>
              <w:bottom w:val="double" w:sz="6" w:space="0" w:color="1F4E78"/>
              <w:right w:val="double" w:sz="6" w:space="0" w:color="1F4E78"/>
            </w:tcBorders>
            <w:shd w:val="clear" w:color="auto" w:fill="auto"/>
            <w:noWrap/>
            <w:vAlign w:val="bottom"/>
            <w:hideMark/>
          </w:tcPr>
          <w:p w14:paraId="5CB1D24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14</w:t>
            </w:r>
          </w:p>
        </w:tc>
        <w:tc>
          <w:tcPr>
            <w:tcW w:w="426" w:type="dxa"/>
            <w:tcBorders>
              <w:top w:val="nil"/>
              <w:left w:val="nil"/>
              <w:bottom w:val="double" w:sz="6" w:space="0" w:color="1F4E78"/>
              <w:right w:val="double" w:sz="6" w:space="0" w:color="1F4E78"/>
            </w:tcBorders>
            <w:shd w:val="clear" w:color="auto" w:fill="auto"/>
            <w:noWrap/>
            <w:vAlign w:val="bottom"/>
            <w:hideMark/>
          </w:tcPr>
          <w:p w14:paraId="2CDD5F37"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bottom"/>
            <w:hideMark/>
          </w:tcPr>
          <w:p w14:paraId="439A7DE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bottom"/>
            <w:hideMark/>
          </w:tcPr>
          <w:p w14:paraId="18DCADE2"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65077BF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45</w:t>
            </w:r>
          </w:p>
        </w:tc>
        <w:tc>
          <w:tcPr>
            <w:tcW w:w="567" w:type="dxa"/>
            <w:tcBorders>
              <w:top w:val="nil"/>
              <w:left w:val="nil"/>
              <w:bottom w:val="double" w:sz="6" w:space="0" w:color="1F4E78"/>
              <w:right w:val="double" w:sz="6" w:space="0" w:color="1F4E78"/>
            </w:tcBorders>
            <w:shd w:val="clear" w:color="auto" w:fill="auto"/>
            <w:noWrap/>
            <w:vAlign w:val="bottom"/>
            <w:hideMark/>
          </w:tcPr>
          <w:p w14:paraId="6B2B636E"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5%</w:t>
            </w:r>
          </w:p>
        </w:tc>
        <w:tc>
          <w:tcPr>
            <w:tcW w:w="992" w:type="dxa"/>
            <w:tcBorders>
              <w:top w:val="nil"/>
              <w:left w:val="nil"/>
              <w:bottom w:val="double" w:sz="6" w:space="0" w:color="1F4E78"/>
              <w:right w:val="double" w:sz="6" w:space="0" w:color="1F4E78"/>
            </w:tcBorders>
            <w:shd w:val="clear" w:color="auto" w:fill="auto"/>
            <w:noWrap/>
            <w:vAlign w:val="bottom"/>
            <w:hideMark/>
          </w:tcPr>
          <w:p w14:paraId="7A9275B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bottom"/>
            <w:hideMark/>
          </w:tcPr>
          <w:p w14:paraId="5FBA9F9B"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1589EB15"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878</w:t>
            </w:r>
          </w:p>
        </w:tc>
      </w:tr>
      <w:tr w:rsidR="00F66964" w:rsidRPr="005149C4" w14:paraId="0AA65B55" w14:textId="77777777" w:rsidTr="00F66964">
        <w:trPr>
          <w:trHeight w:val="360"/>
        </w:trPr>
        <w:tc>
          <w:tcPr>
            <w:tcW w:w="2269" w:type="dxa"/>
            <w:tcBorders>
              <w:top w:val="nil"/>
              <w:left w:val="double" w:sz="6" w:space="0" w:color="1F4E78"/>
              <w:bottom w:val="double" w:sz="6" w:space="0" w:color="1F4E78"/>
              <w:right w:val="double" w:sz="6" w:space="0" w:color="1F4E78"/>
            </w:tcBorders>
            <w:shd w:val="clear" w:color="auto" w:fill="auto"/>
            <w:noWrap/>
            <w:vAlign w:val="bottom"/>
            <w:hideMark/>
          </w:tcPr>
          <w:p w14:paraId="5B698EA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Corredores</w:t>
            </w:r>
          </w:p>
        </w:tc>
        <w:tc>
          <w:tcPr>
            <w:tcW w:w="992" w:type="dxa"/>
            <w:tcBorders>
              <w:top w:val="nil"/>
              <w:left w:val="nil"/>
              <w:bottom w:val="double" w:sz="6" w:space="0" w:color="1F4E78"/>
              <w:right w:val="double" w:sz="6" w:space="0" w:color="1F4E78"/>
            </w:tcBorders>
            <w:shd w:val="clear" w:color="auto" w:fill="auto"/>
            <w:noWrap/>
            <w:vAlign w:val="bottom"/>
            <w:hideMark/>
          </w:tcPr>
          <w:p w14:paraId="7B91754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773</w:t>
            </w:r>
          </w:p>
        </w:tc>
        <w:tc>
          <w:tcPr>
            <w:tcW w:w="567" w:type="dxa"/>
            <w:tcBorders>
              <w:top w:val="nil"/>
              <w:left w:val="nil"/>
              <w:bottom w:val="double" w:sz="6" w:space="0" w:color="1F4E78"/>
              <w:right w:val="double" w:sz="6" w:space="0" w:color="1F4E78"/>
            </w:tcBorders>
            <w:shd w:val="clear" w:color="auto" w:fill="auto"/>
            <w:noWrap/>
            <w:vAlign w:val="bottom"/>
            <w:hideMark/>
          </w:tcPr>
          <w:p w14:paraId="164D06E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81%</w:t>
            </w:r>
          </w:p>
        </w:tc>
        <w:tc>
          <w:tcPr>
            <w:tcW w:w="850" w:type="dxa"/>
            <w:tcBorders>
              <w:top w:val="nil"/>
              <w:left w:val="nil"/>
              <w:bottom w:val="double" w:sz="6" w:space="0" w:color="1F4E78"/>
              <w:right w:val="double" w:sz="6" w:space="0" w:color="1F4E78"/>
            </w:tcBorders>
            <w:shd w:val="clear" w:color="auto" w:fill="auto"/>
            <w:noWrap/>
            <w:vAlign w:val="bottom"/>
            <w:hideMark/>
          </w:tcPr>
          <w:p w14:paraId="240D9060"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14</w:t>
            </w:r>
          </w:p>
        </w:tc>
        <w:tc>
          <w:tcPr>
            <w:tcW w:w="426" w:type="dxa"/>
            <w:tcBorders>
              <w:top w:val="nil"/>
              <w:left w:val="nil"/>
              <w:bottom w:val="double" w:sz="6" w:space="0" w:color="1F4E78"/>
              <w:right w:val="double" w:sz="6" w:space="0" w:color="1F4E78"/>
            </w:tcBorders>
            <w:shd w:val="clear" w:color="auto" w:fill="auto"/>
            <w:noWrap/>
            <w:vAlign w:val="bottom"/>
            <w:hideMark/>
          </w:tcPr>
          <w:p w14:paraId="376873E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bottom"/>
            <w:hideMark/>
          </w:tcPr>
          <w:p w14:paraId="3D33A4F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3</w:t>
            </w:r>
          </w:p>
        </w:tc>
        <w:tc>
          <w:tcPr>
            <w:tcW w:w="425" w:type="dxa"/>
            <w:tcBorders>
              <w:top w:val="nil"/>
              <w:left w:val="nil"/>
              <w:bottom w:val="double" w:sz="6" w:space="0" w:color="1F4E78"/>
              <w:right w:val="double" w:sz="6" w:space="0" w:color="1F4E78"/>
            </w:tcBorders>
            <w:shd w:val="clear" w:color="auto" w:fill="auto"/>
            <w:noWrap/>
            <w:vAlign w:val="bottom"/>
            <w:hideMark/>
          </w:tcPr>
          <w:p w14:paraId="014C39C1"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992" w:type="dxa"/>
            <w:tcBorders>
              <w:top w:val="nil"/>
              <w:left w:val="nil"/>
              <w:bottom w:val="double" w:sz="6" w:space="0" w:color="1F4E78"/>
              <w:right w:val="double" w:sz="6" w:space="0" w:color="1F4E78"/>
            </w:tcBorders>
            <w:shd w:val="clear" w:color="auto" w:fill="auto"/>
            <w:noWrap/>
            <w:vAlign w:val="bottom"/>
            <w:hideMark/>
          </w:tcPr>
          <w:p w14:paraId="6450400F"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166</w:t>
            </w:r>
          </w:p>
        </w:tc>
        <w:tc>
          <w:tcPr>
            <w:tcW w:w="567" w:type="dxa"/>
            <w:tcBorders>
              <w:top w:val="nil"/>
              <w:left w:val="nil"/>
              <w:bottom w:val="double" w:sz="6" w:space="0" w:color="1F4E78"/>
              <w:right w:val="double" w:sz="6" w:space="0" w:color="1F4E78"/>
            </w:tcBorders>
            <w:shd w:val="clear" w:color="auto" w:fill="auto"/>
            <w:noWrap/>
            <w:vAlign w:val="bottom"/>
            <w:hideMark/>
          </w:tcPr>
          <w:p w14:paraId="75B659F6"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17%</w:t>
            </w:r>
          </w:p>
        </w:tc>
        <w:tc>
          <w:tcPr>
            <w:tcW w:w="992" w:type="dxa"/>
            <w:tcBorders>
              <w:top w:val="nil"/>
              <w:left w:val="nil"/>
              <w:bottom w:val="double" w:sz="6" w:space="0" w:color="1F4E78"/>
              <w:right w:val="double" w:sz="6" w:space="0" w:color="1F4E78"/>
            </w:tcBorders>
            <w:shd w:val="clear" w:color="auto" w:fill="auto"/>
            <w:noWrap/>
            <w:vAlign w:val="bottom"/>
            <w:hideMark/>
          </w:tcPr>
          <w:p w14:paraId="6FA627DA"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bottom"/>
            <w:hideMark/>
          </w:tcPr>
          <w:p w14:paraId="5453CF34"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bottom"/>
            <w:hideMark/>
          </w:tcPr>
          <w:p w14:paraId="2E40E538" w14:textId="77777777" w:rsidR="00F66964" w:rsidRPr="00F66964" w:rsidRDefault="00F66964" w:rsidP="00F66964">
            <w:pPr>
              <w:spacing w:before="0" w:after="0" w:line="240" w:lineRule="auto"/>
              <w:jc w:val="center"/>
              <w:rPr>
                <w:rFonts w:eastAsia="Times New Roman" w:cs="Calibri"/>
                <w:color w:val="000000"/>
                <w:sz w:val="18"/>
                <w:szCs w:val="18"/>
                <w:lang w:eastAsia="es-CR"/>
              </w:rPr>
            </w:pPr>
            <w:r w:rsidRPr="00F66964">
              <w:rPr>
                <w:rFonts w:eastAsia="Times New Roman" w:cs="Calibri"/>
                <w:color w:val="000000"/>
                <w:sz w:val="18"/>
                <w:szCs w:val="18"/>
                <w:lang w:eastAsia="es-CR"/>
              </w:rPr>
              <w:t>956</w:t>
            </w:r>
          </w:p>
        </w:tc>
      </w:tr>
    </w:tbl>
    <w:p w14:paraId="49D8EE9E" w14:textId="5CDD37FE" w:rsidR="00E17786" w:rsidRPr="005149C4" w:rsidRDefault="00E17786" w:rsidP="00E17786">
      <w:pPr>
        <w:ind w:right="49"/>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482198"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w:t>
      </w:r>
      <w:r w:rsidR="00482198" w:rsidRPr="005149C4">
        <w:rPr>
          <w:rFonts w:cs="Calibri"/>
          <w:bCs/>
          <w:color w:val="000000"/>
          <w:sz w:val="20"/>
          <w:szCs w:val="20"/>
          <w:lang w:eastAsia="es-CR"/>
        </w:rPr>
        <w:t>, año 202</w:t>
      </w:r>
      <w:r w:rsidR="00F66964" w:rsidRPr="005149C4">
        <w:rPr>
          <w:rFonts w:cs="Calibri"/>
          <w:bCs/>
          <w:color w:val="000000"/>
          <w:sz w:val="20"/>
          <w:szCs w:val="20"/>
          <w:lang w:eastAsia="es-CR"/>
        </w:rPr>
        <w:t>2</w:t>
      </w:r>
      <w:r w:rsidRPr="005149C4">
        <w:rPr>
          <w:rFonts w:cs="Calibri"/>
          <w:bCs/>
          <w:color w:val="000000"/>
          <w:sz w:val="20"/>
          <w:szCs w:val="20"/>
          <w:lang w:eastAsia="es-CR"/>
        </w:rPr>
        <w:t>.</w:t>
      </w:r>
    </w:p>
    <w:p w14:paraId="76E452F0" w14:textId="5E9E51D4" w:rsidR="00BC4E9A" w:rsidRPr="005149C4" w:rsidRDefault="00421A4E" w:rsidP="003B3763">
      <w:pPr>
        <w:tabs>
          <w:tab w:val="left" w:pos="586"/>
        </w:tabs>
        <w:ind w:right="49"/>
      </w:pPr>
      <w:r w:rsidRPr="005149C4">
        <w:t xml:space="preserve">En el caso de las entrevistas, </w:t>
      </w:r>
      <w:r w:rsidR="00B1735F" w:rsidRPr="005149C4">
        <w:t xml:space="preserve">se tiene un porcentaje promedio </w:t>
      </w:r>
      <w:r w:rsidR="00716406" w:rsidRPr="005149C4">
        <w:t xml:space="preserve">de realización del </w:t>
      </w:r>
      <w:r w:rsidR="00F66964" w:rsidRPr="005149C4">
        <w:t>84</w:t>
      </w:r>
      <w:r w:rsidR="00716406" w:rsidRPr="005149C4">
        <w:t>%</w:t>
      </w:r>
      <w:r w:rsidR="003B3763" w:rsidRPr="005149C4">
        <w:t xml:space="preserve">; </w:t>
      </w:r>
      <w:r w:rsidR="00AD6FDF" w:rsidRPr="005149C4">
        <w:t xml:space="preserve">y en este caso se cuenta con </w:t>
      </w:r>
      <w:r w:rsidR="00F66964" w:rsidRPr="005149C4">
        <w:t>cuatro</w:t>
      </w:r>
      <w:r w:rsidR="00AD6FDF" w:rsidRPr="005149C4">
        <w:t xml:space="preserve"> </w:t>
      </w:r>
      <w:r w:rsidR="00BE0268" w:rsidRPr="005149C4">
        <w:t>C</w:t>
      </w:r>
      <w:r w:rsidR="00AD6FDF" w:rsidRPr="005149C4">
        <w:t xml:space="preserve">ircuitos </w:t>
      </w:r>
      <w:r w:rsidR="00BE0268" w:rsidRPr="005149C4">
        <w:t>J</w:t>
      </w:r>
      <w:r w:rsidR="00AD6FDF" w:rsidRPr="005149C4">
        <w:t xml:space="preserve">udiciales por debajo de este valor promedio, siendo estos </w:t>
      </w:r>
      <w:r w:rsidR="006F03A0" w:rsidRPr="005149C4">
        <w:t xml:space="preserve">el III Circuito Judicial de San José, </w:t>
      </w:r>
      <w:r w:rsidR="00F66964" w:rsidRPr="005149C4">
        <w:t>Alajuela</w:t>
      </w:r>
      <w:r w:rsidR="006F03A0" w:rsidRPr="005149C4">
        <w:t xml:space="preserve"> y </w:t>
      </w:r>
      <w:r w:rsidR="00F66964" w:rsidRPr="005149C4">
        <w:t>San Ramón</w:t>
      </w:r>
      <w:r w:rsidR="00245952" w:rsidRPr="005149C4">
        <w:t xml:space="preserve">. Por otra parte, se cuenta con </w:t>
      </w:r>
      <w:r w:rsidR="00F66964" w:rsidRPr="005149C4">
        <w:t>siete</w:t>
      </w:r>
      <w:r w:rsidR="00E57F2B" w:rsidRPr="005149C4">
        <w:t xml:space="preserve"> (58%) Circuitos</w:t>
      </w:r>
      <w:r w:rsidR="00BE0268" w:rsidRPr="005149C4">
        <w:t xml:space="preserve"> Judiciales</w:t>
      </w:r>
      <w:r w:rsidR="000937D8" w:rsidRPr="005149C4">
        <w:t xml:space="preserve"> que se mantienen por encima del valor promedio, que corresponden al II Circuito Judicial de San José</w:t>
      </w:r>
      <w:r w:rsidR="00635FC3" w:rsidRPr="005149C4">
        <w:t>,</w:t>
      </w:r>
      <w:r w:rsidR="009A6BD3" w:rsidRPr="005149C4">
        <w:t xml:space="preserve"> Heredia,</w:t>
      </w:r>
      <w:r w:rsidR="00F66964" w:rsidRPr="005149C4">
        <w:t xml:space="preserve"> Cartago, Puntarenas, </w:t>
      </w:r>
      <w:r w:rsidR="00045A76" w:rsidRPr="005149C4">
        <w:t>I Circuito Judicial de la Zona Sur</w:t>
      </w:r>
      <w:r w:rsidR="00F66964" w:rsidRPr="005149C4">
        <w:t>,</w:t>
      </w:r>
      <w:r w:rsidR="00045A76" w:rsidRPr="005149C4">
        <w:t xml:space="preserve"> II Circuito Judicial de la Zona Atlántica</w:t>
      </w:r>
      <w:r w:rsidR="00F66964" w:rsidRPr="005149C4">
        <w:t xml:space="preserve"> y I Circuito Judicial de Guanacaste.</w:t>
      </w:r>
    </w:p>
    <w:p w14:paraId="3B1ABFED" w14:textId="7D98465E" w:rsidR="00C818F0" w:rsidRPr="005149C4" w:rsidRDefault="00C818F0" w:rsidP="00351912">
      <w:pPr>
        <w:pStyle w:val="Ttulo3"/>
      </w:pPr>
      <w:r w:rsidRPr="005149C4">
        <w:t>Justicia Restaurativa Penal Juvenil</w:t>
      </w:r>
    </w:p>
    <w:p w14:paraId="0C41C79C" w14:textId="1C912D97" w:rsidR="00C818F0" w:rsidRPr="005149C4" w:rsidRDefault="00C818F0" w:rsidP="00C818F0">
      <w:pPr>
        <w:tabs>
          <w:tab w:val="left" w:pos="0"/>
        </w:tabs>
      </w:pPr>
      <w:r w:rsidRPr="005149C4">
        <w:t>En materia Penal Juvenil, a nivel nacional el Ministerio Público y Defensa Pública, ya tienen destacados, profesionales especializados para la atención de la materia y</w:t>
      </w:r>
      <w:r w:rsidRPr="005149C4" w:rsidDel="00233B8D">
        <w:t xml:space="preserve"> en </w:t>
      </w:r>
      <w:r w:rsidRPr="005149C4">
        <w:t xml:space="preserve">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 </w:t>
      </w:r>
    </w:p>
    <w:p w14:paraId="52935D59" w14:textId="77777777" w:rsidR="00C818F0" w:rsidRPr="005149C4" w:rsidRDefault="00C818F0" w:rsidP="00C818F0">
      <w:pPr>
        <w:tabs>
          <w:tab w:val="left" w:pos="0"/>
        </w:tabs>
      </w:pPr>
      <w:r w:rsidRPr="005149C4">
        <w:t xml:space="preserve">El procedimiento en materia Penal Juvenil, mantiene en esencia el proceso seguido en materia Penal de Adultos, con la excepción de que primero se obtiene el consentimiento informado por parte de la víctima y posteriormente el de la persona ofensora, además de que la Fiscalía por imperativo legal debe presentar la acusación ante el órgano jurisdiccional competente. </w:t>
      </w:r>
    </w:p>
    <w:p w14:paraId="7A710994" w14:textId="77777777" w:rsidR="00C818F0" w:rsidRPr="005149C4" w:rsidRDefault="00C818F0" w:rsidP="00C818F0">
      <w:pPr>
        <w:tabs>
          <w:tab w:val="left" w:pos="0"/>
        </w:tabs>
      </w:pPr>
      <w:r w:rsidRPr="005149C4">
        <w:t>Las estadísticas que se generan en Justicia Restaurativa para la materia de Penal Juvenil básicamente recopilan la información de las reuniones restaurativas, audiencias, seguimientos y Red de apoyo, esto a raíz de que los casos son abordados por parte de las plazas de Fiscala o Fiscal y Defensora o Defensor especializados en la materia Penal Juvenil, por lo que el expediente únicamente recibe un proceso diferente al ser remitido a Justicia Restaurativa y tener la atención psicosocial correspondiente.</w:t>
      </w:r>
    </w:p>
    <w:p w14:paraId="5D896255" w14:textId="6CD2FC2E" w:rsidR="00C818F0" w:rsidRPr="0035791A" w:rsidRDefault="00C818F0" w:rsidP="006E06EB">
      <w:pPr>
        <w:pStyle w:val="Ttulo4"/>
        <w:numPr>
          <w:ilvl w:val="1"/>
          <w:numId w:val="12"/>
        </w:numPr>
        <w:rPr>
          <w:color w:val="auto"/>
        </w:rPr>
      </w:pPr>
      <w:r w:rsidRPr="0035791A">
        <w:rPr>
          <w:color w:val="auto"/>
        </w:rPr>
        <w:t>Reuniones Restaurativas Justicia Penal Juvenil.</w:t>
      </w:r>
    </w:p>
    <w:p w14:paraId="7A8E428C" w14:textId="4DFD2B84" w:rsidR="00C818F0" w:rsidRPr="005149C4" w:rsidRDefault="00C818F0" w:rsidP="00C818F0">
      <w:r w:rsidRPr="005149C4">
        <w:t>A continuación, se presenta el detalle de las reuniones restaurativas, en materia de Justicia Penal Juvenil para el 202</w:t>
      </w:r>
      <w:r w:rsidR="00005767" w:rsidRPr="005149C4">
        <w:t>1</w:t>
      </w:r>
      <w:r w:rsidRPr="005149C4">
        <w:t xml:space="preserve">. Es importante aclarar que debido a que a la fecha de realización de este informe el </w:t>
      </w:r>
      <w:r w:rsidR="00005767" w:rsidRPr="005149C4">
        <w:t>Subproceso</w:t>
      </w:r>
      <w:r w:rsidRPr="005149C4">
        <w:t xml:space="preserve"> de Estadística no contaba con la información del año 202</w:t>
      </w:r>
      <w:r w:rsidR="00005767" w:rsidRPr="005149C4">
        <w:t>2, dado que los cuadros se encuentran en proceso de construcción.</w:t>
      </w:r>
      <w:r w:rsidRPr="005149C4">
        <w:t xml:space="preserve"> (Ver apéndice </w:t>
      </w:r>
      <w:r w:rsidR="004834EE" w:rsidRPr="005149C4">
        <w:t>5</w:t>
      </w:r>
      <w:r w:rsidRPr="005149C4">
        <w:t>):</w:t>
      </w:r>
    </w:p>
    <w:p w14:paraId="3E9BF5BD" w14:textId="66D9DC0D" w:rsidR="00C818F0" w:rsidRPr="005149C4" w:rsidRDefault="00C818F0" w:rsidP="00C818F0">
      <w:pPr>
        <w:tabs>
          <w:tab w:val="left" w:pos="0"/>
        </w:tabs>
        <w:jc w:val="center"/>
        <w:rPr>
          <w:b/>
          <w:bCs/>
          <w:sz w:val="20"/>
          <w:szCs w:val="20"/>
        </w:rPr>
      </w:pPr>
      <w:bookmarkStart w:id="22" w:name="_Ref31636350"/>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14</w:t>
      </w:r>
      <w:r w:rsidRPr="005149C4">
        <w:rPr>
          <w:b/>
          <w:bCs/>
          <w:sz w:val="20"/>
          <w:szCs w:val="20"/>
        </w:rPr>
        <w:fldChar w:fldCharType="end"/>
      </w:r>
      <w:bookmarkEnd w:id="22"/>
      <w:r w:rsidRPr="005149C4">
        <w:rPr>
          <w:b/>
          <w:bCs/>
          <w:sz w:val="20"/>
          <w:szCs w:val="20"/>
        </w:rPr>
        <w:t>. Reuniones Restaurativas en materia Penal Juvenil durante el 202</w:t>
      </w:r>
      <w:r w:rsidR="00901BA5" w:rsidRPr="005149C4">
        <w:rPr>
          <w:b/>
          <w:bCs/>
          <w:sz w:val="20"/>
          <w:szCs w:val="20"/>
        </w:rPr>
        <w:t>1</w:t>
      </w:r>
      <w:r w:rsidRPr="005149C4">
        <w:rPr>
          <w:b/>
          <w:bCs/>
          <w:sz w:val="20"/>
          <w:szCs w:val="20"/>
        </w:rPr>
        <w:t>.</w:t>
      </w:r>
    </w:p>
    <w:tbl>
      <w:tblPr>
        <w:tblW w:w="5000" w:type="pct"/>
        <w:tblCellMar>
          <w:left w:w="70" w:type="dxa"/>
          <w:right w:w="70" w:type="dxa"/>
        </w:tblCellMar>
        <w:tblLook w:val="04A0" w:firstRow="1" w:lastRow="0" w:firstColumn="1" w:lastColumn="0" w:noHBand="0" w:noVBand="1"/>
      </w:tblPr>
      <w:tblGrid>
        <w:gridCol w:w="3603"/>
        <w:gridCol w:w="1101"/>
        <w:gridCol w:w="1067"/>
        <w:gridCol w:w="1372"/>
        <w:gridCol w:w="1067"/>
        <w:gridCol w:w="605"/>
      </w:tblGrid>
      <w:tr w:rsidR="00D55C88" w:rsidRPr="00D55C88" w14:paraId="3CA04E93" w14:textId="77777777" w:rsidTr="005C0932">
        <w:trPr>
          <w:trHeight w:val="330"/>
        </w:trPr>
        <w:tc>
          <w:tcPr>
            <w:tcW w:w="2044" w:type="pct"/>
            <w:vMerge w:val="restart"/>
            <w:tcBorders>
              <w:top w:val="double" w:sz="6" w:space="0" w:color="002060"/>
              <w:left w:val="double" w:sz="6" w:space="0" w:color="002060"/>
              <w:bottom w:val="double" w:sz="6" w:space="0" w:color="002060"/>
              <w:right w:val="double" w:sz="6" w:space="0" w:color="002060"/>
            </w:tcBorders>
            <w:shd w:val="clear" w:color="000000" w:fill="365F91"/>
            <w:noWrap/>
            <w:vAlign w:val="center"/>
            <w:hideMark/>
          </w:tcPr>
          <w:p w14:paraId="4AA9DB15"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Circuito Judicial</w:t>
            </w:r>
          </w:p>
        </w:tc>
        <w:tc>
          <w:tcPr>
            <w:tcW w:w="2956" w:type="pct"/>
            <w:gridSpan w:val="5"/>
            <w:tcBorders>
              <w:top w:val="double" w:sz="6" w:space="0" w:color="002060"/>
              <w:left w:val="nil"/>
              <w:bottom w:val="double" w:sz="6" w:space="0" w:color="002060"/>
              <w:right w:val="nil"/>
            </w:tcBorders>
            <w:shd w:val="clear" w:color="000000" w:fill="365F91"/>
            <w:noWrap/>
            <w:vAlign w:val="center"/>
            <w:hideMark/>
          </w:tcPr>
          <w:p w14:paraId="71469A74"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2021</w:t>
            </w:r>
          </w:p>
        </w:tc>
      </w:tr>
      <w:tr w:rsidR="005C0932" w:rsidRPr="005149C4" w14:paraId="00D26C99" w14:textId="77777777" w:rsidTr="005C0932">
        <w:trPr>
          <w:trHeight w:val="330"/>
        </w:trPr>
        <w:tc>
          <w:tcPr>
            <w:tcW w:w="2044" w:type="pct"/>
            <w:vMerge/>
            <w:tcBorders>
              <w:top w:val="double" w:sz="6" w:space="0" w:color="002060"/>
              <w:left w:val="double" w:sz="6" w:space="0" w:color="002060"/>
              <w:bottom w:val="double" w:sz="6" w:space="0" w:color="002060"/>
              <w:right w:val="double" w:sz="6" w:space="0" w:color="002060"/>
            </w:tcBorders>
            <w:vAlign w:val="center"/>
            <w:hideMark/>
          </w:tcPr>
          <w:p w14:paraId="6CF32FBF" w14:textId="77777777" w:rsidR="00D55C88" w:rsidRPr="00D55C88" w:rsidRDefault="00D55C88" w:rsidP="00D55C88">
            <w:pPr>
              <w:spacing w:before="0" w:after="0" w:line="240" w:lineRule="auto"/>
              <w:jc w:val="left"/>
              <w:rPr>
                <w:rFonts w:eastAsia="Times New Roman" w:cs="Calibri"/>
                <w:color w:val="FFFFFF"/>
                <w:sz w:val="18"/>
                <w:szCs w:val="18"/>
                <w:lang w:eastAsia="es-CR"/>
              </w:rPr>
            </w:pPr>
          </w:p>
        </w:tc>
        <w:tc>
          <w:tcPr>
            <w:tcW w:w="625" w:type="pct"/>
            <w:tcBorders>
              <w:top w:val="nil"/>
              <w:left w:val="nil"/>
              <w:bottom w:val="double" w:sz="6" w:space="0" w:color="002060"/>
              <w:right w:val="double" w:sz="6" w:space="0" w:color="002060"/>
            </w:tcBorders>
            <w:shd w:val="clear" w:color="000000" w:fill="365F91"/>
            <w:noWrap/>
            <w:vAlign w:val="center"/>
            <w:hideMark/>
          </w:tcPr>
          <w:p w14:paraId="487BA421"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Realizadas</w:t>
            </w:r>
          </w:p>
        </w:tc>
        <w:tc>
          <w:tcPr>
            <w:tcW w:w="605" w:type="pct"/>
            <w:tcBorders>
              <w:top w:val="nil"/>
              <w:left w:val="nil"/>
              <w:bottom w:val="double" w:sz="6" w:space="0" w:color="002060"/>
              <w:right w:val="double" w:sz="6" w:space="0" w:color="002060"/>
            </w:tcBorders>
            <w:shd w:val="clear" w:color="000000" w:fill="365F91"/>
            <w:noWrap/>
            <w:vAlign w:val="center"/>
            <w:hideMark/>
          </w:tcPr>
          <w:p w14:paraId="4A5455A3"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Porcentaje</w:t>
            </w:r>
          </w:p>
        </w:tc>
        <w:tc>
          <w:tcPr>
            <w:tcW w:w="778" w:type="pct"/>
            <w:tcBorders>
              <w:top w:val="nil"/>
              <w:left w:val="nil"/>
              <w:bottom w:val="double" w:sz="6" w:space="0" w:color="002060"/>
              <w:right w:val="double" w:sz="6" w:space="0" w:color="002060"/>
            </w:tcBorders>
            <w:shd w:val="clear" w:color="000000" w:fill="365F91"/>
            <w:noWrap/>
            <w:vAlign w:val="center"/>
            <w:hideMark/>
          </w:tcPr>
          <w:p w14:paraId="20662B47"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No realizadas</w:t>
            </w:r>
          </w:p>
        </w:tc>
        <w:tc>
          <w:tcPr>
            <w:tcW w:w="605" w:type="pct"/>
            <w:tcBorders>
              <w:top w:val="nil"/>
              <w:left w:val="nil"/>
              <w:bottom w:val="double" w:sz="6" w:space="0" w:color="002060"/>
              <w:right w:val="double" w:sz="6" w:space="0" w:color="002060"/>
            </w:tcBorders>
            <w:shd w:val="clear" w:color="000000" w:fill="365F91"/>
            <w:noWrap/>
            <w:vAlign w:val="center"/>
            <w:hideMark/>
          </w:tcPr>
          <w:p w14:paraId="0A970D33"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Porcentaje</w:t>
            </w:r>
          </w:p>
        </w:tc>
        <w:tc>
          <w:tcPr>
            <w:tcW w:w="344" w:type="pct"/>
            <w:tcBorders>
              <w:top w:val="nil"/>
              <w:left w:val="nil"/>
              <w:bottom w:val="double" w:sz="6" w:space="0" w:color="002060"/>
              <w:right w:val="double" w:sz="6" w:space="0" w:color="002060"/>
            </w:tcBorders>
            <w:shd w:val="clear" w:color="000000" w:fill="365F91"/>
            <w:noWrap/>
            <w:vAlign w:val="center"/>
            <w:hideMark/>
          </w:tcPr>
          <w:p w14:paraId="5FE21F2A" w14:textId="77777777" w:rsidR="00D55C88" w:rsidRPr="00D55C88" w:rsidRDefault="00D55C88" w:rsidP="00D55C88">
            <w:pPr>
              <w:spacing w:before="0" w:after="0" w:line="240" w:lineRule="auto"/>
              <w:jc w:val="center"/>
              <w:rPr>
                <w:rFonts w:eastAsia="Times New Roman" w:cs="Calibri"/>
                <w:color w:val="FFFFFF"/>
                <w:sz w:val="18"/>
                <w:szCs w:val="18"/>
                <w:lang w:eastAsia="es-CR"/>
              </w:rPr>
            </w:pPr>
            <w:r w:rsidRPr="00D55C88">
              <w:rPr>
                <w:rFonts w:eastAsia="Times New Roman" w:cs="Calibri"/>
                <w:color w:val="FFFFFF"/>
                <w:sz w:val="18"/>
                <w:szCs w:val="18"/>
                <w:lang w:eastAsia="es-CR"/>
              </w:rPr>
              <w:t>Total</w:t>
            </w:r>
          </w:p>
        </w:tc>
      </w:tr>
      <w:tr w:rsidR="005C0932" w:rsidRPr="005149C4" w14:paraId="12D9A48A"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239CD0FF"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San José</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520A8EF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83</w:t>
            </w:r>
          </w:p>
        </w:tc>
        <w:tc>
          <w:tcPr>
            <w:tcW w:w="605" w:type="pct"/>
            <w:tcBorders>
              <w:top w:val="nil"/>
              <w:left w:val="nil"/>
              <w:bottom w:val="double" w:sz="6" w:space="0" w:color="002060"/>
              <w:right w:val="double" w:sz="6" w:space="0" w:color="002060"/>
            </w:tcBorders>
            <w:shd w:val="clear" w:color="auto" w:fill="auto"/>
            <w:noWrap/>
            <w:vAlign w:val="bottom"/>
            <w:hideMark/>
          </w:tcPr>
          <w:p w14:paraId="7A1AA3C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69%</w:t>
            </w:r>
          </w:p>
        </w:tc>
        <w:tc>
          <w:tcPr>
            <w:tcW w:w="778" w:type="pct"/>
            <w:tcBorders>
              <w:top w:val="nil"/>
              <w:left w:val="nil"/>
              <w:bottom w:val="double" w:sz="6" w:space="0" w:color="002060"/>
              <w:right w:val="double" w:sz="6" w:space="0" w:color="002060"/>
            </w:tcBorders>
            <w:shd w:val="clear" w:color="auto" w:fill="auto"/>
            <w:noWrap/>
            <w:vAlign w:val="bottom"/>
            <w:hideMark/>
          </w:tcPr>
          <w:p w14:paraId="6B09105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37</w:t>
            </w:r>
          </w:p>
        </w:tc>
        <w:tc>
          <w:tcPr>
            <w:tcW w:w="605" w:type="pct"/>
            <w:tcBorders>
              <w:top w:val="nil"/>
              <w:left w:val="nil"/>
              <w:bottom w:val="double" w:sz="6" w:space="0" w:color="002060"/>
              <w:right w:val="double" w:sz="6" w:space="0" w:color="002060"/>
            </w:tcBorders>
            <w:shd w:val="clear" w:color="auto" w:fill="auto"/>
            <w:noWrap/>
            <w:vAlign w:val="bottom"/>
            <w:hideMark/>
          </w:tcPr>
          <w:p w14:paraId="55C56CF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31%</w:t>
            </w:r>
          </w:p>
        </w:tc>
        <w:tc>
          <w:tcPr>
            <w:tcW w:w="344" w:type="pct"/>
            <w:tcBorders>
              <w:top w:val="nil"/>
              <w:left w:val="nil"/>
              <w:bottom w:val="double" w:sz="6" w:space="0" w:color="002060"/>
              <w:right w:val="double" w:sz="6" w:space="0" w:color="002060"/>
            </w:tcBorders>
            <w:shd w:val="clear" w:color="auto" w:fill="auto"/>
            <w:noWrap/>
            <w:vAlign w:val="bottom"/>
            <w:hideMark/>
          </w:tcPr>
          <w:p w14:paraId="11F22DF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120</w:t>
            </w:r>
          </w:p>
        </w:tc>
      </w:tr>
      <w:tr w:rsidR="005C0932" w:rsidRPr="005149C4" w14:paraId="71563240"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4289ECC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Puriscal</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404D029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w:t>
            </w:r>
          </w:p>
        </w:tc>
        <w:tc>
          <w:tcPr>
            <w:tcW w:w="605" w:type="pct"/>
            <w:tcBorders>
              <w:top w:val="nil"/>
              <w:left w:val="nil"/>
              <w:bottom w:val="double" w:sz="6" w:space="0" w:color="002060"/>
              <w:right w:val="double" w:sz="6" w:space="0" w:color="002060"/>
            </w:tcBorders>
            <w:shd w:val="clear" w:color="auto" w:fill="auto"/>
            <w:noWrap/>
            <w:vAlign w:val="bottom"/>
            <w:hideMark/>
          </w:tcPr>
          <w:p w14:paraId="6569C14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33%</w:t>
            </w:r>
          </w:p>
        </w:tc>
        <w:tc>
          <w:tcPr>
            <w:tcW w:w="778" w:type="pct"/>
            <w:tcBorders>
              <w:top w:val="nil"/>
              <w:left w:val="nil"/>
              <w:bottom w:val="double" w:sz="6" w:space="0" w:color="002060"/>
              <w:right w:val="double" w:sz="6" w:space="0" w:color="002060"/>
            </w:tcBorders>
            <w:shd w:val="clear" w:color="auto" w:fill="auto"/>
            <w:noWrap/>
            <w:vAlign w:val="bottom"/>
            <w:hideMark/>
          </w:tcPr>
          <w:p w14:paraId="2527EFB9"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w:t>
            </w:r>
          </w:p>
        </w:tc>
        <w:tc>
          <w:tcPr>
            <w:tcW w:w="605" w:type="pct"/>
            <w:tcBorders>
              <w:top w:val="nil"/>
              <w:left w:val="nil"/>
              <w:bottom w:val="double" w:sz="6" w:space="0" w:color="002060"/>
              <w:right w:val="double" w:sz="6" w:space="0" w:color="002060"/>
            </w:tcBorders>
            <w:shd w:val="clear" w:color="auto" w:fill="auto"/>
            <w:noWrap/>
            <w:vAlign w:val="bottom"/>
            <w:hideMark/>
          </w:tcPr>
          <w:p w14:paraId="08245185"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67%</w:t>
            </w:r>
          </w:p>
        </w:tc>
        <w:tc>
          <w:tcPr>
            <w:tcW w:w="344" w:type="pct"/>
            <w:tcBorders>
              <w:top w:val="nil"/>
              <w:left w:val="nil"/>
              <w:bottom w:val="double" w:sz="6" w:space="0" w:color="002060"/>
              <w:right w:val="double" w:sz="6" w:space="0" w:color="002060"/>
            </w:tcBorders>
            <w:shd w:val="clear" w:color="auto" w:fill="auto"/>
            <w:noWrap/>
            <w:vAlign w:val="bottom"/>
            <w:hideMark/>
          </w:tcPr>
          <w:p w14:paraId="74580F7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w:t>
            </w:r>
          </w:p>
        </w:tc>
      </w:tr>
      <w:tr w:rsidR="005C0932" w:rsidRPr="005149C4" w14:paraId="2C7FDB3A"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12D2C25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Alajuela</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3A76CF56"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42</w:t>
            </w:r>
          </w:p>
        </w:tc>
        <w:tc>
          <w:tcPr>
            <w:tcW w:w="605" w:type="pct"/>
            <w:tcBorders>
              <w:top w:val="nil"/>
              <w:left w:val="nil"/>
              <w:bottom w:val="double" w:sz="6" w:space="0" w:color="002060"/>
              <w:right w:val="double" w:sz="6" w:space="0" w:color="002060"/>
            </w:tcBorders>
            <w:shd w:val="clear" w:color="auto" w:fill="auto"/>
            <w:noWrap/>
            <w:vAlign w:val="bottom"/>
            <w:hideMark/>
          </w:tcPr>
          <w:p w14:paraId="7AFCEB8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84%</w:t>
            </w:r>
          </w:p>
        </w:tc>
        <w:tc>
          <w:tcPr>
            <w:tcW w:w="778" w:type="pct"/>
            <w:tcBorders>
              <w:top w:val="nil"/>
              <w:left w:val="nil"/>
              <w:bottom w:val="double" w:sz="6" w:space="0" w:color="002060"/>
              <w:right w:val="double" w:sz="6" w:space="0" w:color="002060"/>
            </w:tcBorders>
            <w:shd w:val="clear" w:color="auto" w:fill="auto"/>
            <w:noWrap/>
            <w:vAlign w:val="bottom"/>
            <w:hideMark/>
          </w:tcPr>
          <w:p w14:paraId="53E3CF30"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w:t>
            </w:r>
          </w:p>
        </w:tc>
        <w:tc>
          <w:tcPr>
            <w:tcW w:w="605" w:type="pct"/>
            <w:tcBorders>
              <w:top w:val="nil"/>
              <w:left w:val="nil"/>
              <w:bottom w:val="double" w:sz="6" w:space="0" w:color="002060"/>
              <w:right w:val="double" w:sz="6" w:space="0" w:color="002060"/>
            </w:tcBorders>
            <w:shd w:val="clear" w:color="auto" w:fill="auto"/>
            <w:noWrap/>
            <w:vAlign w:val="bottom"/>
            <w:hideMark/>
          </w:tcPr>
          <w:p w14:paraId="6590531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16%</w:t>
            </w:r>
          </w:p>
        </w:tc>
        <w:tc>
          <w:tcPr>
            <w:tcW w:w="344" w:type="pct"/>
            <w:tcBorders>
              <w:top w:val="nil"/>
              <w:left w:val="nil"/>
              <w:bottom w:val="double" w:sz="6" w:space="0" w:color="002060"/>
              <w:right w:val="double" w:sz="6" w:space="0" w:color="002060"/>
            </w:tcBorders>
            <w:shd w:val="clear" w:color="auto" w:fill="auto"/>
            <w:noWrap/>
            <w:vAlign w:val="bottom"/>
            <w:hideMark/>
          </w:tcPr>
          <w:p w14:paraId="6CD1178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50</w:t>
            </w:r>
          </w:p>
        </w:tc>
      </w:tr>
      <w:tr w:rsidR="005C0932" w:rsidRPr="005149C4" w14:paraId="0798B1AB"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400A036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San Ramón</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5B32781D"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12</w:t>
            </w:r>
          </w:p>
        </w:tc>
        <w:tc>
          <w:tcPr>
            <w:tcW w:w="605" w:type="pct"/>
            <w:tcBorders>
              <w:top w:val="nil"/>
              <w:left w:val="nil"/>
              <w:bottom w:val="double" w:sz="6" w:space="0" w:color="002060"/>
              <w:right w:val="double" w:sz="6" w:space="0" w:color="002060"/>
            </w:tcBorders>
            <w:shd w:val="clear" w:color="auto" w:fill="auto"/>
            <w:noWrap/>
            <w:vAlign w:val="bottom"/>
            <w:hideMark/>
          </w:tcPr>
          <w:p w14:paraId="3A36D29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75%</w:t>
            </w:r>
          </w:p>
        </w:tc>
        <w:tc>
          <w:tcPr>
            <w:tcW w:w="778" w:type="pct"/>
            <w:tcBorders>
              <w:top w:val="nil"/>
              <w:left w:val="nil"/>
              <w:bottom w:val="double" w:sz="6" w:space="0" w:color="002060"/>
              <w:right w:val="double" w:sz="6" w:space="0" w:color="002060"/>
            </w:tcBorders>
            <w:shd w:val="clear" w:color="auto" w:fill="auto"/>
            <w:noWrap/>
            <w:vAlign w:val="bottom"/>
            <w:hideMark/>
          </w:tcPr>
          <w:p w14:paraId="643AC85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4</w:t>
            </w:r>
          </w:p>
        </w:tc>
        <w:tc>
          <w:tcPr>
            <w:tcW w:w="605" w:type="pct"/>
            <w:tcBorders>
              <w:top w:val="nil"/>
              <w:left w:val="nil"/>
              <w:bottom w:val="double" w:sz="6" w:space="0" w:color="002060"/>
              <w:right w:val="double" w:sz="6" w:space="0" w:color="002060"/>
            </w:tcBorders>
            <w:shd w:val="clear" w:color="auto" w:fill="auto"/>
            <w:noWrap/>
            <w:vAlign w:val="bottom"/>
            <w:hideMark/>
          </w:tcPr>
          <w:p w14:paraId="3E23D239"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25%</w:t>
            </w:r>
          </w:p>
        </w:tc>
        <w:tc>
          <w:tcPr>
            <w:tcW w:w="344" w:type="pct"/>
            <w:tcBorders>
              <w:top w:val="nil"/>
              <w:left w:val="nil"/>
              <w:bottom w:val="double" w:sz="6" w:space="0" w:color="002060"/>
              <w:right w:val="double" w:sz="6" w:space="0" w:color="002060"/>
            </w:tcBorders>
            <w:shd w:val="clear" w:color="auto" w:fill="auto"/>
            <w:noWrap/>
            <w:vAlign w:val="bottom"/>
            <w:hideMark/>
          </w:tcPr>
          <w:p w14:paraId="7F44A5C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16</w:t>
            </w:r>
          </w:p>
        </w:tc>
      </w:tr>
      <w:tr w:rsidR="005C0932" w:rsidRPr="005149C4" w14:paraId="66CE6447"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07E48FA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San Carlos</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66683C7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c>
          <w:tcPr>
            <w:tcW w:w="605" w:type="pct"/>
            <w:tcBorders>
              <w:top w:val="nil"/>
              <w:left w:val="nil"/>
              <w:bottom w:val="double" w:sz="6" w:space="0" w:color="002060"/>
              <w:right w:val="double" w:sz="6" w:space="0" w:color="002060"/>
            </w:tcBorders>
            <w:shd w:val="clear" w:color="auto" w:fill="auto"/>
            <w:noWrap/>
            <w:vAlign w:val="bottom"/>
            <w:hideMark/>
          </w:tcPr>
          <w:p w14:paraId="47E51EB6"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100%</w:t>
            </w:r>
          </w:p>
        </w:tc>
        <w:tc>
          <w:tcPr>
            <w:tcW w:w="778" w:type="pct"/>
            <w:tcBorders>
              <w:top w:val="nil"/>
              <w:left w:val="nil"/>
              <w:bottom w:val="double" w:sz="6" w:space="0" w:color="002060"/>
              <w:right w:val="double" w:sz="6" w:space="0" w:color="002060"/>
            </w:tcBorders>
            <w:shd w:val="clear" w:color="auto" w:fill="auto"/>
            <w:noWrap/>
            <w:vAlign w:val="bottom"/>
            <w:hideMark/>
          </w:tcPr>
          <w:p w14:paraId="3BD818C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0</w:t>
            </w:r>
          </w:p>
        </w:tc>
        <w:tc>
          <w:tcPr>
            <w:tcW w:w="605" w:type="pct"/>
            <w:tcBorders>
              <w:top w:val="nil"/>
              <w:left w:val="nil"/>
              <w:bottom w:val="double" w:sz="6" w:space="0" w:color="002060"/>
              <w:right w:val="double" w:sz="6" w:space="0" w:color="002060"/>
            </w:tcBorders>
            <w:shd w:val="clear" w:color="auto" w:fill="auto"/>
            <w:noWrap/>
            <w:vAlign w:val="bottom"/>
            <w:hideMark/>
          </w:tcPr>
          <w:p w14:paraId="6C3AD936"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0%</w:t>
            </w:r>
          </w:p>
        </w:tc>
        <w:tc>
          <w:tcPr>
            <w:tcW w:w="344" w:type="pct"/>
            <w:tcBorders>
              <w:top w:val="nil"/>
              <w:left w:val="nil"/>
              <w:bottom w:val="double" w:sz="6" w:space="0" w:color="002060"/>
              <w:right w:val="double" w:sz="6" w:space="0" w:color="002060"/>
            </w:tcBorders>
            <w:shd w:val="clear" w:color="auto" w:fill="auto"/>
            <w:noWrap/>
            <w:vAlign w:val="bottom"/>
            <w:hideMark/>
          </w:tcPr>
          <w:p w14:paraId="28ABEDCC"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r>
      <w:tr w:rsidR="005C0932" w:rsidRPr="005149C4" w14:paraId="11B58FF2"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16E9E85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Cartago</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2682FE5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23</w:t>
            </w:r>
          </w:p>
        </w:tc>
        <w:tc>
          <w:tcPr>
            <w:tcW w:w="605" w:type="pct"/>
            <w:tcBorders>
              <w:top w:val="nil"/>
              <w:left w:val="nil"/>
              <w:bottom w:val="double" w:sz="6" w:space="0" w:color="002060"/>
              <w:right w:val="double" w:sz="6" w:space="0" w:color="002060"/>
            </w:tcBorders>
            <w:shd w:val="clear" w:color="auto" w:fill="auto"/>
            <w:noWrap/>
            <w:vAlign w:val="bottom"/>
            <w:hideMark/>
          </w:tcPr>
          <w:p w14:paraId="0A6413F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82%</w:t>
            </w:r>
          </w:p>
        </w:tc>
        <w:tc>
          <w:tcPr>
            <w:tcW w:w="778" w:type="pct"/>
            <w:tcBorders>
              <w:top w:val="nil"/>
              <w:left w:val="nil"/>
              <w:bottom w:val="double" w:sz="6" w:space="0" w:color="002060"/>
              <w:right w:val="double" w:sz="6" w:space="0" w:color="002060"/>
            </w:tcBorders>
            <w:shd w:val="clear" w:color="auto" w:fill="auto"/>
            <w:noWrap/>
            <w:vAlign w:val="bottom"/>
            <w:hideMark/>
          </w:tcPr>
          <w:p w14:paraId="3C5DD13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c>
          <w:tcPr>
            <w:tcW w:w="605" w:type="pct"/>
            <w:tcBorders>
              <w:top w:val="nil"/>
              <w:left w:val="nil"/>
              <w:bottom w:val="double" w:sz="6" w:space="0" w:color="002060"/>
              <w:right w:val="double" w:sz="6" w:space="0" w:color="002060"/>
            </w:tcBorders>
            <w:shd w:val="clear" w:color="auto" w:fill="auto"/>
            <w:noWrap/>
            <w:vAlign w:val="bottom"/>
            <w:hideMark/>
          </w:tcPr>
          <w:p w14:paraId="762F8AC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18%</w:t>
            </w:r>
          </w:p>
        </w:tc>
        <w:tc>
          <w:tcPr>
            <w:tcW w:w="344" w:type="pct"/>
            <w:tcBorders>
              <w:top w:val="nil"/>
              <w:left w:val="nil"/>
              <w:bottom w:val="double" w:sz="6" w:space="0" w:color="002060"/>
              <w:right w:val="double" w:sz="6" w:space="0" w:color="002060"/>
            </w:tcBorders>
            <w:shd w:val="clear" w:color="auto" w:fill="auto"/>
            <w:noWrap/>
            <w:vAlign w:val="bottom"/>
            <w:hideMark/>
          </w:tcPr>
          <w:p w14:paraId="18EB30A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28</w:t>
            </w:r>
          </w:p>
        </w:tc>
      </w:tr>
      <w:tr w:rsidR="005C0932" w:rsidRPr="005149C4" w14:paraId="7B8C94FE"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7D5FE94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Turrialba</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6384B1F0"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c>
          <w:tcPr>
            <w:tcW w:w="605" w:type="pct"/>
            <w:tcBorders>
              <w:top w:val="nil"/>
              <w:left w:val="nil"/>
              <w:bottom w:val="double" w:sz="6" w:space="0" w:color="002060"/>
              <w:right w:val="double" w:sz="6" w:space="0" w:color="002060"/>
            </w:tcBorders>
            <w:shd w:val="clear" w:color="auto" w:fill="auto"/>
            <w:noWrap/>
            <w:vAlign w:val="bottom"/>
            <w:hideMark/>
          </w:tcPr>
          <w:p w14:paraId="74AB351A"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83%</w:t>
            </w:r>
          </w:p>
        </w:tc>
        <w:tc>
          <w:tcPr>
            <w:tcW w:w="778" w:type="pct"/>
            <w:tcBorders>
              <w:top w:val="nil"/>
              <w:left w:val="nil"/>
              <w:bottom w:val="double" w:sz="6" w:space="0" w:color="002060"/>
              <w:right w:val="double" w:sz="6" w:space="0" w:color="002060"/>
            </w:tcBorders>
            <w:shd w:val="clear" w:color="auto" w:fill="auto"/>
            <w:noWrap/>
            <w:vAlign w:val="bottom"/>
            <w:hideMark/>
          </w:tcPr>
          <w:p w14:paraId="67211C6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w:t>
            </w:r>
          </w:p>
        </w:tc>
        <w:tc>
          <w:tcPr>
            <w:tcW w:w="605" w:type="pct"/>
            <w:tcBorders>
              <w:top w:val="nil"/>
              <w:left w:val="nil"/>
              <w:bottom w:val="double" w:sz="6" w:space="0" w:color="002060"/>
              <w:right w:val="double" w:sz="6" w:space="0" w:color="002060"/>
            </w:tcBorders>
            <w:shd w:val="clear" w:color="auto" w:fill="auto"/>
            <w:noWrap/>
            <w:vAlign w:val="bottom"/>
            <w:hideMark/>
          </w:tcPr>
          <w:p w14:paraId="7C4AB1D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17%</w:t>
            </w:r>
          </w:p>
        </w:tc>
        <w:tc>
          <w:tcPr>
            <w:tcW w:w="344" w:type="pct"/>
            <w:tcBorders>
              <w:top w:val="nil"/>
              <w:left w:val="nil"/>
              <w:bottom w:val="double" w:sz="6" w:space="0" w:color="002060"/>
              <w:right w:val="double" w:sz="6" w:space="0" w:color="002060"/>
            </w:tcBorders>
            <w:shd w:val="clear" w:color="auto" w:fill="auto"/>
            <w:noWrap/>
            <w:vAlign w:val="bottom"/>
            <w:hideMark/>
          </w:tcPr>
          <w:p w14:paraId="589587E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6</w:t>
            </w:r>
          </w:p>
        </w:tc>
      </w:tr>
      <w:tr w:rsidR="005C0932" w:rsidRPr="005149C4" w14:paraId="31A48DC4"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5B3CC4D0"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Heredia</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4557592C"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w:t>
            </w:r>
          </w:p>
        </w:tc>
        <w:tc>
          <w:tcPr>
            <w:tcW w:w="605" w:type="pct"/>
            <w:tcBorders>
              <w:top w:val="nil"/>
              <w:left w:val="nil"/>
              <w:bottom w:val="double" w:sz="6" w:space="0" w:color="002060"/>
              <w:right w:val="double" w:sz="6" w:space="0" w:color="002060"/>
            </w:tcBorders>
            <w:shd w:val="clear" w:color="auto" w:fill="auto"/>
            <w:noWrap/>
            <w:vAlign w:val="bottom"/>
            <w:hideMark/>
          </w:tcPr>
          <w:p w14:paraId="4304BF4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100%</w:t>
            </w:r>
          </w:p>
        </w:tc>
        <w:tc>
          <w:tcPr>
            <w:tcW w:w="778" w:type="pct"/>
            <w:tcBorders>
              <w:top w:val="nil"/>
              <w:left w:val="nil"/>
              <w:bottom w:val="double" w:sz="6" w:space="0" w:color="002060"/>
              <w:right w:val="double" w:sz="6" w:space="0" w:color="002060"/>
            </w:tcBorders>
            <w:shd w:val="clear" w:color="auto" w:fill="auto"/>
            <w:noWrap/>
            <w:vAlign w:val="bottom"/>
            <w:hideMark/>
          </w:tcPr>
          <w:p w14:paraId="282A0B6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0</w:t>
            </w:r>
          </w:p>
        </w:tc>
        <w:tc>
          <w:tcPr>
            <w:tcW w:w="605" w:type="pct"/>
            <w:tcBorders>
              <w:top w:val="nil"/>
              <w:left w:val="nil"/>
              <w:bottom w:val="double" w:sz="6" w:space="0" w:color="002060"/>
              <w:right w:val="double" w:sz="6" w:space="0" w:color="002060"/>
            </w:tcBorders>
            <w:shd w:val="clear" w:color="auto" w:fill="auto"/>
            <w:noWrap/>
            <w:vAlign w:val="bottom"/>
            <w:hideMark/>
          </w:tcPr>
          <w:p w14:paraId="7003A895"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0%</w:t>
            </w:r>
          </w:p>
        </w:tc>
        <w:tc>
          <w:tcPr>
            <w:tcW w:w="344" w:type="pct"/>
            <w:tcBorders>
              <w:top w:val="nil"/>
              <w:left w:val="nil"/>
              <w:bottom w:val="double" w:sz="6" w:space="0" w:color="002060"/>
              <w:right w:val="double" w:sz="6" w:space="0" w:color="002060"/>
            </w:tcBorders>
            <w:shd w:val="clear" w:color="auto" w:fill="auto"/>
            <w:noWrap/>
            <w:vAlign w:val="bottom"/>
            <w:hideMark/>
          </w:tcPr>
          <w:p w14:paraId="5767513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w:t>
            </w:r>
          </w:p>
        </w:tc>
      </w:tr>
      <w:tr w:rsidR="005C0932" w:rsidRPr="005149C4" w14:paraId="2421CA9E"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10DF74A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Sarapiquí</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678B7D2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w:t>
            </w:r>
          </w:p>
        </w:tc>
        <w:tc>
          <w:tcPr>
            <w:tcW w:w="605" w:type="pct"/>
            <w:tcBorders>
              <w:top w:val="nil"/>
              <w:left w:val="nil"/>
              <w:bottom w:val="double" w:sz="6" w:space="0" w:color="002060"/>
              <w:right w:val="double" w:sz="6" w:space="0" w:color="002060"/>
            </w:tcBorders>
            <w:shd w:val="clear" w:color="auto" w:fill="auto"/>
            <w:noWrap/>
            <w:vAlign w:val="bottom"/>
            <w:hideMark/>
          </w:tcPr>
          <w:p w14:paraId="6D4CB0A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60%</w:t>
            </w:r>
          </w:p>
        </w:tc>
        <w:tc>
          <w:tcPr>
            <w:tcW w:w="778" w:type="pct"/>
            <w:tcBorders>
              <w:top w:val="nil"/>
              <w:left w:val="nil"/>
              <w:bottom w:val="double" w:sz="6" w:space="0" w:color="002060"/>
              <w:right w:val="double" w:sz="6" w:space="0" w:color="002060"/>
            </w:tcBorders>
            <w:shd w:val="clear" w:color="auto" w:fill="auto"/>
            <w:noWrap/>
            <w:vAlign w:val="bottom"/>
            <w:hideMark/>
          </w:tcPr>
          <w:p w14:paraId="322304EA"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w:t>
            </w:r>
          </w:p>
        </w:tc>
        <w:tc>
          <w:tcPr>
            <w:tcW w:w="605" w:type="pct"/>
            <w:tcBorders>
              <w:top w:val="nil"/>
              <w:left w:val="nil"/>
              <w:bottom w:val="double" w:sz="6" w:space="0" w:color="002060"/>
              <w:right w:val="double" w:sz="6" w:space="0" w:color="002060"/>
            </w:tcBorders>
            <w:shd w:val="clear" w:color="auto" w:fill="auto"/>
            <w:noWrap/>
            <w:vAlign w:val="bottom"/>
            <w:hideMark/>
          </w:tcPr>
          <w:p w14:paraId="048048AC"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40%</w:t>
            </w:r>
          </w:p>
        </w:tc>
        <w:tc>
          <w:tcPr>
            <w:tcW w:w="344" w:type="pct"/>
            <w:tcBorders>
              <w:top w:val="nil"/>
              <w:left w:val="nil"/>
              <w:bottom w:val="double" w:sz="6" w:space="0" w:color="002060"/>
              <w:right w:val="double" w:sz="6" w:space="0" w:color="002060"/>
            </w:tcBorders>
            <w:shd w:val="clear" w:color="auto" w:fill="auto"/>
            <w:noWrap/>
            <w:vAlign w:val="bottom"/>
            <w:hideMark/>
          </w:tcPr>
          <w:p w14:paraId="4870A2C9"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r>
      <w:tr w:rsidR="005C0932" w:rsidRPr="005149C4" w14:paraId="2A0C0FEA"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3F66E1D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I Circuito Judicial de Guanacaste</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68F207A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19</w:t>
            </w:r>
          </w:p>
        </w:tc>
        <w:tc>
          <w:tcPr>
            <w:tcW w:w="605" w:type="pct"/>
            <w:tcBorders>
              <w:top w:val="nil"/>
              <w:left w:val="nil"/>
              <w:bottom w:val="double" w:sz="6" w:space="0" w:color="002060"/>
              <w:right w:val="double" w:sz="6" w:space="0" w:color="002060"/>
            </w:tcBorders>
            <w:shd w:val="clear" w:color="auto" w:fill="auto"/>
            <w:noWrap/>
            <w:vAlign w:val="bottom"/>
            <w:hideMark/>
          </w:tcPr>
          <w:p w14:paraId="281BC398"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68%</w:t>
            </w:r>
          </w:p>
        </w:tc>
        <w:tc>
          <w:tcPr>
            <w:tcW w:w="778" w:type="pct"/>
            <w:tcBorders>
              <w:top w:val="nil"/>
              <w:left w:val="nil"/>
              <w:bottom w:val="double" w:sz="6" w:space="0" w:color="002060"/>
              <w:right w:val="double" w:sz="6" w:space="0" w:color="002060"/>
            </w:tcBorders>
            <w:shd w:val="clear" w:color="auto" w:fill="auto"/>
            <w:noWrap/>
            <w:vAlign w:val="bottom"/>
            <w:hideMark/>
          </w:tcPr>
          <w:p w14:paraId="4C2B6DB8"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9</w:t>
            </w:r>
          </w:p>
        </w:tc>
        <w:tc>
          <w:tcPr>
            <w:tcW w:w="605" w:type="pct"/>
            <w:tcBorders>
              <w:top w:val="nil"/>
              <w:left w:val="nil"/>
              <w:bottom w:val="double" w:sz="6" w:space="0" w:color="002060"/>
              <w:right w:val="double" w:sz="6" w:space="0" w:color="002060"/>
            </w:tcBorders>
            <w:shd w:val="clear" w:color="auto" w:fill="auto"/>
            <w:noWrap/>
            <w:vAlign w:val="bottom"/>
            <w:hideMark/>
          </w:tcPr>
          <w:p w14:paraId="391CFAF8"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32%</w:t>
            </w:r>
          </w:p>
        </w:tc>
        <w:tc>
          <w:tcPr>
            <w:tcW w:w="344" w:type="pct"/>
            <w:tcBorders>
              <w:top w:val="nil"/>
              <w:left w:val="nil"/>
              <w:bottom w:val="double" w:sz="6" w:space="0" w:color="002060"/>
              <w:right w:val="double" w:sz="6" w:space="0" w:color="002060"/>
            </w:tcBorders>
            <w:shd w:val="clear" w:color="auto" w:fill="auto"/>
            <w:noWrap/>
            <w:vAlign w:val="bottom"/>
            <w:hideMark/>
          </w:tcPr>
          <w:p w14:paraId="27D4CEB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28</w:t>
            </w:r>
          </w:p>
        </w:tc>
      </w:tr>
      <w:tr w:rsidR="005C0932" w:rsidRPr="005149C4" w14:paraId="3DAAAB16"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2BCB4306"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Nicoya</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2FD70DC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19</w:t>
            </w:r>
          </w:p>
        </w:tc>
        <w:tc>
          <w:tcPr>
            <w:tcW w:w="605" w:type="pct"/>
            <w:tcBorders>
              <w:top w:val="nil"/>
              <w:left w:val="nil"/>
              <w:bottom w:val="double" w:sz="6" w:space="0" w:color="002060"/>
              <w:right w:val="double" w:sz="6" w:space="0" w:color="002060"/>
            </w:tcBorders>
            <w:shd w:val="clear" w:color="auto" w:fill="auto"/>
            <w:noWrap/>
            <w:vAlign w:val="bottom"/>
            <w:hideMark/>
          </w:tcPr>
          <w:p w14:paraId="68395C65"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90%</w:t>
            </w:r>
          </w:p>
        </w:tc>
        <w:tc>
          <w:tcPr>
            <w:tcW w:w="778" w:type="pct"/>
            <w:tcBorders>
              <w:top w:val="nil"/>
              <w:left w:val="nil"/>
              <w:bottom w:val="double" w:sz="6" w:space="0" w:color="002060"/>
              <w:right w:val="double" w:sz="6" w:space="0" w:color="002060"/>
            </w:tcBorders>
            <w:shd w:val="clear" w:color="auto" w:fill="auto"/>
            <w:noWrap/>
            <w:vAlign w:val="bottom"/>
            <w:hideMark/>
          </w:tcPr>
          <w:p w14:paraId="7B9A703F"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w:t>
            </w:r>
          </w:p>
        </w:tc>
        <w:tc>
          <w:tcPr>
            <w:tcW w:w="605" w:type="pct"/>
            <w:tcBorders>
              <w:top w:val="nil"/>
              <w:left w:val="nil"/>
              <w:bottom w:val="double" w:sz="6" w:space="0" w:color="002060"/>
              <w:right w:val="double" w:sz="6" w:space="0" w:color="002060"/>
            </w:tcBorders>
            <w:shd w:val="clear" w:color="auto" w:fill="auto"/>
            <w:noWrap/>
            <w:vAlign w:val="bottom"/>
            <w:hideMark/>
          </w:tcPr>
          <w:p w14:paraId="6ED10DC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10%</w:t>
            </w:r>
          </w:p>
        </w:tc>
        <w:tc>
          <w:tcPr>
            <w:tcW w:w="344" w:type="pct"/>
            <w:tcBorders>
              <w:top w:val="nil"/>
              <w:left w:val="nil"/>
              <w:bottom w:val="double" w:sz="6" w:space="0" w:color="002060"/>
              <w:right w:val="double" w:sz="6" w:space="0" w:color="002060"/>
            </w:tcBorders>
            <w:shd w:val="clear" w:color="auto" w:fill="auto"/>
            <w:noWrap/>
            <w:vAlign w:val="bottom"/>
            <w:hideMark/>
          </w:tcPr>
          <w:p w14:paraId="6509A27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21</w:t>
            </w:r>
          </w:p>
        </w:tc>
      </w:tr>
      <w:tr w:rsidR="005C0932" w:rsidRPr="005149C4" w14:paraId="004D0EDE"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57724E7F"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Puntarenas</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573A405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9</w:t>
            </w:r>
          </w:p>
        </w:tc>
        <w:tc>
          <w:tcPr>
            <w:tcW w:w="605" w:type="pct"/>
            <w:tcBorders>
              <w:top w:val="nil"/>
              <w:left w:val="nil"/>
              <w:bottom w:val="double" w:sz="6" w:space="0" w:color="002060"/>
              <w:right w:val="double" w:sz="6" w:space="0" w:color="002060"/>
            </w:tcBorders>
            <w:shd w:val="clear" w:color="auto" w:fill="auto"/>
            <w:noWrap/>
            <w:vAlign w:val="bottom"/>
            <w:hideMark/>
          </w:tcPr>
          <w:p w14:paraId="70C4350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90%</w:t>
            </w:r>
          </w:p>
        </w:tc>
        <w:tc>
          <w:tcPr>
            <w:tcW w:w="778" w:type="pct"/>
            <w:tcBorders>
              <w:top w:val="nil"/>
              <w:left w:val="nil"/>
              <w:bottom w:val="double" w:sz="6" w:space="0" w:color="002060"/>
              <w:right w:val="double" w:sz="6" w:space="0" w:color="002060"/>
            </w:tcBorders>
            <w:shd w:val="clear" w:color="auto" w:fill="auto"/>
            <w:noWrap/>
            <w:vAlign w:val="bottom"/>
            <w:hideMark/>
          </w:tcPr>
          <w:p w14:paraId="323265E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w:t>
            </w:r>
          </w:p>
        </w:tc>
        <w:tc>
          <w:tcPr>
            <w:tcW w:w="605" w:type="pct"/>
            <w:tcBorders>
              <w:top w:val="nil"/>
              <w:left w:val="nil"/>
              <w:bottom w:val="double" w:sz="6" w:space="0" w:color="002060"/>
              <w:right w:val="double" w:sz="6" w:space="0" w:color="002060"/>
            </w:tcBorders>
            <w:shd w:val="clear" w:color="auto" w:fill="auto"/>
            <w:noWrap/>
            <w:vAlign w:val="bottom"/>
            <w:hideMark/>
          </w:tcPr>
          <w:p w14:paraId="527CBA4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10%</w:t>
            </w:r>
          </w:p>
        </w:tc>
        <w:tc>
          <w:tcPr>
            <w:tcW w:w="344" w:type="pct"/>
            <w:tcBorders>
              <w:top w:val="nil"/>
              <w:left w:val="nil"/>
              <w:bottom w:val="double" w:sz="6" w:space="0" w:color="002060"/>
              <w:right w:val="double" w:sz="6" w:space="0" w:color="002060"/>
            </w:tcBorders>
            <w:shd w:val="clear" w:color="auto" w:fill="auto"/>
            <w:noWrap/>
            <w:vAlign w:val="bottom"/>
            <w:hideMark/>
          </w:tcPr>
          <w:p w14:paraId="1602B100"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10</w:t>
            </w:r>
          </w:p>
        </w:tc>
      </w:tr>
      <w:tr w:rsidR="005C0932" w:rsidRPr="005149C4" w14:paraId="2ECA1593"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2740012A"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Corredores</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5D7969AC"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9</w:t>
            </w:r>
          </w:p>
        </w:tc>
        <w:tc>
          <w:tcPr>
            <w:tcW w:w="605" w:type="pct"/>
            <w:tcBorders>
              <w:top w:val="nil"/>
              <w:left w:val="nil"/>
              <w:bottom w:val="double" w:sz="6" w:space="0" w:color="002060"/>
              <w:right w:val="double" w:sz="6" w:space="0" w:color="002060"/>
            </w:tcBorders>
            <w:shd w:val="clear" w:color="auto" w:fill="auto"/>
            <w:noWrap/>
            <w:vAlign w:val="bottom"/>
            <w:hideMark/>
          </w:tcPr>
          <w:p w14:paraId="15D7C34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36%</w:t>
            </w:r>
          </w:p>
        </w:tc>
        <w:tc>
          <w:tcPr>
            <w:tcW w:w="778" w:type="pct"/>
            <w:tcBorders>
              <w:top w:val="nil"/>
              <w:left w:val="nil"/>
              <w:bottom w:val="double" w:sz="6" w:space="0" w:color="002060"/>
              <w:right w:val="double" w:sz="6" w:space="0" w:color="002060"/>
            </w:tcBorders>
            <w:shd w:val="clear" w:color="auto" w:fill="auto"/>
            <w:noWrap/>
            <w:vAlign w:val="bottom"/>
            <w:hideMark/>
          </w:tcPr>
          <w:p w14:paraId="116C365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16</w:t>
            </w:r>
          </w:p>
        </w:tc>
        <w:tc>
          <w:tcPr>
            <w:tcW w:w="605" w:type="pct"/>
            <w:tcBorders>
              <w:top w:val="nil"/>
              <w:left w:val="nil"/>
              <w:bottom w:val="double" w:sz="6" w:space="0" w:color="002060"/>
              <w:right w:val="double" w:sz="6" w:space="0" w:color="002060"/>
            </w:tcBorders>
            <w:shd w:val="clear" w:color="auto" w:fill="auto"/>
            <w:noWrap/>
            <w:vAlign w:val="bottom"/>
            <w:hideMark/>
          </w:tcPr>
          <w:p w14:paraId="7F6C96F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64%</w:t>
            </w:r>
          </w:p>
        </w:tc>
        <w:tc>
          <w:tcPr>
            <w:tcW w:w="344" w:type="pct"/>
            <w:tcBorders>
              <w:top w:val="nil"/>
              <w:left w:val="nil"/>
              <w:bottom w:val="double" w:sz="6" w:space="0" w:color="002060"/>
              <w:right w:val="double" w:sz="6" w:space="0" w:color="002060"/>
            </w:tcBorders>
            <w:shd w:val="clear" w:color="auto" w:fill="auto"/>
            <w:noWrap/>
            <w:vAlign w:val="bottom"/>
            <w:hideMark/>
          </w:tcPr>
          <w:p w14:paraId="03E978C0"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25</w:t>
            </w:r>
          </w:p>
        </w:tc>
      </w:tr>
      <w:tr w:rsidR="005C0932" w:rsidRPr="005149C4" w14:paraId="7461AAB3"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19AA683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Quepos</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396DE31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c>
          <w:tcPr>
            <w:tcW w:w="605" w:type="pct"/>
            <w:tcBorders>
              <w:top w:val="nil"/>
              <w:left w:val="nil"/>
              <w:bottom w:val="double" w:sz="6" w:space="0" w:color="002060"/>
              <w:right w:val="double" w:sz="6" w:space="0" w:color="002060"/>
            </w:tcBorders>
            <w:shd w:val="clear" w:color="auto" w:fill="auto"/>
            <w:noWrap/>
            <w:vAlign w:val="bottom"/>
            <w:hideMark/>
          </w:tcPr>
          <w:p w14:paraId="47AD0D7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71%</w:t>
            </w:r>
          </w:p>
        </w:tc>
        <w:tc>
          <w:tcPr>
            <w:tcW w:w="778" w:type="pct"/>
            <w:tcBorders>
              <w:top w:val="nil"/>
              <w:left w:val="nil"/>
              <w:bottom w:val="double" w:sz="6" w:space="0" w:color="002060"/>
              <w:right w:val="double" w:sz="6" w:space="0" w:color="002060"/>
            </w:tcBorders>
            <w:shd w:val="clear" w:color="auto" w:fill="auto"/>
            <w:noWrap/>
            <w:vAlign w:val="bottom"/>
            <w:hideMark/>
          </w:tcPr>
          <w:p w14:paraId="54EB807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w:t>
            </w:r>
          </w:p>
        </w:tc>
        <w:tc>
          <w:tcPr>
            <w:tcW w:w="605" w:type="pct"/>
            <w:tcBorders>
              <w:top w:val="nil"/>
              <w:left w:val="nil"/>
              <w:bottom w:val="double" w:sz="6" w:space="0" w:color="002060"/>
              <w:right w:val="double" w:sz="6" w:space="0" w:color="002060"/>
            </w:tcBorders>
            <w:shd w:val="clear" w:color="auto" w:fill="auto"/>
            <w:noWrap/>
            <w:vAlign w:val="bottom"/>
            <w:hideMark/>
          </w:tcPr>
          <w:p w14:paraId="69ABA845"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29%</w:t>
            </w:r>
          </w:p>
        </w:tc>
        <w:tc>
          <w:tcPr>
            <w:tcW w:w="344" w:type="pct"/>
            <w:tcBorders>
              <w:top w:val="nil"/>
              <w:left w:val="nil"/>
              <w:bottom w:val="double" w:sz="6" w:space="0" w:color="002060"/>
              <w:right w:val="double" w:sz="6" w:space="0" w:color="002060"/>
            </w:tcBorders>
            <w:shd w:val="clear" w:color="auto" w:fill="auto"/>
            <w:noWrap/>
            <w:vAlign w:val="bottom"/>
            <w:hideMark/>
          </w:tcPr>
          <w:p w14:paraId="79635FDD"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7</w:t>
            </w:r>
          </w:p>
        </w:tc>
      </w:tr>
      <w:tr w:rsidR="005C0932" w:rsidRPr="005149C4" w14:paraId="195FD86B"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61DE9A5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Buenos Aires</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33D3416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4</w:t>
            </w:r>
          </w:p>
        </w:tc>
        <w:tc>
          <w:tcPr>
            <w:tcW w:w="605" w:type="pct"/>
            <w:tcBorders>
              <w:top w:val="nil"/>
              <w:left w:val="nil"/>
              <w:bottom w:val="double" w:sz="6" w:space="0" w:color="002060"/>
              <w:right w:val="double" w:sz="6" w:space="0" w:color="002060"/>
            </w:tcBorders>
            <w:shd w:val="clear" w:color="auto" w:fill="auto"/>
            <w:noWrap/>
            <w:vAlign w:val="bottom"/>
            <w:hideMark/>
          </w:tcPr>
          <w:p w14:paraId="4A8047A2"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80%</w:t>
            </w:r>
          </w:p>
        </w:tc>
        <w:tc>
          <w:tcPr>
            <w:tcW w:w="778" w:type="pct"/>
            <w:tcBorders>
              <w:top w:val="nil"/>
              <w:left w:val="nil"/>
              <w:bottom w:val="double" w:sz="6" w:space="0" w:color="002060"/>
              <w:right w:val="double" w:sz="6" w:space="0" w:color="002060"/>
            </w:tcBorders>
            <w:shd w:val="clear" w:color="auto" w:fill="auto"/>
            <w:noWrap/>
            <w:vAlign w:val="bottom"/>
            <w:hideMark/>
          </w:tcPr>
          <w:p w14:paraId="3648F56F"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w:t>
            </w:r>
          </w:p>
        </w:tc>
        <w:tc>
          <w:tcPr>
            <w:tcW w:w="605" w:type="pct"/>
            <w:tcBorders>
              <w:top w:val="nil"/>
              <w:left w:val="nil"/>
              <w:bottom w:val="double" w:sz="6" w:space="0" w:color="002060"/>
              <w:right w:val="double" w:sz="6" w:space="0" w:color="002060"/>
            </w:tcBorders>
            <w:shd w:val="clear" w:color="auto" w:fill="auto"/>
            <w:noWrap/>
            <w:vAlign w:val="bottom"/>
            <w:hideMark/>
          </w:tcPr>
          <w:p w14:paraId="27FC6629"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20%</w:t>
            </w:r>
          </w:p>
        </w:tc>
        <w:tc>
          <w:tcPr>
            <w:tcW w:w="344" w:type="pct"/>
            <w:tcBorders>
              <w:top w:val="nil"/>
              <w:left w:val="nil"/>
              <w:bottom w:val="double" w:sz="6" w:space="0" w:color="002060"/>
              <w:right w:val="double" w:sz="6" w:space="0" w:color="002060"/>
            </w:tcBorders>
            <w:shd w:val="clear" w:color="auto" w:fill="auto"/>
            <w:noWrap/>
            <w:vAlign w:val="bottom"/>
            <w:hideMark/>
          </w:tcPr>
          <w:p w14:paraId="18E80DA3"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5</w:t>
            </w:r>
          </w:p>
        </w:tc>
      </w:tr>
      <w:tr w:rsidR="005C0932" w:rsidRPr="005149C4" w14:paraId="38702C3C"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0CFE4F2D"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I Circuito Judicial de la Zona Sur</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13301DB5"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7</w:t>
            </w:r>
          </w:p>
        </w:tc>
        <w:tc>
          <w:tcPr>
            <w:tcW w:w="605" w:type="pct"/>
            <w:tcBorders>
              <w:top w:val="nil"/>
              <w:left w:val="nil"/>
              <w:bottom w:val="double" w:sz="6" w:space="0" w:color="002060"/>
              <w:right w:val="double" w:sz="6" w:space="0" w:color="002060"/>
            </w:tcBorders>
            <w:shd w:val="clear" w:color="auto" w:fill="auto"/>
            <w:noWrap/>
            <w:vAlign w:val="bottom"/>
            <w:hideMark/>
          </w:tcPr>
          <w:p w14:paraId="37F0709C"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70%</w:t>
            </w:r>
          </w:p>
        </w:tc>
        <w:tc>
          <w:tcPr>
            <w:tcW w:w="778" w:type="pct"/>
            <w:tcBorders>
              <w:top w:val="nil"/>
              <w:left w:val="nil"/>
              <w:bottom w:val="double" w:sz="6" w:space="0" w:color="002060"/>
              <w:right w:val="double" w:sz="6" w:space="0" w:color="002060"/>
            </w:tcBorders>
            <w:shd w:val="clear" w:color="auto" w:fill="auto"/>
            <w:noWrap/>
            <w:vAlign w:val="bottom"/>
            <w:hideMark/>
          </w:tcPr>
          <w:p w14:paraId="1E1CF1E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w:t>
            </w:r>
          </w:p>
        </w:tc>
        <w:tc>
          <w:tcPr>
            <w:tcW w:w="605" w:type="pct"/>
            <w:tcBorders>
              <w:top w:val="nil"/>
              <w:left w:val="nil"/>
              <w:bottom w:val="double" w:sz="6" w:space="0" w:color="002060"/>
              <w:right w:val="double" w:sz="6" w:space="0" w:color="002060"/>
            </w:tcBorders>
            <w:shd w:val="clear" w:color="auto" w:fill="auto"/>
            <w:noWrap/>
            <w:vAlign w:val="bottom"/>
            <w:hideMark/>
          </w:tcPr>
          <w:p w14:paraId="577A0875"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30%</w:t>
            </w:r>
          </w:p>
        </w:tc>
        <w:tc>
          <w:tcPr>
            <w:tcW w:w="344" w:type="pct"/>
            <w:tcBorders>
              <w:top w:val="nil"/>
              <w:left w:val="nil"/>
              <w:bottom w:val="double" w:sz="6" w:space="0" w:color="002060"/>
              <w:right w:val="double" w:sz="6" w:space="0" w:color="002060"/>
            </w:tcBorders>
            <w:shd w:val="clear" w:color="auto" w:fill="auto"/>
            <w:noWrap/>
            <w:vAlign w:val="bottom"/>
            <w:hideMark/>
          </w:tcPr>
          <w:p w14:paraId="7FA357E7"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10</w:t>
            </w:r>
          </w:p>
        </w:tc>
      </w:tr>
      <w:tr w:rsidR="005C0932" w:rsidRPr="005149C4" w14:paraId="2FD1FF55" w14:textId="77777777" w:rsidTr="005C0932">
        <w:trPr>
          <w:trHeight w:val="330"/>
        </w:trPr>
        <w:tc>
          <w:tcPr>
            <w:tcW w:w="2044" w:type="pct"/>
            <w:tcBorders>
              <w:top w:val="nil"/>
              <w:left w:val="double" w:sz="6" w:space="0" w:color="002060"/>
              <w:bottom w:val="double" w:sz="6" w:space="0" w:color="002060"/>
              <w:right w:val="nil"/>
            </w:tcBorders>
            <w:shd w:val="clear" w:color="auto" w:fill="auto"/>
            <w:noWrap/>
            <w:vAlign w:val="bottom"/>
            <w:hideMark/>
          </w:tcPr>
          <w:p w14:paraId="425DC241"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II Circuito Judicial de la Zona Atlántica</w:t>
            </w:r>
          </w:p>
        </w:tc>
        <w:tc>
          <w:tcPr>
            <w:tcW w:w="625" w:type="pct"/>
            <w:tcBorders>
              <w:top w:val="nil"/>
              <w:left w:val="double" w:sz="6" w:space="0" w:color="002060"/>
              <w:bottom w:val="double" w:sz="6" w:space="0" w:color="002060"/>
              <w:right w:val="double" w:sz="6" w:space="0" w:color="002060"/>
            </w:tcBorders>
            <w:shd w:val="clear" w:color="auto" w:fill="auto"/>
            <w:noWrap/>
            <w:vAlign w:val="bottom"/>
            <w:hideMark/>
          </w:tcPr>
          <w:p w14:paraId="21F203E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w:t>
            </w:r>
          </w:p>
        </w:tc>
        <w:tc>
          <w:tcPr>
            <w:tcW w:w="605" w:type="pct"/>
            <w:tcBorders>
              <w:top w:val="nil"/>
              <w:left w:val="nil"/>
              <w:bottom w:val="double" w:sz="6" w:space="0" w:color="002060"/>
              <w:right w:val="double" w:sz="6" w:space="0" w:color="002060"/>
            </w:tcBorders>
            <w:shd w:val="clear" w:color="auto" w:fill="auto"/>
            <w:noWrap/>
            <w:vAlign w:val="bottom"/>
            <w:hideMark/>
          </w:tcPr>
          <w:p w14:paraId="5C8C1838"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89%</w:t>
            </w:r>
          </w:p>
        </w:tc>
        <w:tc>
          <w:tcPr>
            <w:tcW w:w="778" w:type="pct"/>
            <w:tcBorders>
              <w:top w:val="nil"/>
              <w:left w:val="nil"/>
              <w:bottom w:val="double" w:sz="6" w:space="0" w:color="002060"/>
              <w:right w:val="double" w:sz="6" w:space="0" w:color="002060"/>
            </w:tcBorders>
            <w:shd w:val="clear" w:color="auto" w:fill="auto"/>
            <w:noWrap/>
            <w:vAlign w:val="bottom"/>
            <w:hideMark/>
          </w:tcPr>
          <w:p w14:paraId="058A06BF"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w:t>
            </w:r>
          </w:p>
        </w:tc>
        <w:tc>
          <w:tcPr>
            <w:tcW w:w="605" w:type="pct"/>
            <w:tcBorders>
              <w:top w:val="nil"/>
              <w:left w:val="nil"/>
              <w:bottom w:val="double" w:sz="6" w:space="0" w:color="002060"/>
              <w:right w:val="double" w:sz="6" w:space="0" w:color="002060"/>
            </w:tcBorders>
            <w:shd w:val="clear" w:color="auto" w:fill="auto"/>
            <w:noWrap/>
            <w:vAlign w:val="bottom"/>
            <w:hideMark/>
          </w:tcPr>
          <w:p w14:paraId="1B317E2B"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11%</w:t>
            </w:r>
          </w:p>
        </w:tc>
        <w:tc>
          <w:tcPr>
            <w:tcW w:w="344" w:type="pct"/>
            <w:tcBorders>
              <w:top w:val="nil"/>
              <w:left w:val="nil"/>
              <w:bottom w:val="double" w:sz="6" w:space="0" w:color="002060"/>
              <w:right w:val="double" w:sz="6" w:space="0" w:color="002060"/>
            </w:tcBorders>
            <w:shd w:val="clear" w:color="auto" w:fill="auto"/>
            <w:noWrap/>
            <w:vAlign w:val="bottom"/>
            <w:hideMark/>
          </w:tcPr>
          <w:p w14:paraId="54C1F49D"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9</w:t>
            </w:r>
          </w:p>
        </w:tc>
      </w:tr>
      <w:tr w:rsidR="005C0932" w:rsidRPr="005149C4" w14:paraId="3323B779" w14:textId="77777777" w:rsidTr="005C0932">
        <w:trPr>
          <w:trHeight w:val="330"/>
        </w:trPr>
        <w:tc>
          <w:tcPr>
            <w:tcW w:w="2044" w:type="pct"/>
            <w:tcBorders>
              <w:top w:val="nil"/>
              <w:left w:val="double" w:sz="6" w:space="0" w:color="002060"/>
              <w:bottom w:val="single" w:sz="4" w:space="0" w:color="auto"/>
              <w:right w:val="nil"/>
            </w:tcBorders>
            <w:shd w:val="clear" w:color="auto" w:fill="auto"/>
            <w:noWrap/>
            <w:vAlign w:val="bottom"/>
            <w:hideMark/>
          </w:tcPr>
          <w:p w14:paraId="263D209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I Circuito Judicial de la Zona Atlántica</w:t>
            </w:r>
          </w:p>
        </w:tc>
        <w:tc>
          <w:tcPr>
            <w:tcW w:w="625" w:type="pct"/>
            <w:tcBorders>
              <w:top w:val="nil"/>
              <w:left w:val="double" w:sz="6" w:space="0" w:color="002060"/>
              <w:bottom w:val="single" w:sz="4" w:space="0" w:color="auto"/>
              <w:right w:val="double" w:sz="6" w:space="0" w:color="002060"/>
            </w:tcBorders>
            <w:shd w:val="clear" w:color="auto" w:fill="auto"/>
            <w:noWrap/>
            <w:vAlign w:val="bottom"/>
            <w:hideMark/>
          </w:tcPr>
          <w:p w14:paraId="121924D8"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29</w:t>
            </w:r>
          </w:p>
        </w:tc>
        <w:tc>
          <w:tcPr>
            <w:tcW w:w="605" w:type="pct"/>
            <w:tcBorders>
              <w:top w:val="nil"/>
              <w:left w:val="nil"/>
              <w:bottom w:val="single" w:sz="4" w:space="0" w:color="auto"/>
              <w:right w:val="double" w:sz="6" w:space="0" w:color="002060"/>
            </w:tcBorders>
            <w:shd w:val="clear" w:color="auto" w:fill="auto"/>
            <w:noWrap/>
            <w:vAlign w:val="bottom"/>
            <w:hideMark/>
          </w:tcPr>
          <w:p w14:paraId="69A724F8"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81%</w:t>
            </w:r>
          </w:p>
        </w:tc>
        <w:tc>
          <w:tcPr>
            <w:tcW w:w="778" w:type="pct"/>
            <w:tcBorders>
              <w:top w:val="nil"/>
              <w:left w:val="nil"/>
              <w:bottom w:val="single" w:sz="4" w:space="0" w:color="auto"/>
              <w:right w:val="double" w:sz="6" w:space="0" w:color="002060"/>
            </w:tcBorders>
            <w:shd w:val="clear" w:color="auto" w:fill="auto"/>
            <w:noWrap/>
            <w:vAlign w:val="bottom"/>
            <w:hideMark/>
          </w:tcPr>
          <w:p w14:paraId="4C422844"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7</w:t>
            </w:r>
          </w:p>
        </w:tc>
        <w:tc>
          <w:tcPr>
            <w:tcW w:w="605" w:type="pct"/>
            <w:tcBorders>
              <w:top w:val="nil"/>
              <w:left w:val="nil"/>
              <w:bottom w:val="single" w:sz="4" w:space="0" w:color="auto"/>
              <w:right w:val="double" w:sz="6" w:space="0" w:color="002060"/>
            </w:tcBorders>
            <w:shd w:val="clear" w:color="auto" w:fill="auto"/>
            <w:noWrap/>
            <w:vAlign w:val="bottom"/>
            <w:hideMark/>
          </w:tcPr>
          <w:p w14:paraId="210FA14E"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19%</w:t>
            </w:r>
          </w:p>
        </w:tc>
        <w:tc>
          <w:tcPr>
            <w:tcW w:w="344" w:type="pct"/>
            <w:tcBorders>
              <w:top w:val="nil"/>
              <w:left w:val="nil"/>
              <w:bottom w:val="single" w:sz="4" w:space="0" w:color="auto"/>
              <w:right w:val="double" w:sz="6" w:space="0" w:color="002060"/>
            </w:tcBorders>
            <w:shd w:val="clear" w:color="auto" w:fill="auto"/>
            <w:noWrap/>
            <w:vAlign w:val="bottom"/>
            <w:hideMark/>
          </w:tcPr>
          <w:p w14:paraId="6FABF6B0" w14:textId="77777777" w:rsidR="00D55C88" w:rsidRPr="00D55C88" w:rsidRDefault="00D55C88" w:rsidP="00D55C88">
            <w:pPr>
              <w:spacing w:before="0" w:after="0" w:line="240" w:lineRule="auto"/>
              <w:jc w:val="center"/>
              <w:rPr>
                <w:rFonts w:eastAsia="Times New Roman" w:cs="Calibri"/>
                <w:color w:val="000000"/>
                <w:sz w:val="18"/>
                <w:szCs w:val="18"/>
                <w:lang w:eastAsia="es-CR"/>
              </w:rPr>
            </w:pPr>
            <w:r w:rsidRPr="00D55C88">
              <w:rPr>
                <w:rFonts w:eastAsia="Times New Roman" w:cs="Calibri"/>
                <w:color w:val="000000"/>
                <w:sz w:val="18"/>
                <w:szCs w:val="18"/>
                <w:lang w:eastAsia="es-CR"/>
              </w:rPr>
              <w:t>36</w:t>
            </w:r>
          </w:p>
        </w:tc>
      </w:tr>
    </w:tbl>
    <w:p w14:paraId="08200973" w14:textId="73C8510A" w:rsidR="00C818F0" w:rsidRPr="005149C4" w:rsidRDefault="00C818F0" w:rsidP="00C818F0">
      <w:pPr>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902356"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 </w:t>
      </w:r>
    </w:p>
    <w:p w14:paraId="3E2DADAB" w14:textId="77777777" w:rsidR="009C56ED" w:rsidRPr="005149C4" w:rsidRDefault="00C818F0" w:rsidP="00C818F0">
      <w:pPr>
        <w:tabs>
          <w:tab w:val="left" w:pos="0"/>
        </w:tabs>
      </w:pPr>
      <w:r w:rsidRPr="005149C4">
        <w:t>Respecto a los tres Circuitos Judiciales de San José, se cuenta con una plaza de Trabajadora o Trabajador Social para atender la materia Penal Juvenil. En el caso del Primer</w:t>
      </w:r>
      <w:r w:rsidR="007C1E5C" w:rsidRPr="005149C4">
        <w:t>o y Tercer</w:t>
      </w:r>
      <w:r w:rsidRPr="005149C4">
        <w:t xml:space="preserve"> Circuito Judicial de Alajuela</w:t>
      </w:r>
      <w:r w:rsidR="007C1E5C" w:rsidRPr="005149C4">
        <w:t xml:space="preserve"> </w:t>
      </w:r>
      <w:r w:rsidRPr="005149C4">
        <w:t>se cuenta con una plaza de Trabajadora o Trabajador Social que atienden de forma conjunta la materia Penal Juvenil y Penal Adulto, mientras que</w:t>
      </w:r>
      <w:r w:rsidR="007C1E5C" w:rsidRPr="005149C4">
        <w:t xml:space="preserve"> en el II Circuito Judicial de Alajuela la plaza de Trabajadora o Trabajador Social</w:t>
      </w:r>
      <w:r w:rsidRPr="005149C4">
        <w:t xml:space="preserve"> </w:t>
      </w:r>
      <w:r w:rsidR="006F2B22" w:rsidRPr="005149C4">
        <w:t xml:space="preserve">solamente atiende la materia Penal Juvenil y adicionalmente brinda soporte al </w:t>
      </w:r>
      <w:r w:rsidR="009C56ED" w:rsidRPr="005149C4">
        <w:t>Circuito Judicial de Puntarenas.</w:t>
      </w:r>
    </w:p>
    <w:p w14:paraId="50172A70" w14:textId="5D601FBD" w:rsidR="00C818F0" w:rsidRPr="005149C4" w:rsidRDefault="002E610C" w:rsidP="00C818F0">
      <w:pPr>
        <w:tabs>
          <w:tab w:val="left" w:pos="0"/>
        </w:tabs>
      </w:pPr>
      <w:r w:rsidRPr="005149C4">
        <w:t>El recurso</w:t>
      </w:r>
      <w:r w:rsidR="00C818F0" w:rsidRPr="005149C4">
        <w:t xml:space="preserve"> del equipo psicosocial se comparte con la materia Penal Adulta en el caso de Heredia, Cartago</w:t>
      </w:r>
      <w:r w:rsidR="0083394D" w:rsidRPr="005149C4">
        <w:t>,</w:t>
      </w:r>
      <w:r w:rsidR="00C818F0" w:rsidRPr="005149C4">
        <w:t xml:space="preserve"> </w:t>
      </w:r>
      <w:r w:rsidR="0083394D" w:rsidRPr="005149C4">
        <w:t>I y II</w:t>
      </w:r>
      <w:r w:rsidR="00C818F0" w:rsidRPr="005149C4">
        <w:t xml:space="preserve"> Circuito</w:t>
      </w:r>
      <w:r w:rsidR="0083394D" w:rsidRPr="005149C4">
        <w:t xml:space="preserve"> Judicial</w:t>
      </w:r>
      <w:r w:rsidR="00C818F0" w:rsidRPr="005149C4">
        <w:t xml:space="preserve"> de la Zona Sur</w:t>
      </w:r>
      <w:r w:rsidR="00DD53E8" w:rsidRPr="005149C4">
        <w:t xml:space="preserve"> y II Circuito Judicial de la Zona Atlántica</w:t>
      </w:r>
      <w:r w:rsidR="00C818F0" w:rsidRPr="005149C4">
        <w:t xml:space="preserve">. </w:t>
      </w:r>
    </w:p>
    <w:p w14:paraId="4BAE7040" w14:textId="485EBB73" w:rsidR="00F736AE" w:rsidRPr="005149C4" w:rsidRDefault="00F736AE" w:rsidP="00C818F0">
      <w:pPr>
        <w:tabs>
          <w:tab w:val="left" w:pos="0"/>
        </w:tabs>
      </w:pPr>
      <w:r w:rsidRPr="005149C4">
        <w:t xml:space="preserve">Para el I Circuito Judicial de la Zona Atlántica se </w:t>
      </w:r>
      <w:r w:rsidR="002678C9" w:rsidRPr="005149C4">
        <w:t xml:space="preserve">cuenta con una plaza de Psicóloga o Psicólogo </w:t>
      </w:r>
      <w:r w:rsidR="00786128" w:rsidRPr="005149C4">
        <w:t xml:space="preserve">para la atención de la materia Penal Adulto y Penal Juvenil. </w:t>
      </w:r>
      <w:r w:rsidR="00564588" w:rsidRPr="005149C4">
        <w:t xml:space="preserve">En el caso del I y II Circuito Judicial </w:t>
      </w:r>
      <w:r w:rsidR="00B978AC" w:rsidRPr="005149C4">
        <w:t>de Guanacaste</w:t>
      </w:r>
      <w:r w:rsidR="00E23406" w:rsidRPr="005149C4">
        <w:t xml:space="preserve"> se cuenta con una plaza de Trabajadora o Trabajador Social que atiende la materia Penal Juvenil en ambos circuitos judiciales.</w:t>
      </w:r>
    </w:p>
    <w:p w14:paraId="23C3E43B" w14:textId="0CC7FEA0" w:rsidR="00C818F0" w:rsidRPr="005149C4" w:rsidRDefault="00C818F0" w:rsidP="00C818F0">
      <w:pPr>
        <w:tabs>
          <w:tab w:val="left" w:pos="0"/>
        </w:tabs>
      </w:pPr>
      <w:r w:rsidRPr="005149C4">
        <w:t xml:space="preserve"> En el </w:t>
      </w:r>
      <w:r w:rsidRPr="005149C4">
        <w:fldChar w:fldCharType="begin"/>
      </w:r>
      <w:r w:rsidRPr="005149C4">
        <w:instrText xml:space="preserve"> REF _Ref31636350 \h  \* MERGEFORMAT </w:instrText>
      </w:r>
      <w:r w:rsidRPr="005149C4">
        <w:fldChar w:fldCharType="separate"/>
      </w:r>
      <w:r w:rsidR="00EC44E6" w:rsidRPr="005149C4">
        <w:t>Cuadro 14</w:t>
      </w:r>
      <w:r w:rsidRPr="005149C4">
        <w:fldChar w:fldCharType="end"/>
      </w:r>
      <w:r w:rsidRPr="005149C4">
        <w:t xml:space="preserve"> se muestra el comportamiento de las reuniones restaurativas programadas para la materia Penal Juvenil durante el año 202</w:t>
      </w:r>
      <w:r w:rsidR="005C0932" w:rsidRPr="005149C4">
        <w:t>1</w:t>
      </w:r>
      <w:r w:rsidRPr="005149C4">
        <w:t>, para las que se cuenta con un porcentaje de realización promedio de 7</w:t>
      </w:r>
      <w:r w:rsidR="005C0932" w:rsidRPr="005149C4">
        <w:t>6</w:t>
      </w:r>
      <w:r w:rsidRPr="005149C4">
        <w:t>% y un porcentaje promedio de no realización equivalente a un 2</w:t>
      </w:r>
      <w:r w:rsidR="005C0932" w:rsidRPr="005149C4">
        <w:t>4</w:t>
      </w:r>
      <w:r w:rsidRPr="005149C4">
        <w:t>%.</w:t>
      </w:r>
    </w:p>
    <w:p w14:paraId="2D17613C" w14:textId="21D01D8B" w:rsidR="00C818F0" w:rsidRPr="005149C4" w:rsidRDefault="00C818F0" w:rsidP="00C818F0">
      <w:pPr>
        <w:tabs>
          <w:tab w:val="left" w:pos="0"/>
        </w:tabs>
      </w:pPr>
      <w:r w:rsidRPr="005149C4">
        <w:t>Por otra parte, se identifica que la mayor cantidad de reuniones restaurativas fueron realizadas en San José, y que es importante indicar que en este caso se cuenta con una plaza de Trabajadora Social o Trabajador Social dedicada de forma exclusiva a la atención de los asuntos en Penal Juvenil y que su cobertura corresponde a los tres Circuitos Judiciales de San José.</w:t>
      </w:r>
    </w:p>
    <w:p w14:paraId="74F9FE4E" w14:textId="242D4202" w:rsidR="00C818F0" w:rsidRPr="005149C4" w:rsidRDefault="00C818F0" w:rsidP="00C818F0">
      <w:pPr>
        <w:tabs>
          <w:tab w:val="left" w:pos="0"/>
        </w:tabs>
      </w:pPr>
      <w:r w:rsidRPr="005149C4">
        <w:t xml:space="preserve">En segundo lugar, se ubican los Circuitos Judiciales de Alajuela, con </w:t>
      </w:r>
      <w:r w:rsidR="005C0932" w:rsidRPr="005149C4">
        <w:t>4</w:t>
      </w:r>
      <w:r w:rsidRPr="005149C4">
        <w:t>2 reuniones restaurativas realizadas, seguido del Primer Circuito Judicial de la Zona Atlántica con 2</w:t>
      </w:r>
      <w:r w:rsidR="005C0932" w:rsidRPr="005149C4">
        <w:t>9</w:t>
      </w:r>
      <w:r w:rsidRPr="005149C4">
        <w:t xml:space="preserve"> reuniones restaurativas. </w:t>
      </w:r>
    </w:p>
    <w:p w14:paraId="359DE96D" w14:textId="77777777" w:rsidR="00C818F0" w:rsidRPr="005149C4" w:rsidRDefault="00C818F0" w:rsidP="00C818F0">
      <w:pPr>
        <w:tabs>
          <w:tab w:val="left" w:pos="0"/>
        </w:tabs>
      </w:pPr>
      <w:r w:rsidRPr="005149C4">
        <w:t>En el cuadro siguiente se muestra la cantidad de reuniones restaurativas realizadas de forma mensual por los equipos psicosociales que atienden la materia Penal Juvenil:</w:t>
      </w:r>
    </w:p>
    <w:p w14:paraId="0610D471" w14:textId="6B3D384D" w:rsidR="00C818F0" w:rsidRPr="005149C4" w:rsidRDefault="00C818F0" w:rsidP="00C818F0">
      <w:pPr>
        <w:tabs>
          <w:tab w:val="left" w:pos="0"/>
        </w:tabs>
        <w:jc w:val="center"/>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15</w:t>
      </w:r>
      <w:r w:rsidRPr="005149C4">
        <w:rPr>
          <w:b/>
          <w:bCs/>
          <w:sz w:val="20"/>
          <w:szCs w:val="20"/>
        </w:rPr>
        <w:fldChar w:fldCharType="end"/>
      </w:r>
      <w:r w:rsidRPr="005149C4">
        <w:rPr>
          <w:b/>
          <w:bCs/>
          <w:sz w:val="20"/>
          <w:szCs w:val="20"/>
        </w:rPr>
        <w:t>. Reuniones Restaurativas mensuales en materia Penal Juvenil durante el 202</w:t>
      </w:r>
      <w:r w:rsidR="003C2344" w:rsidRPr="005149C4">
        <w:rPr>
          <w:b/>
          <w:bCs/>
          <w:sz w:val="20"/>
          <w:szCs w:val="20"/>
        </w:rPr>
        <w:t>1</w:t>
      </w:r>
      <w:r w:rsidRPr="005149C4">
        <w:rPr>
          <w:b/>
          <w:bCs/>
          <w:sz w:val="20"/>
          <w:szCs w:val="20"/>
        </w:rPr>
        <w:t>.</w:t>
      </w:r>
    </w:p>
    <w:tbl>
      <w:tblPr>
        <w:tblW w:w="8500" w:type="dxa"/>
        <w:tblCellMar>
          <w:left w:w="70" w:type="dxa"/>
          <w:right w:w="70" w:type="dxa"/>
        </w:tblCellMar>
        <w:tblLook w:val="04A0" w:firstRow="1" w:lastRow="0" w:firstColumn="1" w:lastColumn="0" w:noHBand="0" w:noVBand="1"/>
      </w:tblPr>
      <w:tblGrid>
        <w:gridCol w:w="3663"/>
        <w:gridCol w:w="2410"/>
        <w:gridCol w:w="2427"/>
      </w:tblGrid>
      <w:tr w:rsidR="003C2344" w:rsidRPr="003C2344" w14:paraId="02478900" w14:textId="77777777" w:rsidTr="003C2344">
        <w:trPr>
          <w:trHeight w:val="330"/>
        </w:trPr>
        <w:tc>
          <w:tcPr>
            <w:tcW w:w="3663" w:type="dxa"/>
            <w:tcBorders>
              <w:top w:val="double" w:sz="6" w:space="0" w:color="002060"/>
              <w:left w:val="double" w:sz="6" w:space="0" w:color="002060"/>
              <w:bottom w:val="double" w:sz="6" w:space="0" w:color="002060"/>
              <w:right w:val="double" w:sz="6" w:space="0" w:color="002060"/>
            </w:tcBorders>
            <w:shd w:val="clear" w:color="000000" w:fill="365F91"/>
            <w:vAlign w:val="center"/>
            <w:hideMark/>
          </w:tcPr>
          <w:p w14:paraId="3BD3099F"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Circuito Judicial</w:t>
            </w:r>
          </w:p>
        </w:tc>
        <w:tc>
          <w:tcPr>
            <w:tcW w:w="2410" w:type="dxa"/>
            <w:tcBorders>
              <w:top w:val="double" w:sz="6" w:space="0" w:color="002060"/>
              <w:left w:val="nil"/>
              <w:bottom w:val="nil"/>
              <w:right w:val="double" w:sz="6" w:space="0" w:color="002060"/>
            </w:tcBorders>
            <w:shd w:val="clear" w:color="000000" w:fill="365F91"/>
            <w:noWrap/>
            <w:vAlign w:val="center"/>
            <w:hideMark/>
          </w:tcPr>
          <w:p w14:paraId="2A24DA7A"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Realizadas</w:t>
            </w:r>
          </w:p>
        </w:tc>
        <w:tc>
          <w:tcPr>
            <w:tcW w:w="2427" w:type="dxa"/>
            <w:tcBorders>
              <w:top w:val="double" w:sz="6" w:space="0" w:color="002060"/>
              <w:left w:val="nil"/>
              <w:bottom w:val="double" w:sz="6" w:space="0" w:color="002060"/>
              <w:right w:val="double" w:sz="6" w:space="0" w:color="002060"/>
            </w:tcBorders>
            <w:shd w:val="clear" w:color="000000" w:fill="365F91"/>
            <w:noWrap/>
            <w:vAlign w:val="center"/>
            <w:hideMark/>
          </w:tcPr>
          <w:p w14:paraId="62DE3942"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Realizadas por mes</w:t>
            </w:r>
          </w:p>
        </w:tc>
      </w:tr>
      <w:tr w:rsidR="003C2344" w:rsidRPr="003C2344" w14:paraId="43E69FD9"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0D5F675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San José</w:t>
            </w:r>
          </w:p>
        </w:tc>
        <w:tc>
          <w:tcPr>
            <w:tcW w:w="2410" w:type="dxa"/>
            <w:tcBorders>
              <w:top w:val="double" w:sz="6" w:space="0" w:color="002060"/>
              <w:left w:val="double" w:sz="6" w:space="0" w:color="002060"/>
              <w:bottom w:val="double" w:sz="6" w:space="0" w:color="002060"/>
              <w:right w:val="double" w:sz="6" w:space="0" w:color="002060"/>
            </w:tcBorders>
            <w:shd w:val="clear" w:color="auto" w:fill="auto"/>
            <w:noWrap/>
            <w:vAlign w:val="bottom"/>
            <w:hideMark/>
          </w:tcPr>
          <w:p w14:paraId="200B6F9D"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83</w:t>
            </w:r>
          </w:p>
        </w:tc>
        <w:tc>
          <w:tcPr>
            <w:tcW w:w="2427" w:type="dxa"/>
            <w:tcBorders>
              <w:top w:val="nil"/>
              <w:left w:val="nil"/>
              <w:bottom w:val="double" w:sz="6" w:space="0" w:color="002060"/>
              <w:right w:val="double" w:sz="6" w:space="0" w:color="002060"/>
            </w:tcBorders>
            <w:shd w:val="clear" w:color="auto" w:fill="auto"/>
            <w:noWrap/>
            <w:vAlign w:val="bottom"/>
            <w:hideMark/>
          </w:tcPr>
          <w:p w14:paraId="71C594B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7</w:t>
            </w:r>
          </w:p>
        </w:tc>
      </w:tr>
      <w:tr w:rsidR="003C2344" w:rsidRPr="003C2344" w14:paraId="6427EE2B"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018F156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Puriscal</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69342A5D"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c>
          <w:tcPr>
            <w:tcW w:w="2427" w:type="dxa"/>
            <w:tcBorders>
              <w:top w:val="nil"/>
              <w:left w:val="nil"/>
              <w:bottom w:val="double" w:sz="6" w:space="0" w:color="002060"/>
              <w:right w:val="double" w:sz="6" w:space="0" w:color="002060"/>
            </w:tcBorders>
            <w:shd w:val="clear" w:color="auto" w:fill="auto"/>
            <w:noWrap/>
            <w:vAlign w:val="bottom"/>
            <w:hideMark/>
          </w:tcPr>
          <w:p w14:paraId="114A22D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682AD474"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6AE8D3D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Alajuela</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0112DDD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42</w:t>
            </w:r>
          </w:p>
        </w:tc>
        <w:tc>
          <w:tcPr>
            <w:tcW w:w="2427" w:type="dxa"/>
            <w:tcBorders>
              <w:top w:val="nil"/>
              <w:left w:val="nil"/>
              <w:bottom w:val="double" w:sz="6" w:space="0" w:color="002060"/>
              <w:right w:val="double" w:sz="6" w:space="0" w:color="002060"/>
            </w:tcBorders>
            <w:shd w:val="clear" w:color="auto" w:fill="auto"/>
            <w:noWrap/>
            <w:vAlign w:val="bottom"/>
            <w:hideMark/>
          </w:tcPr>
          <w:p w14:paraId="4BD5E7C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4</w:t>
            </w:r>
          </w:p>
        </w:tc>
      </w:tr>
      <w:tr w:rsidR="003C2344" w:rsidRPr="003C2344" w14:paraId="2ABE262D"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4E254CC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San Ramón</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07FFDBB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12</w:t>
            </w:r>
          </w:p>
        </w:tc>
        <w:tc>
          <w:tcPr>
            <w:tcW w:w="2427" w:type="dxa"/>
            <w:tcBorders>
              <w:top w:val="nil"/>
              <w:left w:val="nil"/>
              <w:bottom w:val="double" w:sz="6" w:space="0" w:color="002060"/>
              <w:right w:val="double" w:sz="6" w:space="0" w:color="002060"/>
            </w:tcBorders>
            <w:shd w:val="clear" w:color="auto" w:fill="auto"/>
            <w:noWrap/>
            <w:vAlign w:val="bottom"/>
            <w:hideMark/>
          </w:tcPr>
          <w:p w14:paraId="7D9DD33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r>
      <w:tr w:rsidR="003C2344" w:rsidRPr="003C2344" w14:paraId="1901B40D"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5BCB63CA"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San Carlos</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24C01540"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5</w:t>
            </w:r>
          </w:p>
        </w:tc>
        <w:tc>
          <w:tcPr>
            <w:tcW w:w="2427" w:type="dxa"/>
            <w:tcBorders>
              <w:top w:val="nil"/>
              <w:left w:val="nil"/>
              <w:bottom w:val="double" w:sz="6" w:space="0" w:color="002060"/>
              <w:right w:val="double" w:sz="6" w:space="0" w:color="002060"/>
            </w:tcBorders>
            <w:shd w:val="clear" w:color="auto" w:fill="auto"/>
            <w:noWrap/>
            <w:vAlign w:val="bottom"/>
            <w:hideMark/>
          </w:tcPr>
          <w:p w14:paraId="77FBFC0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0C38818D"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7165201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Cartago</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4F8C726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23</w:t>
            </w:r>
          </w:p>
        </w:tc>
        <w:tc>
          <w:tcPr>
            <w:tcW w:w="2427" w:type="dxa"/>
            <w:tcBorders>
              <w:top w:val="nil"/>
              <w:left w:val="nil"/>
              <w:bottom w:val="double" w:sz="6" w:space="0" w:color="002060"/>
              <w:right w:val="double" w:sz="6" w:space="0" w:color="002060"/>
            </w:tcBorders>
            <w:shd w:val="clear" w:color="auto" w:fill="auto"/>
            <w:noWrap/>
            <w:vAlign w:val="bottom"/>
            <w:hideMark/>
          </w:tcPr>
          <w:p w14:paraId="5A0EFE2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w:t>
            </w:r>
          </w:p>
        </w:tc>
      </w:tr>
      <w:tr w:rsidR="003C2344" w:rsidRPr="003C2344" w14:paraId="488D83F3"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6ECEA2D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Turrialba</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084ACB4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5</w:t>
            </w:r>
          </w:p>
        </w:tc>
        <w:tc>
          <w:tcPr>
            <w:tcW w:w="2427" w:type="dxa"/>
            <w:tcBorders>
              <w:top w:val="nil"/>
              <w:left w:val="nil"/>
              <w:bottom w:val="double" w:sz="6" w:space="0" w:color="002060"/>
              <w:right w:val="double" w:sz="6" w:space="0" w:color="002060"/>
            </w:tcBorders>
            <w:shd w:val="clear" w:color="auto" w:fill="auto"/>
            <w:noWrap/>
            <w:vAlign w:val="bottom"/>
            <w:hideMark/>
          </w:tcPr>
          <w:p w14:paraId="3866531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301B3F64"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780BD3C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Heredia</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78C82C3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8</w:t>
            </w:r>
          </w:p>
        </w:tc>
        <w:tc>
          <w:tcPr>
            <w:tcW w:w="2427" w:type="dxa"/>
            <w:tcBorders>
              <w:top w:val="nil"/>
              <w:left w:val="nil"/>
              <w:bottom w:val="double" w:sz="6" w:space="0" w:color="002060"/>
              <w:right w:val="double" w:sz="6" w:space="0" w:color="002060"/>
            </w:tcBorders>
            <w:shd w:val="clear" w:color="auto" w:fill="auto"/>
            <w:noWrap/>
            <w:vAlign w:val="bottom"/>
            <w:hideMark/>
          </w:tcPr>
          <w:p w14:paraId="3256342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r>
      <w:tr w:rsidR="003C2344" w:rsidRPr="003C2344" w14:paraId="03280DC7"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205BB1E7"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Sarapiquí</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78C4A4D6"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w:t>
            </w:r>
          </w:p>
        </w:tc>
        <w:tc>
          <w:tcPr>
            <w:tcW w:w="2427" w:type="dxa"/>
            <w:tcBorders>
              <w:top w:val="nil"/>
              <w:left w:val="nil"/>
              <w:bottom w:val="double" w:sz="6" w:space="0" w:color="002060"/>
              <w:right w:val="double" w:sz="6" w:space="0" w:color="002060"/>
            </w:tcBorders>
            <w:shd w:val="clear" w:color="auto" w:fill="auto"/>
            <w:noWrap/>
            <w:vAlign w:val="bottom"/>
            <w:hideMark/>
          </w:tcPr>
          <w:p w14:paraId="2AF48F3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5A9C95B0"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32A52D0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 Circuito Judicial de Guanacaste</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05BC9BE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19</w:t>
            </w:r>
          </w:p>
        </w:tc>
        <w:tc>
          <w:tcPr>
            <w:tcW w:w="2427" w:type="dxa"/>
            <w:tcBorders>
              <w:top w:val="nil"/>
              <w:left w:val="nil"/>
              <w:bottom w:val="double" w:sz="6" w:space="0" w:color="002060"/>
              <w:right w:val="double" w:sz="6" w:space="0" w:color="002060"/>
            </w:tcBorders>
            <w:shd w:val="clear" w:color="auto" w:fill="auto"/>
            <w:noWrap/>
            <w:vAlign w:val="bottom"/>
            <w:hideMark/>
          </w:tcPr>
          <w:p w14:paraId="2FB55577"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w:t>
            </w:r>
          </w:p>
        </w:tc>
      </w:tr>
      <w:tr w:rsidR="003C2344" w:rsidRPr="003C2344" w14:paraId="447C4411"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44276A8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Nicoya</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372DFAC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19</w:t>
            </w:r>
          </w:p>
        </w:tc>
        <w:tc>
          <w:tcPr>
            <w:tcW w:w="2427" w:type="dxa"/>
            <w:tcBorders>
              <w:top w:val="nil"/>
              <w:left w:val="nil"/>
              <w:bottom w:val="double" w:sz="6" w:space="0" w:color="002060"/>
              <w:right w:val="double" w:sz="6" w:space="0" w:color="002060"/>
            </w:tcBorders>
            <w:shd w:val="clear" w:color="auto" w:fill="auto"/>
            <w:noWrap/>
            <w:vAlign w:val="bottom"/>
            <w:hideMark/>
          </w:tcPr>
          <w:p w14:paraId="79FB9B28"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w:t>
            </w:r>
          </w:p>
        </w:tc>
      </w:tr>
      <w:tr w:rsidR="003C2344" w:rsidRPr="003C2344" w14:paraId="722842CD"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6E4C27CD"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Puntarenas</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7A9FC55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9</w:t>
            </w:r>
          </w:p>
        </w:tc>
        <w:tc>
          <w:tcPr>
            <w:tcW w:w="2427" w:type="dxa"/>
            <w:tcBorders>
              <w:top w:val="nil"/>
              <w:left w:val="nil"/>
              <w:bottom w:val="double" w:sz="6" w:space="0" w:color="002060"/>
              <w:right w:val="double" w:sz="6" w:space="0" w:color="002060"/>
            </w:tcBorders>
            <w:shd w:val="clear" w:color="auto" w:fill="auto"/>
            <w:noWrap/>
            <w:vAlign w:val="bottom"/>
            <w:hideMark/>
          </w:tcPr>
          <w:p w14:paraId="5E620A0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r>
      <w:tr w:rsidR="003C2344" w:rsidRPr="003C2344" w14:paraId="6F74068C"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0D97A78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Corredores</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0E021BF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9</w:t>
            </w:r>
          </w:p>
        </w:tc>
        <w:tc>
          <w:tcPr>
            <w:tcW w:w="2427" w:type="dxa"/>
            <w:tcBorders>
              <w:top w:val="nil"/>
              <w:left w:val="nil"/>
              <w:bottom w:val="double" w:sz="6" w:space="0" w:color="002060"/>
              <w:right w:val="double" w:sz="6" w:space="0" w:color="002060"/>
            </w:tcBorders>
            <w:shd w:val="clear" w:color="auto" w:fill="auto"/>
            <w:noWrap/>
            <w:vAlign w:val="bottom"/>
            <w:hideMark/>
          </w:tcPr>
          <w:p w14:paraId="01F6ADB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r>
      <w:tr w:rsidR="003C2344" w:rsidRPr="003C2344" w14:paraId="45C679B0"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512C0F5D"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Quepos</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22563FE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5</w:t>
            </w:r>
          </w:p>
        </w:tc>
        <w:tc>
          <w:tcPr>
            <w:tcW w:w="2427" w:type="dxa"/>
            <w:tcBorders>
              <w:top w:val="nil"/>
              <w:left w:val="nil"/>
              <w:bottom w:val="double" w:sz="6" w:space="0" w:color="002060"/>
              <w:right w:val="double" w:sz="6" w:space="0" w:color="002060"/>
            </w:tcBorders>
            <w:shd w:val="clear" w:color="auto" w:fill="auto"/>
            <w:noWrap/>
            <w:vAlign w:val="bottom"/>
            <w:hideMark/>
          </w:tcPr>
          <w:p w14:paraId="61DF121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3E31FAAB"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6A3733A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Buenos Aires</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62C5318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4</w:t>
            </w:r>
          </w:p>
        </w:tc>
        <w:tc>
          <w:tcPr>
            <w:tcW w:w="2427" w:type="dxa"/>
            <w:tcBorders>
              <w:top w:val="nil"/>
              <w:left w:val="nil"/>
              <w:bottom w:val="double" w:sz="6" w:space="0" w:color="002060"/>
              <w:right w:val="double" w:sz="6" w:space="0" w:color="002060"/>
            </w:tcBorders>
            <w:shd w:val="clear" w:color="auto" w:fill="auto"/>
            <w:noWrap/>
            <w:vAlign w:val="bottom"/>
            <w:hideMark/>
          </w:tcPr>
          <w:p w14:paraId="420B150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696154E1"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1E6A3F26"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 Circuito Judicial de la Zona Sur</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6D056427"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7</w:t>
            </w:r>
          </w:p>
        </w:tc>
        <w:tc>
          <w:tcPr>
            <w:tcW w:w="2427" w:type="dxa"/>
            <w:tcBorders>
              <w:top w:val="nil"/>
              <w:left w:val="nil"/>
              <w:bottom w:val="double" w:sz="6" w:space="0" w:color="002060"/>
              <w:right w:val="double" w:sz="6" w:space="0" w:color="002060"/>
            </w:tcBorders>
            <w:shd w:val="clear" w:color="auto" w:fill="auto"/>
            <w:noWrap/>
            <w:vAlign w:val="bottom"/>
            <w:hideMark/>
          </w:tcPr>
          <w:p w14:paraId="02E013B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r>
      <w:tr w:rsidR="003C2344" w:rsidRPr="003C2344" w14:paraId="2F537BE8"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5602302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II Circuito Judicial de la Zona Atlántica</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2CFF2988"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8</w:t>
            </w:r>
          </w:p>
        </w:tc>
        <w:tc>
          <w:tcPr>
            <w:tcW w:w="2427" w:type="dxa"/>
            <w:tcBorders>
              <w:top w:val="nil"/>
              <w:left w:val="nil"/>
              <w:bottom w:val="double" w:sz="6" w:space="0" w:color="002060"/>
              <w:right w:val="double" w:sz="6" w:space="0" w:color="002060"/>
            </w:tcBorders>
            <w:shd w:val="clear" w:color="auto" w:fill="auto"/>
            <w:noWrap/>
            <w:vAlign w:val="bottom"/>
            <w:hideMark/>
          </w:tcPr>
          <w:p w14:paraId="53E9118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r>
      <w:tr w:rsidR="003C2344" w:rsidRPr="003C2344" w14:paraId="3B63D9AB" w14:textId="77777777" w:rsidTr="003C2344">
        <w:trPr>
          <w:trHeight w:val="330"/>
        </w:trPr>
        <w:tc>
          <w:tcPr>
            <w:tcW w:w="3663" w:type="dxa"/>
            <w:tcBorders>
              <w:top w:val="nil"/>
              <w:left w:val="double" w:sz="6" w:space="0" w:color="002060"/>
              <w:bottom w:val="double" w:sz="6" w:space="0" w:color="002060"/>
              <w:right w:val="nil"/>
            </w:tcBorders>
            <w:shd w:val="clear" w:color="auto" w:fill="auto"/>
            <w:noWrap/>
            <w:vAlign w:val="bottom"/>
            <w:hideMark/>
          </w:tcPr>
          <w:p w14:paraId="30C54EC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 Circuito Judicial de la Zona Atlántica</w:t>
            </w:r>
          </w:p>
        </w:tc>
        <w:tc>
          <w:tcPr>
            <w:tcW w:w="2410" w:type="dxa"/>
            <w:tcBorders>
              <w:top w:val="nil"/>
              <w:left w:val="double" w:sz="6" w:space="0" w:color="002060"/>
              <w:bottom w:val="double" w:sz="6" w:space="0" w:color="002060"/>
              <w:right w:val="double" w:sz="6" w:space="0" w:color="002060"/>
            </w:tcBorders>
            <w:shd w:val="clear" w:color="auto" w:fill="auto"/>
            <w:noWrap/>
            <w:vAlign w:val="bottom"/>
            <w:hideMark/>
          </w:tcPr>
          <w:p w14:paraId="1C6BAD17"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29</w:t>
            </w:r>
          </w:p>
        </w:tc>
        <w:tc>
          <w:tcPr>
            <w:tcW w:w="2427" w:type="dxa"/>
            <w:tcBorders>
              <w:top w:val="nil"/>
              <w:left w:val="nil"/>
              <w:bottom w:val="double" w:sz="6" w:space="0" w:color="002060"/>
              <w:right w:val="double" w:sz="6" w:space="0" w:color="002060"/>
            </w:tcBorders>
            <w:shd w:val="clear" w:color="auto" w:fill="auto"/>
            <w:noWrap/>
            <w:vAlign w:val="bottom"/>
            <w:hideMark/>
          </w:tcPr>
          <w:p w14:paraId="69DC16C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w:t>
            </w:r>
          </w:p>
        </w:tc>
      </w:tr>
    </w:tbl>
    <w:p w14:paraId="4FBF15A5" w14:textId="6C4A4C75" w:rsidR="00C818F0" w:rsidRPr="005149C4" w:rsidRDefault="00C818F0" w:rsidP="003C2344">
      <w:pPr>
        <w:ind w:right="1325"/>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3C2344"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w:t>
      </w:r>
    </w:p>
    <w:p w14:paraId="70AE2E09" w14:textId="01824365" w:rsidR="00C818F0" w:rsidRPr="005149C4" w:rsidRDefault="00C818F0" w:rsidP="00C818F0">
      <w:pPr>
        <w:tabs>
          <w:tab w:val="left" w:pos="0"/>
        </w:tabs>
      </w:pPr>
      <w:r w:rsidRPr="005149C4">
        <w:t>A partir de la información anterior se evidencia que, durante el 202</w:t>
      </w:r>
      <w:r w:rsidR="003C2344" w:rsidRPr="005149C4">
        <w:t>1</w:t>
      </w:r>
      <w:r w:rsidRPr="005149C4">
        <w:t xml:space="preserve">, los equipos psicosociales de Justicia Restaurativa que atienden Penal Juvenil atendieron en promedio una Reunión Restaurativa, con excepción de San José que atendió </w:t>
      </w:r>
      <w:r w:rsidR="003C2344" w:rsidRPr="005149C4">
        <w:t xml:space="preserve">7 </w:t>
      </w:r>
      <w:r w:rsidRPr="005149C4">
        <w:t>reuniones por mes, así como Cartago que atendi</w:t>
      </w:r>
      <w:r w:rsidR="003C2344" w:rsidRPr="005149C4">
        <w:t>ó</w:t>
      </w:r>
      <w:r w:rsidRPr="005149C4">
        <w:t xml:space="preserve"> </w:t>
      </w:r>
      <w:r w:rsidR="003C2344" w:rsidRPr="005149C4">
        <w:t>4</w:t>
      </w:r>
      <w:r w:rsidRPr="005149C4">
        <w:t xml:space="preserve"> reuniones por mes</w:t>
      </w:r>
      <w:r w:rsidR="003C2344" w:rsidRPr="005149C4">
        <w:t>.</w:t>
      </w:r>
    </w:p>
    <w:p w14:paraId="6528F9F7" w14:textId="37900719" w:rsidR="00C818F0" w:rsidRPr="005149C4" w:rsidRDefault="00C818F0" w:rsidP="00C818F0">
      <w:pPr>
        <w:tabs>
          <w:tab w:val="left" w:pos="0"/>
        </w:tabs>
      </w:pPr>
      <w:r w:rsidRPr="005149C4">
        <w:t xml:space="preserve">En el </w:t>
      </w:r>
      <w:r w:rsidRPr="005149C4">
        <w:fldChar w:fldCharType="begin"/>
      </w:r>
      <w:r w:rsidRPr="005149C4">
        <w:instrText xml:space="preserve"> REF _Ref31707596 \h  \* MERGEFORMAT </w:instrText>
      </w:r>
      <w:r w:rsidRPr="005149C4">
        <w:fldChar w:fldCharType="separate"/>
      </w:r>
      <w:r w:rsidR="00EC44E6" w:rsidRPr="005149C4">
        <w:t>Cuadro 16</w:t>
      </w:r>
      <w:r w:rsidRPr="005149C4">
        <w:fldChar w:fldCharType="end"/>
      </w:r>
      <w:r w:rsidRPr="005149C4">
        <w:t xml:space="preserve"> se muestra la cantidad de reuniones y el porcentaje respectivo que tuvieron como resultado un acuerdo.</w:t>
      </w:r>
    </w:p>
    <w:p w14:paraId="0BD226E3" w14:textId="5A7FDB25" w:rsidR="003C2344" w:rsidRPr="005149C4" w:rsidRDefault="00C818F0" w:rsidP="003C2344">
      <w:pPr>
        <w:tabs>
          <w:tab w:val="left" w:pos="0"/>
        </w:tabs>
        <w:jc w:val="center"/>
        <w:rPr>
          <w:b/>
          <w:bCs/>
          <w:sz w:val="20"/>
          <w:szCs w:val="20"/>
        </w:rPr>
      </w:pPr>
      <w:bookmarkStart w:id="23" w:name="_Ref31707596"/>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16</w:t>
      </w:r>
      <w:r w:rsidRPr="005149C4">
        <w:rPr>
          <w:b/>
          <w:bCs/>
          <w:sz w:val="20"/>
          <w:szCs w:val="20"/>
        </w:rPr>
        <w:fldChar w:fldCharType="end"/>
      </w:r>
      <w:bookmarkEnd w:id="23"/>
      <w:r w:rsidRPr="005149C4">
        <w:rPr>
          <w:b/>
          <w:bCs/>
          <w:sz w:val="20"/>
          <w:szCs w:val="20"/>
        </w:rPr>
        <w:t>. Detalle de reuniones restaurativas en Penal Juvenil efectuadas durante el 202</w:t>
      </w:r>
      <w:r w:rsidR="003C2344" w:rsidRPr="005149C4">
        <w:rPr>
          <w:b/>
          <w:bCs/>
          <w:sz w:val="20"/>
          <w:szCs w:val="20"/>
        </w:rPr>
        <w:t>1</w:t>
      </w:r>
    </w:p>
    <w:tbl>
      <w:tblPr>
        <w:tblW w:w="7420" w:type="dxa"/>
        <w:jc w:val="center"/>
        <w:tblCellMar>
          <w:left w:w="70" w:type="dxa"/>
          <w:right w:w="70" w:type="dxa"/>
        </w:tblCellMar>
        <w:tblLook w:val="04A0" w:firstRow="1" w:lastRow="0" w:firstColumn="1" w:lastColumn="0" w:noHBand="0" w:noVBand="1"/>
      </w:tblPr>
      <w:tblGrid>
        <w:gridCol w:w="3520"/>
        <w:gridCol w:w="1220"/>
        <w:gridCol w:w="1360"/>
        <w:gridCol w:w="1320"/>
      </w:tblGrid>
      <w:tr w:rsidR="003C2344" w:rsidRPr="003C2344" w14:paraId="1C5395D2" w14:textId="77777777" w:rsidTr="003C2344">
        <w:trPr>
          <w:trHeight w:val="600"/>
          <w:jc w:val="center"/>
        </w:trPr>
        <w:tc>
          <w:tcPr>
            <w:tcW w:w="3520" w:type="dxa"/>
            <w:tcBorders>
              <w:top w:val="double" w:sz="6" w:space="0" w:color="002060"/>
              <w:left w:val="double" w:sz="6" w:space="0" w:color="002060"/>
              <w:bottom w:val="nil"/>
              <w:right w:val="double" w:sz="6" w:space="0" w:color="002060"/>
            </w:tcBorders>
            <w:shd w:val="clear" w:color="000000" w:fill="365F91"/>
            <w:noWrap/>
            <w:vAlign w:val="center"/>
            <w:hideMark/>
          </w:tcPr>
          <w:p w14:paraId="59705629"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Circuito Judicial</w:t>
            </w:r>
          </w:p>
        </w:tc>
        <w:tc>
          <w:tcPr>
            <w:tcW w:w="1220" w:type="dxa"/>
            <w:tcBorders>
              <w:top w:val="double" w:sz="6" w:space="0" w:color="002060"/>
              <w:left w:val="nil"/>
              <w:bottom w:val="double" w:sz="6" w:space="0" w:color="203764"/>
              <w:right w:val="double" w:sz="6" w:space="0" w:color="002060"/>
            </w:tcBorders>
            <w:shd w:val="clear" w:color="000000" w:fill="365F91"/>
            <w:noWrap/>
            <w:vAlign w:val="center"/>
            <w:hideMark/>
          </w:tcPr>
          <w:p w14:paraId="45A640A1"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Con acuerdo</w:t>
            </w:r>
          </w:p>
        </w:tc>
        <w:tc>
          <w:tcPr>
            <w:tcW w:w="1360" w:type="dxa"/>
            <w:tcBorders>
              <w:top w:val="double" w:sz="6" w:space="0" w:color="002060"/>
              <w:left w:val="nil"/>
              <w:bottom w:val="double" w:sz="6" w:space="0" w:color="203764"/>
              <w:right w:val="double" w:sz="6" w:space="0" w:color="002060"/>
            </w:tcBorders>
            <w:shd w:val="clear" w:color="000000" w:fill="365F91"/>
            <w:noWrap/>
            <w:vAlign w:val="center"/>
            <w:hideMark/>
          </w:tcPr>
          <w:p w14:paraId="160A433F"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Sin acuerdo</w:t>
            </w:r>
          </w:p>
        </w:tc>
        <w:tc>
          <w:tcPr>
            <w:tcW w:w="1320" w:type="dxa"/>
            <w:tcBorders>
              <w:top w:val="double" w:sz="6" w:space="0" w:color="002060"/>
              <w:left w:val="nil"/>
              <w:bottom w:val="double" w:sz="6" w:space="0" w:color="203764"/>
              <w:right w:val="double" w:sz="6" w:space="0" w:color="002060"/>
            </w:tcBorders>
            <w:shd w:val="clear" w:color="000000" w:fill="365F91"/>
            <w:vAlign w:val="center"/>
            <w:hideMark/>
          </w:tcPr>
          <w:p w14:paraId="22C28ACD" w14:textId="77777777" w:rsidR="003C2344" w:rsidRPr="003C2344" w:rsidRDefault="003C2344" w:rsidP="003C2344">
            <w:pPr>
              <w:spacing w:before="0" w:after="0" w:line="240" w:lineRule="auto"/>
              <w:jc w:val="center"/>
              <w:rPr>
                <w:rFonts w:eastAsia="Times New Roman" w:cs="Calibri"/>
                <w:color w:val="FFFFFF"/>
                <w:sz w:val="20"/>
                <w:szCs w:val="20"/>
                <w:lang w:eastAsia="es-CR"/>
              </w:rPr>
            </w:pPr>
            <w:r w:rsidRPr="003C2344">
              <w:rPr>
                <w:rFonts w:eastAsia="Times New Roman" w:cs="Calibri"/>
                <w:color w:val="FFFFFF"/>
                <w:sz w:val="20"/>
                <w:szCs w:val="20"/>
                <w:lang w:eastAsia="es-CR"/>
              </w:rPr>
              <w:t>Porcentaje sin acuerdo</w:t>
            </w:r>
          </w:p>
        </w:tc>
      </w:tr>
      <w:tr w:rsidR="003C2344" w:rsidRPr="003C2344" w14:paraId="53104425" w14:textId="77777777" w:rsidTr="003C2344">
        <w:trPr>
          <w:trHeight w:val="330"/>
          <w:jc w:val="center"/>
        </w:trPr>
        <w:tc>
          <w:tcPr>
            <w:tcW w:w="3520" w:type="dxa"/>
            <w:tcBorders>
              <w:top w:val="double" w:sz="6" w:space="0" w:color="002060"/>
              <w:left w:val="double" w:sz="6" w:space="0" w:color="002060"/>
              <w:bottom w:val="double" w:sz="6" w:space="0" w:color="002060"/>
              <w:right w:val="nil"/>
            </w:tcBorders>
            <w:shd w:val="clear" w:color="auto" w:fill="auto"/>
            <w:noWrap/>
            <w:vAlign w:val="bottom"/>
            <w:hideMark/>
          </w:tcPr>
          <w:p w14:paraId="4DA7475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San José</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2569D630"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71</w:t>
            </w:r>
          </w:p>
        </w:tc>
        <w:tc>
          <w:tcPr>
            <w:tcW w:w="1360" w:type="dxa"/>
            <w:tcBorders>
              <w:top w:val="nil"/>
              <w:left w:val="nil"/>
              <w:bottom w:val="double" w:sz="6" w:space="0" w:color="002060"/>
              <w:right w:val="double" w:sz="6" w:space="0" w:color="002060"/>
            </w:tcBorders>
            <w:shd w:val="clear" w:color="auto" w:fill="auto"/>
            <w:noWrap/>
            <w:vAlign w:val="bottom"/>
            <w:hideMark/>
          </w:tcPr>
          <w:p w14:paraId="684ABEA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12</w:t>
            </w:r>
          </w:p>
        </w:tc>
        <w:tc>
          <w:tcPr>
            <w:tcW w:w="1320" w:type="dxa"/>
            <w:tcBorders>
              <w:top w:val="nil"/>
              <w:left w:val="nil"/>
              <w:bottom w:val="double" w:sz="6" w:space="0" w:color="002060"/>
              <w:right w:val="double" w:sz="6" w:space="0" w:color="002060"/>
            </w:tcBorders>
            <w:shd w:val="clear" w:color="auto" w:fill="auto"/>
            <w:noWrap/>
            <w:vAlign w:val="bottom"/>
            <w:hideMark/>
          </w:tcPr>
          <w:p w14:paraId="16804CD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14%</w:t>
            </w:r>
          </w:p>
        </w:tc>
      </w:tr>
      <w:tr w:rsidR="003C2344" w:rsidRPr="003C2344" w14:paraId="5BFDAE26"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3213253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Puriscal</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2386BC4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c>
          <w:tcPr>
            <w:tcW w:w="1360" w:type="dxa"/>
            <w:tcBorders>
              <w:top w:val="nil"/>
              <w:left w:val="nil"/>
              <w:bottom w:val="double" w:sz="6" w:space="0" w:color="002060"/>
              <w:right w:val="double" w:sz="6" w:space="0" w:color="002060"/>
            </w:tcBorders>
            <w:shd w:val="clear" w:color="auto" w:fill="auto"/>
            <w:noWrap/>
            <w:vAlign w:val="bottom"/>
            <w:hideMark/>
          </w:tcPr>
          <w:p w14:paraId="02F15306"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7F0ACA3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4B938A13"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2E0EE1DD"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Alajuela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0BFBB10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39</w:t>
            </w:r>
          </w:p>
        </w:tc>
        <w:tc>
          <w:tcPr>
            <w:tcW w:w="1360" w:type="dxa"/>
            <w:tcBorders>
              <w:top w:val="nil"/>
              <w:left w:val="nil"/>
              <w:bottom w:val="double" w:sz="6" w:space="0" w:color="002060"/>
              <w:right w:val="double" w:sz="6" w:space="0" w:color="002060"/>
            </w:tcBorders>
            <w:shd w:val="clear" w:color="auto" w:fill="auto"/>
            <w:noWrap/>
            <w:vAlign w:val="bottom"/>
            <w:hideMark/>
          </w:tcPr>
          <w:p w14:paraId="51C2456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w:t>
            </w:r>
          </w:p>
        </w:tc>
        <w:tc>
          <w:tcPr>
            <w:tcW w:w="1320" w:type="dxa"/>
            <w:tcBorders>
              <w:top w:val="nil"/>
              <w:left w:val="nil"/>
              <w:bottom w:val="double" w:sz="6" w:space="0" w:color="002060"/>
              <w:right w:val="double" w:sz="6" w:space="0" w:color="002060"/>
            </w:tcBorders>
            <w:shd w:val="clear" w:color="auto" w:fill="auto"/>
            <w:noWrap/>
            <w:vAlign w:val="bottom"/>
            <w:hideMark/>
          </w:tcPr>
          <w:p w14:paraId="24EDA30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7%</w:t>
            </w:r>
          </w:p>
        </w:tc>
      </w:tr>
      <w:tr w:rsidR="003C2344" w:rsidRPr="003C2344" w14:paraId="629E986E"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7624C886"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San Ramón</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7C2DC3C6"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12</w:t>
            </w:r>
          </w:p>
        </w:tc>
        <w:tc>
          <w:tcPr>
            <w:tcW w:w="1360" w:type="dxa"/>
            <w:tcBorders>
              <w:top w:val="nil"/>
              <w:left w:val="nil"/>
              <w:bottom w:val="double" w:sz="6" w:space="0" w:color="002060"/>
              <w:right w:val="double" w:sz="6" w:space="0" w:color="002060"/>
            </w:tcBorders>
            <w:shd w:val="clear" w:color="auto" w:fill="auto"/>
            <w:noWrap/>
            <w:vAlign w:val="bottom"/>
            <w:hideMark/>
          </w:tcPr>
          <w:p w14:paraId="02BC6FF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121FA23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0F6EF15C"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794AA83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San Carlos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025757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5</w:t>
            </w:r>
          </w:p>
        </w:tc>
        <w:tc>
          <w:tcPr>
            <w:tcW w:w="1360" w:type="dxa"/>
            <w:tcBorders>
              <w:top w:val="nil"/>
              <w:left w:val="nil"/>
              <w:bottom w:val="double" w:sz="6" w:space="0" w:color="002060"/>
              <w:right w:val="double" w:sz="6" w:space="0" w:color="002060"/>
            </w:tcBorders>
            <w:shd w:val="clear" w:color="auto" w:fill="auto"/>
            <w:noWrap/>
            <w:vAlign w:val="bottom"/>
            <w:hideMark/>
          </w:tcPr>
          <w:p w14:paraId="78193F4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7B9EA00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16D847B4"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2E2E19C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Cartago</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399FF2C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21</w:t>
            </w:r>
          </w:p>
        </w:tc>
        <w:tc>
          <w:tcPr>
            <w:tcW w:w="1360" w:type="dxa"/>
            <w:tcBorders>
              <w:top w:val="nil"/>
              <w:left w:val="nil"/>
              <w:bottom w:val="double" w:sz="6" w:space="0" w:color="002060"/>
              <w:right w:val="double" w:sz="6" w:space="0" w:color="002060"/>
            </w:tcBorders>
            <w:shd w:val="clear" w:color="auto" w:fill="auto"/>
            <w:noWrap/>
            <w:vAlign w:val="bottom"/>
            <w:hideMark/>
          </w:tcPr>
          <w:p w14:paraId="4832D148"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w:t>
            </w:r>
          </w:p>
        </w:tc>
        <w:tc>
          <w:tcPr>
            <w:tcW w:w="1320" w:type="dxa"/>
            <w:tcBorders>
              <w:top w:val="nil"/>
              <w:left w:val="nil"/>
              <w:bottom w:val="double" w:sz="6" w:space="0" w:color="002060"/>
              <w:right w:val="double" w:sz="6" w:space="0" w:color="002060"/>
            </w:tcBorders>
            <w:shd w:val="clear" w:color="auto" w:fill="auto"/>
            <w:noWrap/>
            <w:vAlign w:val="bottom"/>
            <w:hideMark/>
          </w:tcPr>
          <w:p w14:paraId="6093881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9%</w:t>
            </w:r>
          </w:p>
        </w:tc>
      </w:tr>
      <w:tr w:rsidR="003C2344" w:rsidRPr="003C2344" w14:paraId="555666EF"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02436F1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Turrialba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700A007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5</w:t>
            </w:r>
          </w:p>
        </w:tc>
        <w:tc>
          <w:tcPr>
            <w:tcW w:w="1360" w:type="dxa"/>
            <w:tcBorders>
              <w:top w:val="nil"/>
              <w:left w:val="nil"/>
              <w:bottom w:val="double" w:sz="6" w:space="0" w:color="002060"/>
              <w:right w:val="double" w:sz="6" w:space="0" w:color="002060"/>
            </w:tcBorders>
            <w:shd w:val="clear" w:color="auto" w:fill="auto"/>
            <w:noWrap/>
            <w:vAlign w:val="bottom"/>
            <w:hideMark/>
          </w:tcPr>
          <w:p w14:paraId="4AC02AF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493D724A"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04C86807"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6EB7C7C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Heredia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1B78C94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7</w:t>
            </w:r>
          </w:p>
        </w:tc>
        <w:tc>
          <w:tcPr>
            <w:tcW w:w="1360" w:type="dxa"/>
            <w:tcBorders>
              <w:top w:val="nil"/>
              <w:left w:val="nil"/>
              <w:bottom w:val="double" w:sz="6" w:space="0" w:color="002060"/>
              <w:right w:val="double" w:sz="6" w:space="0" w:color="002060"/>
            </w:tcBorders>
            <w:shd w:val="clear" w:color="auto" w:fill="auto"/>
            <w:noWrap/>
            <w:vAlign w:val="bottom"/>
            <w:hideMark/>
          </w:tcPr>
          <w:p w14:paraId="03CF9A4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c>
          <w:tcPr>
            <w:tcW w:w="1320" w:type="dxa"/>
            <w:tcBorders>
              <w:top w:val="nil"/>
              <w:left w:val="nil"/>
              <w:bottom w:val="double" w:sz="6" w:space="0" w:color="002060"/>
              <w:right w:val="double" w:sz="6" w:space="0" w:color="002060"/>
            </w:tcBorders>
            <w:shd w:val="clear" w:color="auto" w:fill="auto"/>
            <w:noWrap/>
            <w:vAlign w:val="bottom"/>
            <w:hideMark/>
          </w:tcPr>
          <w:p w14:paraId="4E5DEFE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13%</w:t>
            </w:r>
          </w:p>
        </w:tc>
      </w:tr>
      <w:tr w:rsidR="003C2344" w:rsidRPr="003C2344" w14:paraId="67B5C7B7"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174B8D7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Sarapiquí</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87FD00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w:t>
            </w:r>
          </w:p>
        </w:tc>
        <w:tc>
          <w:tcPr>
            <w:tcW w:w="1360" w:type="dxa"/>
            <w:tcBorders>
              <w:top w:val="nil"/>
              <w:left w:val="nil"/>
              <w:bottom w:val="double" w:sz="6" w:space="0" w:color="002060"/>
              <w:right w:val="double" w:sz="6" w:space="0" w:color="002060"/>
            </w:tcBorders>
            <w:shd w:val="clear" w:color="auto" w:fill="auto"/>
            <w:noWrap/>
            <w:vAlign w:val="bottom"/>
            <w:hideMark/>
          </w:tcPr>
          <w:p w14:paraId="6A5D3BD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15CCAA8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196705D3"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43BBA1C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 Circuito Judicial de Guanacaste</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103B2C03"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19</w:t>
            </w:r>
          </w:p>
        </w:tc>
        <w:tc>
          <w:tcPr>
            <w:tcW w:w="1360" w:type="dxa"/>
            <w:tcBorders>
              <w:top w:val="nil"/>
              <w:left w:val="nil"/>
              <w:bottom w:val="double" w:sz="6" w:space="0" w:color="002060"/>
              <w:right w:val="double" w:sz="6" w:space="0" w:color="002060"/>
            </w:tcBorders>
            <w:shd w:val="clear" w:color="auto" w:fill="auto"/>
            <w:noWrap/>
            <w:vAlign w:val="bottom"/>
            <w:hideMark/>
          </w:tcPr>
          <w:p w14:paraId="4914303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268A0ED0"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6DE6B24D"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20573557"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Nicoya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CA5FB3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19</w:t>
            </w:r>
          </w:p>
        </w:tc>
        <w:tc>
          <w:tcPr>
            <w:tcW w:w="1360" w:type="dxa"/>
            <w:tcBorders>
              <w:top w:val="nil"/>
              <w:left w:val="nil"/>
              <w:bottom w:val="double" w:sz="6" w:space="0" w:color="002060"/>
              <w:right w:val="double" w:sz="6" w:space="0" w:color="002060"/>
            </w:tcBorders>
            <w:shd w:val="clear" w:color="auto" w:fill="auto"/>
            <w:noWrap/>
            <w:vAlign w:val="bottom"/>
            <w:hideMark/>
          </w:tcPr>
          <w:p w14:paraId="16A40238"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2CF5D48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76A09284"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465338D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Puntarenas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01B7AC1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9</w:t>
            </w:r>
          </w:p>
        </w:tc>
        <w:tc>
          <w:tcPr>
            <w:tcW w:w="1360" w:type="dxa"/>
            <w:tcBorders>
              <w:top w:val="nil"/>
              <w:left w:val="nil"/>
              <w:bottom w:val="double" w:sz="6" w:space="0" w:color="002060"/>
              <w:right w:val="double" w:sz="6" w:space="0" w:color="002060"/>
            </w:tcBorders>
            <w:shd w:val="clear" w:color="auto" w:fill="auto"/>
            <w:noWrap/>
            <w:vAlign w:val="bottom"/>
            <w:hideMark/>
          </w:tcPr>
          <w:p w14:paraId="7E51424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0E693EF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6AA8EDF0"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0921D28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Corredores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7196798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8</w:t>
            </w:r>
          </w:p>
        </w:tc>
        <w:tc>
          <w:tcPr>
            <w:tcW w:w="1360" w:type="dxa"/>
            <w:tcBorders>
              <w:top w:val="nil"/>
              <w:left w:val="nil"/>
              <w:bottom w:val="double" w:sz="6" w:space="0" w:color="002060"/>
              <w:right w:val="double" w:sz="6" w:space="0" w:color="002060"/>
            </w:tcBorders>
            <w:shd w:val="clear" w:color="auto" w:fill="auto"/>
            <w:noWrap/>
            <w:vAlign w:val="bottom"/>
            <w:hideMark/>
          </w:tcPr>
          <w:p w14:paraId="34C227B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c>
          <w:tcPr>
            <w:tcW w:w="1320" w:type="dxa"/>
            <w:tcBorders>
              <w:top w:val="nil"/>
              <w:left w:val="nil"/>
              <w:bottom w:val="double" w:sz="6" w:space="0" w:color="002060"/>
              <w:right w:val="double" w:sz="6" w:space="0" w:color="002060"/>
            </w:tcBorders>
            <w:shd w:val="clear" w:color="auto" w:fill="auto"/>
            <w:noWrap/>
            <w:vAlign w:val="bottom"/>
            <w:hideMark/>
          </w:tcPr>
          <w:p w14:paraId="177B278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11%</w:t>
            </w:r>
          </w:p>
        </w:tc>
      </w:tr>
      <w:tr w:rsidR="003C2344" w:rsidRPr="003C2344" w14:paraId="6F9630E4"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6DBD065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Quepos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07A96F5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5</w:t>
            </w:r>
          </w:p>
        </w:tc>
        <w:tc>
          <w:tcPr>
            <w:tcW w:w="1360" w:type="dxa"/>
            <w:tcBorders>
              <w:top w:val="nil"/>
              <w:left w:val="nil"/>
              <w:bottom w:val="double" w:sz="6" w:space="0" w:color="002060"/>
              <w:right w:val="double" w:sz="6" w:space="0" w:color="002060"/>
            </w:tcBorders>
            <w:shd w:val="clear" w:color="auto" w:fill="auto"/>
            <w:noWrap/>
            <w:vAlign w:val="bottom"/>
            <w:hideMark/>
          </w:tcPr>
          <w:p w14:paraId="0A20D20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2826B262"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71B017B0"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6FDE8C1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Buenos Aires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7B24D50"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w:t>
            </w:r>
          </w:p>
        </w:tc>
        <w:tc>
          <w:tcPr>
            <w:tcW w:w="1360" w:type="dxa"/>
            <w:tcBorders>
              <w:top w:val="nil"/>
              <w:left w:val="nil"/>
              <w:bottom w:val="double" w:sz="6" w:space="0" w:color="002060"/>
              <w:right w:val="double" w:sz="6" w:space="0" w:color="002060"/>
            </w:tcBorders>
            <w:shd w:val="clear" w:color="auto" w:fill="auto"/>
            <w:noWrap/>
            <w:vAlign w:val="bottom"/>
            <w:hideMark/>
          </w:tcPr>
          <w:p w14:paraId="1E4CDDFE"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c>
          <w:tcPr>
            <w:tcW w:w="1320" w:type="dxa"/>
            <w:tcBorders>
              <w:top w:val="nil"/>
              <w:left w:val="nil"/>
              <w:bottom w:val="double" w:sz="6" w:space="0" w:color="002060"/>
              <w:right w:val="double" w:sz="6" w:space="0" w:color="002060"/>
            </w:tcBorders>
            <w:shd w:val="clear" w:color="auto" w:fill="auto"/>
            <w:noWrap/>
            <w:vAlign w:val="bottom"/>
            <w:hideMark/>
          </w:tcPr>
          <w:p w14:paraId="05ED0A48"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25%</w:t>
            </w:r>
          </w:p>
        </w:tc>
      </w:tr>
      <w:tr w:rsidR="003C2344" w:rsidRPr="003C2344" w14:paraId="1C6881FA"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0B89A93C"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 Circuito Judicial de la Zona Sur</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3B2E24A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3</w:t>
            </w:r>
          </w:p>
        </w:tc>
        <w:tc>
          <w:tcPr>
            <w:tcW w:w="1360" w:type="dxa"/>
            <w:tcBorders>
              <w:top w:val="nil"/>
              <w:left w:val="nil"/>
              <w:bottom w:val="double" w:sz="6" w:space="0" w:color="002060"/>
              <w:right w:val="double" w:sz="6" w:space="0" w:color="002060"/>
            </w:tcBorders>
            <w:shd w:val="clear" w:color="auto" w:fill="auto"/>
            <w:noWrap/>
            <w:vAlign w:val="bottom"/>
            <w:hideMark/>
          </w:tcPr>
          <w:p w14:paraId="7441344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047F22D9"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3D80DC6E"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704F0E90"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II Circuito Judicial de la Zona Atlántica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23EE93BD"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8</w:t>
            </w:r>
          </w:p>
        </w:tc>
        <w:tc>
          <w:tcPr>
            <w:tcW w:w="1360" w:type="dxa"/>
            <w:tcBorders>
              <w:top w:val="nil"/>
              <w:left w:val="nil"/>
              <w:bottom w:val="double" w:sz="6" w:space="0" w:color="002060"/>
              <w:right w:val="double" w:sz="6" w:space="0" w:color="002060"/>
            </w:tcBorders>
            <w:shd w:val="clear" w:color="auto" w:fill="auto"/>
            <w:noWrap/>
            <w:vAlign w:val="bottom"/>
            <w:hideMark/>
          </w:tcPr>
          <w:p w14:paraId="12A68305"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18FD03A0"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07A62BE7"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1395307F"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I Circuito Judicial de la Zona Atlántica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5D72250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29</w:t>
            </w:r>
          </w:p>
        </w:tc>
        <w:tc>
          <w:tcPr>
            <w:tcW w:w="1360" w:type="dxa"/>
            <w:tcBorders>
              <w:top w:val="nil"/>
              <w:left w:val="nil"/>
              <w:bottom w:val="double" w:sz="6" w:space="0" w:color="002060"/>
              <w:right w:val="double" w:sz="6" w:space="0" w:color="002060"/>
            </w:tcBorders>
            <w:shd w:val="clear" w:color="auto" w:fill="auto"/>
            <w:noWrap/>
            <w:vAlign w:val="bottom"/>
            <w:hideMark/>
          </w:tcPr>
          <w:p w14:paraId="7F030316"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c>
          <w:tcPr>
            <w:tcW w:w="1320" w:type="dxa"/>
            <w:tcBorders>
              <w:top w:val="nil"/>
              <w:left w:val="nil"/>
              <w:bottom w:val="double" w:sz="6" w:space="0" w:color="002060"/>
              <w:right w:val="double" w:sz="6" w:space="0" w:color="002060"/>
            </w:tcBorders>
            <w:shd w:val="clear" w:color="auto" w:fill="auto"/>
            <w:noWrap/>
            <w:vAlign w:val="bottom"/>
            <w:hideMark/>
          </w:tcPr>
          <w:p w14:paraId="319A4DC4"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r w:rsidR="003C2344" w:rsidRPr="003C2344" w14:paraId="1CB0EEDD" w14:textId="77777777" w:rsidTr="003C2344">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0CEEEC47"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Promedio Nacional</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4EB0B7A"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15</w:t>
            </w:r>
          </w:p>
        </w:tc>
        <w:tc>
          <w:tcPr>
            <w:tcW w:w="1360" w:type="dxa"/>
            <w:tcBorders>
              <w:top w:val="nil"/>
              <w:left w:val="nil"/>
              <w:bottom w:val="double" w:sz="6" w:space="0" w:color="002060"/>
              <w:right w:val="double" w:sz="6" w:space="0" w:color="002060"/>
            </w:tcBorders>
            <w:shd w:val="clear" w:color="auto" w:fill="auto"/>
            <w:noWrap/>
            <w:vAlign w:val="bottom"/>
            <w:hideMark/>
          </w:tcPr>
          <w:p w14:paraId="08241D31"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1</w:t>
            </w:r>
          </w:p>
        </w:tc>
        <w:tc>
          <w:tcPr>
            <w:tcW w:w="1320" w:type="dxa"/>
            <w:tcBorders>
              <w:top w:val="nil"/>
              <w:left w:val="nil"/>
              <w:bottom w:val="double" w:sz="6" w:space="0" w:color="002060"/>
              <w:right w:val="double" w:sz="6" w:space="0" w:color="002060"/>
            </w:tcBorders>
            <w:shd w:val="clear" w:color="auto" w:fill="auto"/>
            <w:noWrap/>
            <w:vAlign w:val="bottom"/>
            <w:hideMark/>
          </w:tcPr>
          <w:p w14:paraId="6C809A6B" w14:textId="77777777" w:rsidR="003C2344" w:rsidRPr="003C2344" w:rsidRDefault="003C2344" w:rsidP="003C2344">
            <w:pPr>
              <w:spacing w:before="0" w:after="0" w:line="240" w:lineRule="auto"/>
              <w:jc w:val="center"/>
              <w:rPr>
                <w:rFonts w:eastAsia="Times New Roman" w:cs="Calibri"/>
                <w:color w:val="000000"/>
                <w:sz w:val="20"/>
                <w:szCs w:val="20"/>
                <w:lang w:eastAsia="es-CR"/>
              </w:rPr>
            </w:pPr>
            <w:r w:rsidRPr="003C2344">
              <w:rPr>
                <w:rFonts w:eastAsia="Times New Roman" w:cs="Calibri"/>
                <w:color w:val="000000"/>
                <w:sz w:val="20"/>
                <w:szCs w:val="20"/>
                <w:lang w:eastAsia="es-CR"/>
              </w:rPr>
              <w:t>0</w:t>
            </w:r>
          </w:p>
        </w:tc>
      </w:tr>
    </w:tbl>
    <w:p w14:paraId="77C32FB3" w14:textId="05BC09FA" w:rsidR="00C818F0" w:rsidRPr="005149C4" w:rsidRDefault="00C818F0" w:rsidP="003C2344">
      <w:pPr>
        <w:ind w:right="474"/>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3C2344"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 </w:t>
      </w:r>
    </w:p>
    <w:p w14:paraId="1609D72C" w14:textId="127FB268" w:rsidR="00C818F0" w:rsidRPr="005149C4" w:rsidRDefault="00C818F0" w:rsidP="00C818F0">
      <w:pPr>
        <w:tabs>
          <w:tab w:val="left" w:pos="0"/>
        </w:tabs>
      </w:pPr>
      <w:r w:rsidRPr="005149C4">
        <w:t>A partir de la información anterior, se tiene que, del total de Reuniones Restaurativas realizadas durante el 202</w:t>
      </w:r>
      <w:r w:rsidR="003C2344" w:rsidRPr="005149C4">
        <w:t>1</w:t>
      </w:r>
      <w:r w:rsidRPr="005149C4">
        <w:t xml:space="preserve">, </w:t>
      </w:r>
      <w:r w:rsidR="00432B70" w:rsidRPr="005149C4">
        <w:t>se presenta un promedio de 15 reuniones con acuerdo</w:t>
      </w:r>
      <w:r w:rsidRPr="005149C4">
        <w:t>.</w:t>
      </w:r>
    </w:p>
    <w:p w14:paraId="12907141" w14:textId="77777777" w:rsidR="00C818F0" w:rsidRPr="005149C4" w:rsidRDefault="00C818F0" w:rsidP="00C818F0">
      <w:pPr>
        <w:tabs>
          <w:tab w:val="left" w:pos="0"/>
        </w:tabs>
      </w:pPr>
      <w:r w:rsidRPr="005149C4">
        <w:t>El establecimiento de este acuerdo en la Reunión Restaurativa implica que, al cumplirse las medidas acordadas (las cuales deben ser sujetas de verificación por parte del equipo psicosocial) se puede dar por terminado el proceso en materia Penal Juvenil.</w:t>
      </w:r>
    </w:p>
    <w:p w14:paraId="4A557BEA" w14:textId="5485B8B7" w:rsidR="00C818F0" w:rsidRPr="005149C4" w:rsidRDefault="00C818F0" w:rsidP="00C818F0">
      <w:pPr>
        <w:tabs>
          <w:tab w:val="left" w:pos="0"/>
        </w:tabs>
      </w:pPr>
      <w:r w:rsidRPr="005149C4">
        <w:t>Respecto a las Audiencias de Verificación en el cuadro siguiente se muestra el desglose de la cantidad de audiencias realizadas y no realizadas en Penal Juvenil durante el año 202</w:t>
      </w:r>
      <w:r w:rsidR="001F2222" w:rsidRPr="005149C4">
        <w:t>1</w:t>
      </w:r>
      <w:r w:rsidRPr="005149C4">
        <w:t>:</w:t>
      </w:r>
    </w:p>
    <w:p w14:paraId="5DE8ABE9" w14:textId="75B47DF2" w:rsidR="001F2222" w:rsidRPr="00595B83" w:rsidRDefault="00C818F0" w:rsidP="00595B83">
      <w:pPr>
        <w:tabs>
          <w:tab w:val="left" w:pos="1701"/>
        </w:tabs>
        <w:ind w:left="1843" w:right="1892"/>
        <w:jc w:val="center"/>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17</w:t>
      </w:r>
      <w:r w:rsidRPr="005149C4">
        <w:rPr>
          <w:b/>
          <w:bCs/>
          <w:sz w:val="20"/>
          <w:szCs w:val="20"/>
        </w:rPr>
        <w:fldChar w:fldCharType="end"/>
      </w:r>
      <w:r w:rsidRPr="005149C4">
        <w:rPr>
          <w:b/>
          <w:bCs/>
          <w:sz w:val="20"/>
          <w:szCs w:val="20"/>
        </w:rPr>
        <w:t>. Detalle de audiencias de verificación en Penal Juvenil efectuadas durante el 202</w:t>
      </w:r>
      <w:r w:rsidR="00432B70" w:rsidRPr="005149C4">
        <w:rPr>
          <w:b/>
          <w:bCs/>
          <w:sz w:val="20"/>
          <w:szCs w:val="20"/>
        </w:rPr>
        <w:t>1</w:t>
      </w:r>
      <w:r w:rsidRPr="005149C4">
        <w:rPr>
          <w:b/>
          <w:bCs/>
          <w:sz w:val="20"/>
          <w:szCs w:val="20"/>
        </w:rPr>
        <w:t>.</w:t>
      </w:r>
    </w:p>
    <w:tbl>
      <w:tblPr>
        <w:tblW w:w="6108" w:type="dxa"/>
        <w:jc w:val="center"/>
        <w:tblCellMar>
          <w:left w:w="70" w:type="dxa"/>
          <w:right w:w="70" w:type="dxa"/>
        </w:tblCellMar>
        <w:tblLook w:val="04A0" w:firstRow="1" w:lastRow="0" w:firstColumn="1" w:lastColumn="0" w:noHBand="0" w:noVBand="1"/>
      </w:tblPr>
      <w:tblGrid>
        <w:gridCol w:w="3520"/>
        <w:gridCol w:w="1139"/>
        <w:gridCol w:w="1449"/>
      </w:tblGrid>
      <w:tr w:rsidR="001F2222" w:rsidRPr="001F2222" w14:paraId="282FE3B6" w14:textId="77777777" w:rsidTr="001F2222">
        <w:trPr>
          <w:trHeight w:val="330"/>
          <w:jc w:val="center"/>
        </w:trPr>
        <w:tc>
          <w:tcPr>
            <w:tcW w:w="3520" w:type="dxa"/>
            <w:vMerge w:val="restart"/>
            <w:tcBorders>
              <w:top w:val="double" w:sz="6" w:space="0" w:color="002060"/>
              <w:left w:val="double" w:sz="6" w:space="0" w:color="002060"/>
              <w:bottom w:val="double" w:sz="6" w:space="0" w:color="002060"/>
              <w:right w:val="double" w:sz="6" w:space="0" w:color="002060"/>
            </w:tcBorders>
            <w:shd w:val="clear" w:color="000000" w:fill="365F91"/>
            <w:noWrap/>
            <w:vAlign w:val="center"/>
            <w:hideMark/>
          </w:tcPr>
          <w:p w14:paraId="79597CAF" w14:textId="77777777" w:rsidR="001F2222" w:rsidRPr="001F2222" w:rsidRDefault="001F2222" w:rsidP="001F2222">
            <w:pPr>
              <w:spacing w:before="0" w:after="0" w:line="240" w:lineRule="auto"/>
              <w:jc w:val="center"/>
              <w:rPr>
                <w:rFonts w:eastAsia="Times New Roman" w:cs="Calibri"/>
                <w:color w:val="FFFFFF"/>
                <w:sz w:val="20"/>
                <w:szCs w:val="20"/>
                <w:lang w:eastAsia="es-CR"/>
              </w:rPr>
            </w:pPr>
            <w:r w:rsidRPr="001F2222">
              <w:rPr>
                <w:rFonts w:eastAsia="Times New Roman" w:cs="Calibri"/>
                <w:color w:val="FFFFFF"/>
                <w:sz w:val="20"/>
                <w:szCs w:val="20"/>
                <w:lang w:eastAsia="es-CR"/>
              </w:rPr>
              <w:t>Circuito Judicial</w:t>
            </w:r>
          </w:p>
        </w:tc>
        <w:tc>
          <w:tcPr>
            <w:tcW w:w="2588" w:type="dxa"/>
            <w:gridSpan w:val="2"/>
            <w:tcBorders>
              <w:top w:val="double" w:sz="6" w:space="0" w:color="002060"/>
              <w:left w:val="nil"/>
              <w:bottom w:val="double" w:sz="6" w:space="0" w:color="002060"/>
              <w:right w:val="nil"/>
            </w:tcBorders>
            <w:shd w:val="clear" w:color="000000" w:fill="365F91"/>
            <w:noWrap/>
            <w:vAlign w:val="center"/>
            <w:hideMark/>
          </w:tcPr>
          <w:p w14:paraId="79114FD0" w14:textId="77777777" w:rsidR="001F2222" w:rsidRPr="001F2222" w:rsidRDefault="001F2222" w:rsidP="001F2222">
            <w:pPr>
              <w:spacing w:before="0" w:after="0" w:line="240" w:lineRule="auto"/>
              <w:jc w:val="center"/>
              <w:rPr>
                <w:rFonts w:eastAsia="Times New Roman" w:cs="Calibri"/>
                <w:color w:val="FFFFFF"/>
                <w:sz w:val="20"/>
                <w:szCs w:val="20"/>
                <w:lang w:eastAsia="es-CR"/>
              </w:rPr>
            </w:pPr>
            <w:r w:rsidRPr="001F2222">
              <w:rPr>
                <w:rFonts w:eastAsia="Times New Roman" w:cs="Calibri"/>
                <w:color w:val="FFFFFF"/>
                <w:sz w:val="20"/>
                <w:szCs w:val="20"/>
                <w:lang w:eastAsia="es-CR"/>
              </w:rPr>
              <w:t>2021</w:t>
            </w:r>
          </w:p>
        </w:tc>
      </w:tr>
      <w:tr w:rsidR="001F2222" w:rsidRPr="001F2222" w14:paraId="054DDF46" w14:textId="77777777" w:rsidTr="001F2222">
        <w:trPr>
          <w:trHeight w:val="330"/>
          <w:jc w:val="center"/>
        </w:trPr>
        <w:tc>
          <w:tcPr>
            <w:tcW w:w="3520" w:type="dxa"/>
            <w:vMerge/>
            <w:tcBorders>
              <w:top w:val="double" w:sz="6" w:space="0" w:color="002060"/>
              <w:left w:val="double" w:sz="6" w:space="0" w:color="002060"/>
              <w:bottom w:val="double" w:sz="6" w:space="0" w:color="002060"/>
              <w:right w:val="double" w:sz="6" w:space="0" w:color="002060"/>
            </w:tcBorders>
            <w:vAlign w:val="center"/>
            <w:hideMark/>
          </w:tcPr>
          <w:p w14:paraId="503F8E6A" w14:textId="77777777" w:rsidR="001F2222" w:rsidRPr="001F2222" w:rsidRDefault="001F2222" w:rsidP="001F2222">
            <w:pPr>
              <w:spacing w:before="0" w:after="0" w:line="240" w:lineRule="auto"/>
              <w:jc w:val="left"/>
              <w:rPr>
                <w:rFonts w:eastAsia="Times New Roman" w:cs="Calibri"/>
                <w:color w:val="FFFFFF"/>
                <w:sz w:val="20"/>
                <w:szCs w:val="20"/>
                <w:lang w:eastAsia="es-CR"/>
              </w:rPr>
            </w:pPr>
          </w:p>
        </w:tc>
        <w:tc>
          <w:tcPr>
            <w:tcW w:w="1139" w:type="dxa"/>
            <w:tcBorders>
              <w:top w:val="nil"/>
              <w:left w:val="nil"/>
              <w:bottom w:val="double" w:sz="6" w:space="0" w:color="002060"/>
              <w:right w:val="double" w:sz="6" w:space="0" w:color="002060"/>
            </w:tcBorders>
            <w:shd w:val="clear" w:color="000000" w:fill="365F91"/>
            <w:noWrap/>
            <w:vAlign w:val="center"/>
            <w:hideMark/>
          </w:tcPr>
          <w:p w14:paraId="3147556C" w14:textId="77777777" w:rsidR="001F2222" w:rsidRPr="001F2222" w:rsidRDefault="001F2222" w:rsidP="001F2222">
            <w:pPr>
              <w:spacing w:before="0" w:after="0" w:line="240" w:lineRule="auto"/>
              <w:jc w:val="center"/>
              <w:rPr>
                <w:rFonts w:eastAsia="Times New Roman" w:cs="Calibri"/>
                <w:color w:val="FFFFFF"/>
                <w:sz w:val="20"/>
                <w:szCs w:val="20"/>
                <w:lang w:eastAsia="es-CR"/>
              </w:rPr>
            </w:pPr>
            <w:r w:rsidRPr="001F2222">
              <w:rPr>
                <w:rFonts w:eastAsia="Times New Roman" w:cs="Calibri"/>
                <w:color w:val="FFFFFF"/>
                <w:sz w:val="20"/>
                <w:szCs w:val="20"/>
                <w:lang w:eastAsia="es-CR"/>
              </w:rPr>
              <w:t>Realizadas</w:t>
            </w:r>
          </w:p>
        </w:tc>
        <w:tc>
          <w:tcPr>
            <w:tcW w:w="1449" w:type="dxa"/>
            <w:tcBorders>
              <w:top w:val="nil"/>
              <w:left w:val="nil"/>
              <w:bottom w:val="double" w:sz="6" w:space="0" w:color="002060"/>
              <w:right w:val="double" w:sz="6" w:space="0" w:color="002060"/>
            </w:tcBorders>
            <w:shd w:val="clear" w:color="000000" w:fill="365F91"/>
            <w:noWrap/>
            <w:vAlign w:val="center"/>
            <w:hideMark/>
          </w:tcPr>
          <w:p w14:paraId="18A4CCB4" w14:textId="77777777" w:rsidR="001F2222" w:rsidRPr="001F2222" w:rsidRDefault="001F2222" w:rsidP="001F2222">
            <w:pPr>
              <w:spacing w:before="0" w:after="0" w:line="240" w:lineRule="auto"/>
              <w:jc w:val="center"/>
              <w:rPr>
                <w:rFonts w:eastAsia="Times New Roman" w:cs="Calibri"/>
                <w:color w:val="FFFFFF"/>
                <w:sz w:val="20"/>
                <w:szCs w:val="20"/>
                <w:lang w:eastAsia="es-CR"/>
              </w:rPr>
            </w:pPr>
            <w:r w:rsidRPr="001F2222">
              <w:rPr>
                <w:rFonts w:eastAsia="Times New Roman" w:cs="Calibri"/>
                <w:color w:val="FFFFFF"/>
                <w:sz w:val="20"/>
                <w:szCs w:val="20"/>
                <w:lang w:eastAsia="es-CR"/>
              </w:rPr>
              <w:t>No realizadas</w:t>
            </w:r>
          </w:p>
        </w:tc>
      </w:tr>
      <w:tr w:rsidR="001F2222" w:rsidRPr="001F2222" w14:paraId="59422958"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177B37A8"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San José</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6D12D67C"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16</w:t>
            </w:r>
          </w:p>
        </w:tc>
        <w:tc>
          <w:tcPr>
            <w:tcW w:w="1449" w:type="dxa"/>
            <w:tcBorders>
              <w:top w:val="nil"/>
              <w:left w:val="nil"/>
              <w:bottom w:val="double" w:sz="6" w:space="0" w:color="002060"/>
              <w:right w:val="double" w:sz="6" w:space="0" w:color="002060"/>
            </w:tcBorders>
            <w:shd w:val="clear" w:color="auto" w:fill="auto"/>
            <w:noWrap/>
            <w:vAlign w:val="bottom"/>
            <w:hideMark/>
          </w:tcPr>
          <w:p w14:paraId="06BB4491"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12</w:t>
            </w:r>
          </w:p>
        </w:tc>
      </w:tr>
      <w:tr w:rsidR="001F2222" w:rsidRPr="001F2222" w14:paraId="17C0A4F7"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5A38F76C"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Puriscal</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5678DDFF"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0</w:t>
            </w:r>
          </w:p>
        </w:tc>
        <w:tc>
          <w:tcPr>
            <w:tcW w:w="1449" w:type="dxa"/>
            <w:tcBorders>
              <w:top w:val="nil"/>
              <w:left w:val="nil"/>
              <w:bottom w:val="double" w:sz="6" w:space="0" w:color="002060"/>
              <w:right w:val="double" w:sz="6" w:space="0" w:color="002060"/>
            </w:tcBorders>
            <w:shd w:val="clear" w:color="auto" w:fill="auto"/>
            <w:noWrap/>
            <w:vAlign w:val="bottom"/>
            <w:hideMark/>
          </w:tcPr>
          <w:p w14:paraId="75E971D3"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3</w:t>
            </w:r>
          </w:p>
        </w:tc>
      </w:tr>
      <w:tr w:rsidR="001F2222" w:rsidRPr="001F2222" w14:paraId="1C24A3C0"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54854E34"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Alajuela</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1915FCC1"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1</w:t>
            </w:r>
          </w:p>
        </w:tc>
        <w:tc>
          <w:tcPr>
            <w:tcW w:w="1449" w:type="dxa"/>
            <w:tcBorders>
              <w:top w:val="nil"/>
              <w:left w:val="nil"/>
              <w:bottom w:val="double" w:sz="6" w:space="0" w:color="002060"/>
              <w:right w:val="double" w:sz="6" w:space="0" w:color="002060"/>
            </w:tcBorders>
            <w:shd w:val="clear" w:color="auto" w:fill="auto"/>
            <w:noWrap/>
            <w:vAlign w:val="bottom"/>
            <w:hideMark/>
          </w:tcPr>
          <w:p w14:paraId="7B8E461C"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0</w:t>
            </w:r>
          </w:p>
        </w:tc>
      </w:tr>
      <w:tr w:rsidR="001F2222" w:rsidRPr="001F2222" w14:paraId="3D07B8AE"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44AAAEBA"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San Ramón</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62FDF554"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5</w:t>
            </w:r>
          </w:p>
        </w:tc>
        <w:tc>
          <w:tcPr>
            <w:tcW w:w="1449" w:type="dxa"/>
            <w:tcBorders>
              <w:top w:val="nil"/>
              <w:left w:val="nil"/>
              <w:bottom w:val="double" w:sz="6" w:space="0" w:color="002060"/>
              <w:right w:val="double" w:sz="6" w:space="0" w:color="002060"/>
            </w:tcBorders>
            <w:shd w:val="clear" w:color="auto" w:fill="auto"/>
            <w:noWrap/>
            <w:vAlign w:val="bottom"/>
            <w:hideMark/>
          </w:tcPr>
          <w:p w14:paraId="43B9769A"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4</w:t>
            </w:r>
          </w:p>
        </w:tc>
      </w:tr>
      <w:tr w:rsidR="001F2222" w:rsidRPr="001F2222" w14:paraId="321EC572"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6C44B0AB"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Cartago</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223A7893"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4</w:t>
            </w:r>
          </w:p>
        </w:tc>
        <w:tc>
          <w:tcPr>
            <w:tcW w:w="1449" w:type="dxa"/>
            <w:tcBorders>
              <w:top w:val="nil"/>
              <w:left w:val="nil"/>
              <w:bottom w:val="double" w:sz="6" w:space="0" w:color="002060"/>
              <w:right w:val="double" w:sz="6" w:space="0" w:color="002060"/>
            </w:tcBorders>
            <w:shd w:val="clear" w:color="auto" w:fill="auto"/>
            <w:noWrap/>
            <w:vAlign w:val="bottom"/>
            <w:hideMark/>
          </w:tcPr>
          <w:p w14:paraId="38305AF9"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0</w:t>
            </w:r>
          </w:p>
        </w:tc>
      </w:tr>
      <w:tr w:rsidR="001F2222" w:rsidRPr="001F2222" w14:paraId="60082546"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618968B9"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Heredia</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6F8377E4"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2</w:t>
            </w:r>
          </w:p>
        </w:tc>
        <w:tc>
          <w:tcPr>
            <w:tcW w:w="1449" w:type="dxa"/>
            <w:tcBorders>
              <w:top w:val="nil"/>
              <w:left w:val="nil"/>
              <w:bottom w:val="double" w:sz="6" w:space="0" w:color="002060"/>
              <w:right w:val="double" w:sz="6" w:space="0" w:color="002060"/>
            </w:tcBorders>
            <w:shd w:val="clear" w:color="auto" w:fill="auto"/>
            <w:noWrap/>
            <w:vAlign w:val="bottom"/>
            <w:hideMark/>
          </w:tcPr>
          <w:p w14:paraId="219B5B3E"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3</w:t>
            </w:r>
          </w:p>
        </w:tc>
      </w:tr>
      <w:tr w:rsidR="001F2222" w:rsidRPr="001F2222" w14:paraId="47B27F41"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338AE0C5"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I Circuito Judicial de Guanacaste</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71DDC672"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5</w:t>
            </w:r>
          </w:p>
        </w:tc>
        <w:tc>
          <w:tcPr>
            <w:tcW w:w="1449" w:type="dxa"/>
            <w:tcBorders>
              <w:top w:val="nil"/>
              <w:left w:val="nil"/>
              <w:bottom w:val="double" w:sz="6" w:space="0" w:color="002060"/>
              <w:right w:val="double" w:sz="6" w:space="0" w:color="002060"/>
            </w:tcBorders>
            <w:shd w:val="clear" w:color="auto" w:fill="auto"/>
            <w:noWrap/>
            <w:vAlign w:val="bottom"/>
            <w:hideMark/>
          </w:tcPr>
          <w:p w14:paraId="6412FE4B"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3</w:t>
            </w:r>
          </w:p>
        </w:tc>
      </w:tr>
      <w:tr w:rsidR="001F2222" w:rsidRPr="001F2222" w14:paraId="78A5C7EB"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25C8ABB1"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Corredores</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1E6F7F4B"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2</w:t>
            </w:r>
          </w:p>
        </w:tc>
        <w:tc>
          <w:tcPr>
            <w:tcW w:w="1449" w:type="dxa"/>
            <w:tcBorders>
              <w:top w:val="nil"/>
              <w:left w:val="nil"/>
              <w:bottom w:val="double" w:sz="6" w:space="0" w:color="002060"/>
              <w:right w:val="double" w:sz="6" w:space="0" w:color="002060"/>
            </w:tcBorders>
            <w:shd w:val="clear" w:color="auto" w:fill="auto"/>
            <w:noWrap/>
            <w:vAlign w:val="bottom"/>
            <w:hideMark/>
          </w:tcPr>
          <w:p w14:paraId="3673197E"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0</w:t>
            </w:r>
          </w:p>
        </w:tc>
      </w:tr>
      <w:tr w:rsidR="001F2222" w:rsidRPr="001F2222" w14:paraId="4C6E06DA"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0AF377B6"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I Circuito Judicial de la Zona Sur</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394445FA"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3</w:t>
            </w:r>
          </w:p>
        </w:tc>
        <w:tc>
          <w:tcPr>
            <w:tcW w:w="1449" w:type="dxa"/>
            <w:tcBorders>
              <w:top w:val="nil"/>
              <w:left w:val="nil"/>
              <w:bottom w:val="double" w:sz="6" w:space="0" w:color="002060"/>
              <w:right w:val="double" w:sz="6" w:space="0" w:color="002060"/>
            </w:tcBorders>
            <w:shd w:val="clear" w:color="auto" w:fill="auto"/>
            <w:noWrap/>
            <w:vAlign w:val="bottom"/>
            <w:hideMark/>
          </w:tcPr>
          <w:p w14:paraId="0B3D5EE4"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1</w:t>
            </w:r>
          </w:p>
        </w:tc>
      </w:tr>
      <w:tr w:rsidR="001F2222" w:rsidRPr="001F2222" w14:paraId="2BFDCF13"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3409B19D"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II Circuito Judicial de la Zona Atlántica</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72EF9465"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7</w:t>
            </w:r>
          </w:p>
        </w:tc>
        <w:tc>
          <w:tcPr>
            <w:tcW w:w="1449" w:type="dxa"/>
            <w:tcBorders>
              <w:top w:val="nil"/>
              <w:left w:val="nil"/>
              <w:bottom w:val="double" w:sz="6" w:space="0" w:color="002060"/>
              <w:right w:val="double" w:sz="6" w:space="0" w:color="002060"/>
            </w:tcBorders>
            <w:shd w:val="clear" w:color="auto" w:fill="auto"/>
            <w:noWrap/>
            <w:vAlign w:val="bottom"/>
            <w:hideMark/>
          </w:tcPr>
          <w:p w14:paraId="6C1CE804"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2</w:t>
            </w:r>
          </w:p>
        </w:tc>
      </w:tr>
      <w:tr w:rsidR="001F2222" w:rsidRPr="001F2222" w14:paraId="10DFCD8D" w14:textId="77777777" w:rsidTr="001F2222">
        <w:trPr>
          <w:trHeight w:val="330"/>
          <w:jc w:val="center"/>
        </w:trPr>
        <w:tc>
          <w:tcPr>
            <w:tcW w:w="3520" w:type="dxa"/>
            <w:tcBorders>
              <w:top w:val="nil"/>
              <w:left w:val="double" w:sz="6" w:space="0" w:color="002060"/>
              <w:bottom w:val="double" w:sz="6" w:space="0" w:color="002060"/>
              <w:right w:val="nil"/>
            </w:tcBorders>
            <w:shd w:val="clear" w:color="auto" w:fill="auto"/>
            <w:noWrap/>
            <w:vAlign w:val="bottom"/>
            <w:hideMark/>
          </w:tcPr>
          <w:p w14:paraId="42FDDBDA"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I Circuito Judicial de la Zona Atlántica</w:t>
            </w:r>
          </w:p>
        </w:tc>
        <w:tc>
          <w:tcPr>
            <w:tcW w:w="1139" w:type="dxa"/>
            <w:tcBorders>
              <w:top w:val="nil"/>
              <w:left w:val="double" w:sz="6" w:space="0" w:color="002060"/>
              <w:bottom w:val="double" w:sz="6" w:space="0" w:color="002060"/>
              <w:right w:val="double" w:sz="6" w:space="0" w:color="002060"/>
            </w:tcBorders>
            <w:shd w:val="clear" w:color="auto" w:fill="auto"/>
            <w:noWrap/>
            <w:vAlign w:val="bottom"/>
            <w:hideMark/>
          </w:tcPr>
          <w:p w14:paraId="1FE80CC5"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2</w:t>
            </w:r>
          </w:p>
        </w:tc>
        <w:tc>
          <w:tcPr>
            <w:tcW w:w="1449" w:type="dxa"/>
            <w:tcBorders>
              <w:top w:val="nil"/>
              <w:left w:val="nil"/>
              <w:bottom w:val="double" w:sz="6" w:space="0" w:color="002060"/>
              <w:right w:val="double" w:sz="6" w:space="0" w:color="002060"/>
            </w:tcBorders>
            <w:shd w:val="clear" w:color="auto" w:fill="auto"/>
            <w:noWrap/>
            <w:vAlign w:val="bottom"/>
            <w:hideMark/>
          </w:tcPr>
          <w:p w14:paraId="243E9B7D" w14:textId="77777777" w:rsidR="001F2222" w:rsidRPr="001F2222" w:rsidRDefault="001F2222" w:rsidP="001F2222">
            <w:pPr>
              <w:spacing w:before="0" w:after="0" w:line="240" w:lineRule="auto"/>
              <w:jc w:val="center"/>
              <w:rPr>
                <w:rFonts w:eastAsia="Times New Roman" w:cs="Calibri"/>
                <w:color w:val="000000"/>
                <w:sz w:val="20"/>
                <w:szCs w:val="20"/>
                <w:lang w:eastAsia="es-CR"/>
              </w:rPr>
            </w:pPr>
            <w:r w:rsidRPr="001F2222">
              <w:rPr>
                <w:rFonts w:eastAsia="Times New Roman" w:cs="Calibri"/>
                <w:color w:val="000000"/>
                <w:sz w:val="20"/>
                <w:szCs w:val="20"/>
                <w:lang w:eastAsia="es-CR"/>
              </w:rPr>
              <w:t>0</w:t>
            </w:r>
          </w:p>
        </w:tc>
      </w:tr>
    </w:tbl>
    <w:p w14:paraId="61FB2726" w14:textId="7BA89040" w:rsidR="00C818F0" w:rsidRPr="005149C4" w:rsidRDefault="00C818F0" w:rsidP="001F2222">
      <w:pPr>
        <w:ind w:right="1183"/>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1F2222"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 </w:t>
      </w:r>
    </w:p>
    <w:p w14:paraId="7B19C267" w14:textId="7C9E1D12" w:rsidR="00C818F0" w:rsidRPr="005149C4" w:rsidRDefault="00C818F0" w:rsidP="00C818F0">
      <w:pPr>
        <w:tabs>
          <w:tab w:val="left" w:pos="0"/>
        </w:tabs>
      </w:pPr>
      <w:r w:rsidRPr="005149C4">
        <w:t xml:space="preserve">En total se realizaron </w:t>
      </w:r>
      <w:r w:rsidR="001F2222" w:rsidRPr="005149C4">
        <w:t>75</w:t>
      </w:r>
      <w:r w:rsidRPr="005149C4">
        <w:t xml:space="preserve"> audiencias de verificación, siendo que el mayor número fue ejecutado por los equipos de San José.</w:t>
      </w:r>
    </w:p>
    <w:p w14:paraId="2643F550" w14:textId="77777777" w:rsidR="00C818F0" w:rsidRPr="005149C4" w:rsidRDefault="00C818F0" w:rsidP="00C818F0">
      <w:pPr>
        <w:tabs>
          <w:tab w:val="left" w:pos="0"/>
        </w:tabs>
      </w:pPr>
      <w:r w:rsidRPr="005149C4">
        <w:t>A continuación, se muestra el detalle de las audiencias de seguimiento realizadas por los equipos psicosociales que atienden la materia Penal Juvenil en Justicia Restaurativa:</w:t>
      </w:r>
    </w:p>
    <w:p w14:paraId="48CAA02A" w14:textId="50885278" w:rsidR="00BC6C08" w:rsidRPr="005149C4" w:rsidRDefault="00C818F0" w:rsidP="00BC6C08">
      <w:pPr>
        <w:tabs>
          <w:tab w:val="left" w:pos="1701"/>
        </w:tabs>
        <w:ind w:left="1843" w:right="1892"/>
        <w:jc w:val="center"/>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18</w:t>
      </w:r>
      <w:r w:rsidRPr="005149C4">
        <w:rPr>
          <w:b/>
          <w:bCs/>
          <w:sz w:val="20"/>
          <w:szCs w:val="20"/>
        </w:rPr>
        <w:fldChar w:fldCharType="end"/>
      </w:r>
      <w:r w:rsidRPr="005149C4">
        <w:rPr>
          <w:b/>
          <w:bCs/>
          <w:sz w:val="20"/>
          <w:szCs w:val="20"/>
        </w:rPr>
        <w:t>. Detalle de audiencias de seguimiento en Penal Juvenil efectuadas durante el 202</w:t>
      </w:r>
      <w:r w:rsidR="00BC6C08" w:rsidRPr="005149C4">
        <w:rPr>
          <w:b/>
          <w:bCs/>
          <w:sz w:val="20"/>
          <w:szCs w:val="20"/>
        </w:rPr>
        <w:t>1</w:t>
      </w:r>
      <w:r w:rsidRPr="005149C4">
        <w:rPr>
          <w:b/>
          <w:bCs/>
          <w:sz w:val="20"/>
          <w:szCs w:val="20"/>
        </w:rPr>
        <w:t>.</w:t>
      </w:r>
    </w:p>
    <w:tbl>
      <w:tblPr>
        <w:tblW w:w="4740" w:type="dxa"/>
        <w:jc w:val="center"/>
        <w:tblCellMar>
          <w:left w:w="70" w:type="dxa"/>
          <w:right w:w="70" w:type="dxa"/>
        </w:tblCellMar>
        <w:tblLook w:val="04A0" w:firstRow="1" w:lastRow="0" w:firstColumn="1" w:lastColumn="0" w:noHBand="0" w:noVBand="1"/>
      </w:tblPr>
      <w:tblGrid>
        <w:gridCol w:w="3520"/>
        <w:gridCol w:w="1220"/>
      </w:tblGrid>
      <w:tr w:rsidR="00BC6C08" w:rsidRPr="00BC6C08" w14:paraId="6A407513" w14:textId="77777777" w:rsidTr="00BC6C08">
        <w:trPr>
          <w:trHeight w:val="330"/>
          <w:jc w:val="center"/>
        </w:trPr>
        <w:tc>
          <w:tcPr>
            <w:tcW w:w="352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40F5156E" w14:textId="77777777" w:rsidR="00BC6C08" w:rsidRPr="00BC6C08" w:rsidRDefault="00BC6C08" w:rsidP="00BC6C08">
            <w:pPr>
              <w:spacing w:before="0" w:after="0" w:line="240" w:lineRule="auto"/>
              <w:jc w:val="center"/>
              <w:rPr>
                <w:rFonts w:eastAsia="Times New Roman" w:cs="Calibri"/>
                <w:color w:val="FFFFFF"/>
                <w:sz w:val="20"/>
                <w:szCs w:val="20"/>
                <w:lang w:eastAsia="es-CR"/>
              </w:rPr>
            </w:pPr>
            <w:r w:rsidRPr="00BC6C08">
              <w:rPr>
                <w:rFonts w:eastAsia="Times New Roman" w:cs="Calibri"/>
                <w:color w:val="FFFFFF"/>
                <w:sz w:val="20"/>
                <w:szCs w:val="20"/>
                <w:lang w:eastAsia="es-CR"/>
              </w:rPr>
              <w:t>Circuito Judicial</w:t>
            </w:r>
          </w:p>
        </w:tc>
        <w:tc>
          <w:tcPr>
            <w:tcW w:w="1220" w:type="dxa"/>
            <w:tcBorders>
              <w:top w:val="double" w:sz="6" w:space="0" w:color="002060"/>
              <w:left w:val="nil"/>
              <w:bottom w:val="double" w:sz="6" w:space="0" w:color="203764"/>
              <w:right w:val="double" w:sz="6" w:space="0" w:color="002060"/>
            </w:tcBorders>
            <w:shd w:val="clear" w:color="000000" w:fill="365F91"/>
            <w:noWrap/>
            <w:vAlign w:val="center"/>
            <w:hideMark/>
          </w:tcPr>
          <w:p w14:paraId="1543EF4F" w14:textId="77777777" w:rsidR="00BC6C08" w:rsidRPr="00BC6C08" w:rsidRDefault="00BC6C08" w:rsidP="00BC6C08">
            <w:pPr>
              <w:spacing w:before="0" w:after="0" w:line="240" w:lineRule="auto"/>
              <w:jc w:val="center"/>
              <w:rPr>
                <w:rFonts w:eastAsia="Times New Roman" w:cs="Calibri"/>
                <w:color w:val="FFFFFF"/>
                <w:sz w:val="20"/>
                <w:szCs w:val="20"/>
                <w:lang w:eastAsia="es-CR"/>
              </w:rPr>
            </w:pPr>
            <w:r w:rsidRPr="00BC6C08">
              <w:rPr>
                <w:rFonts w:eastAsia="Times New Roman" w:cs="Calibri"/>
                <w:color w:val="FFFFFF"/>
                <w:sz w:val="20"/>
                <w:szCs w:val="20"/>
                <w:lang w:eastAsia="es-CR"/>
              </w:rPr>
              <w:t>Realizadas</w:t>
            </w:r>
          </w:p>
        </w:tc>
      </w:tr>
      <w:tr w:rsidR="00BC6C08" w:rsidRPr="00BC6C08" w14:paraId="3669262A" w14:textId="77777777" w:rsidTr="00BC6C08">
        <w:trPr>
          <w:trHeight w:val="330"/>
          <w:jc w:val="center"/>
        </w:trPr>
        <w:tc>
          <w:tcPr>
            <w:tcW w:w="3520" w:type="dxa"/>
            <w:tcBorders>
              <w:top w:val="nil"/>
              <w:left w:val="double" w:sz="6" w:space="0" w:color="203764"/>
              <w:bottom w:val="double" w:sz="6" w:space="0" w:color="002060"/>
              <w:right w:val="nil"/>
            </w:tcBorders>
            <w:shd w:val="clear" w:color="auto" w:fill="auto"/>
            <w:noWrap/>
            <w:vAlign w:val="bottom"/>
            <w:hideMark/>
          </w:tcPr>
          <w:p w14:paraId="45D84FC4"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San José</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1678E155"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43</w:t>
            </w:r>
          </w:p>
        </w:tc>
      </w:tr>
      <w:tr w:rsidR="00BC6C08" w:rsidRPr="00BC6C08" w14:paraId="7B0D22FC" w14:textId="77777777" w:rsidTr="00BC6C08">
        <w:trPr>
          <w:trHeight w:val="330"/>
          <w:jc w:val="center"/>
        </w:trPr>
        <w:tc>
          <w:tcPr>
            <w:tcW w:w="3520" w:type="dxa"/>
            <w:tcBorders>
              <w:top w:val="nil"/>
              <w:left w:val="double" w:sz="6" w:space="0" w:color="203764"/>
              <w:bottom w:val="double" w:sz="6" w:space="0" w:color="002060"/>
              <w:right w:val="nil"/>
            </w:tcBorders>
            <w:shd w:val="clear" w:color="auto" w:fill="auto"/>
            <w:noWrap/>
            <w:vAlign w:val="bottom"/>
            <w:hideMark/>
          </w:tcPr>
          <w:p w14:paraId="7AE9DA24"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Puriscal</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7862A2D1"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1</w:t>
            </w:r>
          </w:p>
        </w:tc>
      </w:tr>
      <w:tr w:rsidR="00BC6C08" w:rsidRPr="00BC6C08" w14:paraId="4F06F145" w14:textId="77777777" w:rsidTr="00BC6C08">
        <w:trPr>
          <w:trHeight w:val="330"/>
          <w:jc w:val="center"/>
        </w:trPr>
        <w:tc>
          <w:tcPr>
            <w:tcW w:w="3520" w:type="dxa"/>
            <w:tcBorders>
              <w:top w:val="nil"/>
              <w:left w:val="double" w:sz="6" w:space="0" w:color="203764"/>
              <w:bottom w:val="double" w:sz="6" w:space="0" w:color="002060"/>
              <w:right w:val="nil"/>
            </w:tcBorders>
            <w:shd w:val="clear" w:color="auto" w:fill="auto"/>
            <w:noWrap/>
            <w:vAlign w:val="bottom"/>
            <w:hideMark/>
          </w:tcPr>
          <w:p w14:paraId="42040F83"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Alajuela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30D3F912"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24</w:t>
            </w:r>
          </w:p>
        </w:tc>
      </w:tr>
      <w:tr w:rsidR="00BC6C08" w:rsidRPr="00BC6C08" w14:paraId="443FAEE6" w14:textId="77777777" w:rsidTr="00BC6C08">
        <w:trPr>
          <w:trHeight w:val="330"/>
          <w:jc w:val="center"/>
        </w:trPr>
        <w:tc>
          <w:tcPr>
            <w:tcW w:w="3520" w:type="dxa"/>
            <w:tcBorders>
              <w:top w:val="nil"/>
              <w:left w:val="double" w:sz="6" w:space="0" w:color="203764"/>
              <w:bottom w:val="nil"/>
              <w:right w:val="nil"/>
            </w:tcBorders>
            <w:shd w:val="clear" w:color="auto" w:fill="auto"/>
            <w:noWrap/>
            <w:vAlign w:val="bottom"/>
            <w:hideMark/>
          </w:tcPr>
          <w:p w14:paraId="5862B3B7"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San Ramón</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5D95508A"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39989983" w14:textId="77777777" w:rsidTr="00BC6C08">
        <w:trPr>
          <w:trHeight w:val="330"/>
          <w:jc w:val="center"/>
        </w:trPr>
        <w:tc>
          <w:tcPr>
            <w:tcW w:w="3520" w:type="dxa"/>
            <w:tcBorders>
              <w:top w:val="double" w:sz="6" w:space="0" w:color="002060"/>
              <w:left w:val="double" w:sz="6" w:space="0" w:color="203764"/>
              <w:bottom w:val="double" w:sz="6" w:space="0" w:color="002060"/>
              <w:right w:val="nil"/>
            </w:tcBorders>
            <w:shd w:val="clear" w:color="auto" w:fill="auto"/>
            <w:noWrap/>
            <w:vAlign w:val="bottom"/>
            <w:hideMark/>
          </w:tcPr>
          <w:p w14:paraId="5A25958E"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San Carlos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6EE746EB"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2</w:t>
            </w:r>
          </w:p>
        </w:tc>
      </w:tr>
      <w:tr w:rsidR="00BC6C08" w:rsidRPr="00BC6C08" w14:paraId="5D3AB29B" w14:textId="77777777" w:rsidTr="00BC6C08">
        <w:trPr>
          <w:trHeight w:val="330"/>
          <w:jc w:val="center"/>
        </w:trPr>
        <w:tc>
          <w:tcPr>
            <w:tcW w:w="3520" w:type="dxa"/>
            <w:tcBorders>
              <w:top w:val="nil"/>
              <w:left w:val="double" w:sz="6" w:space="0" w:color="203764"/>
              <w:bottom w:val="double" w:sz="6" w:space="0" w:color="002060"/>
              <w:right w:val="nil"/>
            </w:tcBorders>
            <w:shd w:val="clear" w:color="auto" w:fill="auto"/>
            <w:noWrap/>
            <w:vAlign w:val="bottom"/>
            <w:hideMark/>
          </w:tcPr>
          <w:p w14:paraId="2E45FF0C"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Cartago</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E563BA3"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6</w:t>
            </w:r>
          </w:p>
        </w:tc>
      </w:tr>
      <w:tr w:rsidR="00BC6C08" w:rsidRPr="00BC6C08" w14:paraId="2461508C" w14:textId="77777777" w:rsidTr="00BC6C08">
        <w:trPr>
          <w:trHeight w:val="330"/>
          <w:jc w:val="center"/>
        </w:trPr>
        <w:tc>
          <w:tcPr>
            <w:tcW w:w="3520" w:type="dxa"/>
            <w:tcBorders>
              <w:top w:val="nil"/>
              <w:left w:val="double" w:sz="6" w:space="0" w:color="203764"/>
              <w:bottom w:val="double" w:sz="6" w:space="0" w:color="002060"/>
              <w:right w:val="nil"/>
            </w:tcBorders>
            <w:shd w:val="clear" w:color="auto" w:fill="auto"/>
            <w:noWrap/>
            <w:vAlign w:val="bottom"/>
            <w:hideMark/>
          </w:tcPr>
          <w:p w14:paraId="2FE2CEB5"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Turrialba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2B20CCE6"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1A05A883" w14:textId="77777777" w:rsidTr="00BC6C08">
        <w:trPr>
          <w:trHeight w:val="330"/>
          <w:jc w:val="center"/>
        </w:trPr>
        <w:tc>
          <w:tcPr>
            <w:tcW w:w="3520" w:type="dxa"/>
            <w:tcBorders>
              <w:top w:val="nil"/>
              <w:left w:val="double" w:sz="6" w:space="0" w:color="203764"/>
              <w:bottom w:val="double" w:sz="6" w:space="0" w:color="002060"/>
              <w:right w:val="nil"/>
            </w:tcBorders>
            <w:shd w:val="clear" w:color="auto" w:fill="auto"/>
            <w:noWrap/>
            <w:vAlign w:val="bottom"/>
            <w:hideMark/>
          </w:tcPr>
          <w:p w14:paraId="445BDF27"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Heredia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138CC246"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197CCBA5"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661E5C17"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Sarapiquí</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35BFC888"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192D33F6"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639D424B"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I Circuito Judicial de Guanacaste</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230530C8"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13</w:t>
            </w:r>
          </w:p>
        </w:tc>
      </w:tr>
      <w:tr w:rsidR="00BC6C08" w:rsidRPr="00BC6C08" w14:paraId="72DAF8D1"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762F2CE5"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Nicoya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0ADA46CE"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64D928A0"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55885BAA"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Puntarenas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6B317EC4"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12BA8349"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79F8730A"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Corredores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4B623C92"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06559C44"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184B3D9F"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Quepos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1987B5C9"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58A1FCCE"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1D5891AE"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Buenos Aires</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69D983CB"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0</w:t>
            </w:r>
          </w:p>
        </w:tc>
      </w:tr>
      <w:tr w:rsidR="00BC6C08" w:rsidRPr="00BC6C08" w14:paraId="677C71B8"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596C408D"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I Circuito Judicial de la Zona Sur</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28F559A2"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1</w:t>
            </w:r>
          </w:p>
        </w:tc>
      </w:tr>
      <w:tr w:rsidR="00BC6C08" w:rsidRPr="00BC6C08" w14:paraId="35A43550"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2C237FD4"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II Circuito Judicial de la Zona Atlántica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68EBB5A4"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4</w:t>
            </w:r>
          </w:p>
        </w:tc>
      </w:tr>
      <w:tr w:rsidR="00BC6C08" w:rsidRPr="00BC6C08" w14:paraId="1C438E6C" w14:textId="77777777" w:rsidTr="00BC6C08">
        <w:trPr>
          <w:trHeight w:val="330"/>
          <w:jc w:val="center"/>
        </w:trPr>
        <w:tc>
          <w:tcPr>
            <w:tcW w:w="3520" w:type="dxa"/>
            <w:tcBorders>
              <w:top w:val="nil"/>
              <w:left w:val="double" w:sz="6" w:space="0" w:color="203764"/>
              <w:bottom w:val="double" w:sz="6" w:space="0" w:color="203764"/>
              <w:right w:val="nil"/>
            </w:tcBorders>
            <w:shd w:val="clear" w:color="auto" w:fill="auto"/>
            <w:noWrap/>
            <w:vAlign w:val="bottom"/>
            <w:hideMark/>
          </w:tcPr>
          <w:p w14:paraId="779E04A4"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I Circuito Judicial de la Zona Atlántica</w:t>
            </w:r>
          </w:p>
        </w:tc>
        <w:tc>
          <w:tcPr>
            <w:tcW w:w="1220" w:type="dxa"/>
            <w:tcBorders>
              <w:top w:val="nil"/>
              <w:left w:val="double" w:sz="6" w:space="0" w:color="002060"/>
              <w:bottom w:val="double" w:sz="6" w:space="0" w:color="002060"/>
              <w:right w:val="double" w:sz="6" w:space="0" w:color="002060"/>
            </w:tcBorders>
            <w:shd w:val="clear" w:color="auto" w:fill="auto"/>
            <w:noWrap/>
            <w:vAlign w:val="bottom"/>
            <w:hideMark/>
          </w:tcPr>
          <w:p w14:paraId="04250BD5" w14:textId="77777777" w:rsidR="00BC6C08" w:rsidRPr="00BC6C08" w:rsidRDefault="00BC6C08" w:rsidP="00BC6C08">
            <w:pPr>
              <w:spacing w:before="0" w:after="0" w:line="240" w:lineRule="auto"/>
              <w:jc w:val="center"/>
              <w:rPr>
                <w:rFonts w:eastAsia="Times New Roman" w:cs="Calibri"/>
                <w:color w:val="000000"/>
                <w:sz w:val="20"/>
                <w:szCs w:val="20"/>
                <w:lang w:eastAsia="es-CR"/>
              </w:rPr>
            </w:pPr>
            <w:r w:rsidRPr="00BC6C08">
              <w:rPr>
                <w:rFonts w:eastAsia="Times New Roman" w:cs="Calibri"/>
                <w:color w:val="000000"/>
                <w:sz w:val="20"/>
                <w:szCs w:val="20"/>
                <w:lang w:eastAsia="es-CR"/>
              </w:rPr>
              <w:t>13</w:t>
            </w:r>
          </w:p>
        </w:tc>
      </w:tr>
    </w:tbl>
    <w:p w14:paraId="69AECB40" w14:textId="77777777" w:rsidR="00BC6C08" w:rsidRPr="005149C4" w:rsidRDefault="00BC6C08" w:rsidP="004C6921">
      <w:pPr>
        <w:ind w:right="1892"/>
        <w:rPr>
          <w:rFonts w:cs="Calibri"/>
          <w:b/>
          <w:color w:val="000000"/>
          <w:sz w:val="20"/>
          <w:szCs w:val="20"/>
          <w:lang w:eastAsia="es-CR"/>
        </w:rPr>
      </w:pPr>
    </w:p>
    <w:p w14:paraId="04146077" w14:textId="33F030F1" w:rsidR="00C818F0" w:rsidRPr="005149C4" w:rsidRDefault="00C818F0" w:rsidP="00C818F0">
      <w:pPr>
        <w:ind w:left="1843" w:right="1892"/>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de los anuarios judiciales suministrada por el </w:t>
      </w:r>
      <w:r w:rsidR="004C6921" w:rsidRPr="005149C4">
        <w:rPr>
          <w:rFonts w:cs="Calibri"/>
          <w:bCs/>
          <w:color w:val="000000"/>
          <w:sz w:val="20"/>
          <w:szCs w:val="20"/>
          <w:lang w:eastAsia="es-CR"/>
        </w:rPr>
        <w:t>Subproceso</w:t>
      </w:r>
      <w:r w:rsidRPr="005149C4">
        <w:rPr>
          <w:rFonts w:cs="Calibri"/>
          <w:bCs/>
          <w:color w:val="000000"/>
          <w:sz w:val="20"/>
          <w:szCs w:val="20"/>
          <w:lang w:eastAsia="es-CR"/>
        </w:rPr>
        <w:t xml:space="preserve"> de Estadística. </w:t>
      </w:r>
    </w:p>
    <w:p w14:paraId="1CC57A2B" w14:textId="037B8F0D" w:rsidR="00C818F0" w:rsidRPr="005149C4" w:rsidRDefault="00C818F0" w:rsidP="00C818F0">
      <w:r w:rsidRPr="005149C4">
        <w:t>Durante el año 202</w:t>
      </w:r>
      <w:r w:rsidR="004C6921" w:rsidRPr="005149C4">
        <w:t>1</w:t>
      </w:r>
      <w:r w:rsidRPr="005149C4">
        <w:t xml:space="preserve"> se realizaron un total de </w:t>
      </w:r>
      <w:r w:rsidR="004C6921" w:rsidRPr="005149C4">
        <w:t>101</w:t>
      </w:r>
      <w:r w:rsidRPr="005149C4">
        <w:t xml:space="preserve"> audiencias de seguimiento, siendo </w:t>
      </w:r>
      <w:r w:rsidR="001F0CA0" w:rsidRPr="005149C4">
        <w:t xml:space="preserve">que la mayoría </w:t>
      </w:r>
      <w:r w:rsidRPr="005149C4">
        <w:t xml:space="preserve">de estas audiencias fue efectuada por parte del equipo psicosocial que atienden Penal Juvenil en San José.  </w:t>
      </w:r>
    </w:p>
    <w:p w14:paraId="5F861628" w14:textId="14538F7D" w:rsidR="00F0769C" w:rsidRPr="005149C4" w:rsidRDefault="005A56F8" w:rsidP="00C11C5E">
      <w:pPr>
        <w:pStyle w:val="Ttulo2"/>
        <w:numPr>
          <w:ilvl w:val="1"/>
          <w:numId w:val="1"/>
        </w:numPr>
      </w:pPr>
      <w:r w:rsidRPr="005149C4">
        <w:t>C</w:t>
      </w:r>
      <w:r w:rsidR="004312E1" w:rsidRPr="005149C4">
        <w:rPr>
          <w:lang w:val="es-CR"/>
        </w:rPr>
        <w:t xml:space="preserve">umplimiento de las </w:t>
      </w:r>
      <w:r w:rsidRPr="005149C4">
        <w:t>cuotas de trabajo establecidas en el informe 726-PLA-RH-MI-2019.</w:t>
      </w:r>
    </w:p>
    <w:p w14:paraId="30BD15E6" w14:textId="6D750B5F" w:rsidR="00F00A43" w:rsidRPr="005149C4" w:rsidRDefault="00303F3E" w:rsidP="00A161AD">
      <w:pPr>
        <w:tabs>
          <w:tab w:val="left" w:pos="0"/>
        </w:tabs>
        <w:rPr>
          <w:b/>
          <w:bCs/>
          <w:sz w:val="20"/>
          <w:szCs w:val="20"/>
        </w:rPr>
      </w:pPr>
      <w:r w:rsidRPr="005149C4">
        <w:t xml:space="preserve">En el siguiente cuadro </w:t>
      </w:r>
      <w:r w:rsidR="00B00097" w:rsidRPr="005149C4">
        <w:t xml:space="preserve">se muestra </w:t>
      </w:r>
      <w:r w:rsidR="00045720" w:rsidRPr="005149C4">
        <w:t>el cumplimiento</w:t>
      </w:r>
      <w:r w:rsidR="00B00097" w:rsidRPr="005149C4">
        <w:t xml:space="preserve"> de los equipos </w:t>
      </w:r>
      <w:r w:rsidR="00353828" w:rsidRPr="005149C4">
        <w:t xml:space="preserve">interdisciplinarios con base en la cuota de entrados establecida en el informe 726-PLA-RH-MI-2019. </w:t>
      </w:r>
      <w:bookmarkStart w:id="24" w:name="_Ref33521938"/>
    </w:p>
    <w:p w14:paraId="724BF8FE" w14:textId="24D049B9" w:rsidR="008C7413" w:rsidRPr="005149C4" w:rsidRDefault="00B00097" w:rsidP="008C7413">
      <w:pPr>
        <w:tabs>
          <w:tab w:val="left" w:pos="8080"/>
        </w:tabs>
        <w:ind w:left="851" w:right="900"/>
        <w:jc w:val="center"/>
        <w:rPr>
          <w:b/>
          <w:bCs/>
          <w:sz w:val="20"/>
          <w:szCs w:val="20"/>
        </w:rPr>
      </w:pPr>
      <w:r w:rsidRPr="005149C4">
        <w:rPr>
          <w:b/>
          <w:bCs/>
          <w:sz w:val="20"/>
          <w:szCs w:val="20"/>
        </w:rPr>
        <w:t xml:space="preserve">Cuadro </w:t>
      </w:r>
      <w:r w:rsidRPr="005149C4">
        <w:rPr>
          <w:b/>
          <w:bCs/>
          <w:sz w:val="20"/>
          <w:szCs w:val="20"/>
        </w:rPr>
        <w:fldChar w:fldCharType="begin"/>
      </w:r>
      <w:r w:rsidRPr="005149C4">
        <w:rPr>
          <w:b/>
          <w:bCs/>
          <w:sz w:val="20"/>
          <w:szCs w:val="20"/>
        </w:rPr>
        <w:instrText xml:space="preserve"> SEQ Cuadro \* ARABIC </w:instrText>
      </w:r>
      <w:r w:rsidRPr="005149C4">
        <w:rPr>
          <w:b/>
          <w:bCs/>
          <w:sz w:val="20"/>
          <w:szCs w:val="20"/>
        </w:rPr>
        <w:fldChar w:fldCharType="separate"/>
      </w:r>
      <w:r w:rsidR="00607DCE" w:rsidRPr="005149C4">
        <w:rPr>
          <w:b/>
          <w:bCs/>
          <w:noProof/>
          <w:sz w:val="20"/>
          <w:szCs w:val="20"/>
        </w:rPr>
        <w:t>20</w:t>
      </w:r>
      <w:r w:rsidRPr="005149C4">
        <w:rPr>
          <w:b/>
          <w:bCs/>
          <w:sz w:val="20"/>
          <w:szCs w:val="20"/>
        </w:rPr>
        <w:fldChar w:fldCharType="end"/>
      </w:r>
      <w:bookmarkEnd w:id="24"/>
      <w:r w:rsidRPr="005149C4">
        <w:rPr>
          <w:b/>
          <w:bCs/>
          <w:sz w:val="20"/>
          <w:szCs w:val="20"/>
        </w:rPr>
        <w:t>. Evaluación de</w:t>
      </w:r>
      <w:r w:rsidR="00DD5736" w:rsidRPr="005149C4">
        <w:rPr>
          <w:b/>
          <w:bCs/>
          <w:sz w:val="20"/>
          <w:szCs w:val="20"/>
        </w:rPr>
        <w:t>l cumplimiento en la</w:t>
      </w:r>
      <w:r w:rsidRPr="005149C4">
        <w:rPr>
          <w:b/>
          <w:bCs/>
          <w:sz w:val="20"/>
          <w:szCs w:val="20"/>
        </w:rPr>
        <w:t xml:space="preserve"> entrada de asuntos con base en la cuota de trabajo establecida en el informe 726-PLA-RH-MI-2019</w:t>
      </w:r>
    </w:p>
    <w:tbl>
      <w:tblPr>
        <w:tblW w:w="7513" w:type="dxa"/>
        <w:tblInd w:w="686" w:type="dxa"/>
        <w:tblCellMar>
          <w:left w:w="70" w:type="dxa"/>
          <w:right w:w="70" w:type="dxa"/>
        </w:tblCellMar>
        <w:tblLook w:val="04A0" w:firstRow="1" w:lastRow="0" w:firstColumn="1" w:lastColumn="0" w:noHBand="0" w:noVBand="1"/>
      </w:tblPr>
      <w:tblGrid>
        <w:gridCol w:w="3260"/>
        <w:gridCol w:w="1276"/>
        <w:gridCol w:w="1559"/>
        <w:gridCol w:w="1418"/>
      </w:tblGrid>
      <w:tr w:rsidR="008C7413" w:rsidRPr="005149C4" w14:paraId="701B8F32" w14:textId="77777777" w:rsidTr="008C7413">
        <w:trPr>
          <w:trHeight w:val="600"/>
        </w:trPr>
        <w:tc>
          <w:tcPr>
            <w:tcW w:w="3260"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07DB4211" w14:textId="77777777" w:rsidR="008C7413" w:rsidRPr="005149C4" w:rsidRDefault="008C7413" w:rsidP="008C7413">
            <w:pPr>
              <w:spacing w:before="0" w:after="0" w:line="240" w:lineRule="auto"/>
              <w:jc w:val="center"/>
              <w:rPr>
                <w:rFonts w:eastAsia="Times New Roman" w:cs="Calibri"/>
                <w:b/>
                <w:bCs/>
                <w:color w:val="000000"/>
                <w:sz w:val="18"/>
                <w:szCs w:val="18"/>
                <w:lang w:eastAsia="es-CR"/>
              </w:rPr>
            </w:pPr>
            <w:r w:rsidRPr="005149C4">
              <w:rPr>
                <w:rFonts w:eastAsia="Times New Roman" w:cs="Calibri"/>
                <w:b/>
                <w:bCs/>
                <w:color w:val="000000"/>
                <w:sz w:val="18"/>
                <w:szCs w:val="18"/>
                <w:lang w:eastAsia="es-CR"/>
              </w:rPr>
              <w:t>Circuito Judicial</w:t>
            </w:r>
          </w:p>
        </w:tc>
        <w:tc>
          <w:tcPr>
            <w:tcW w:w="1276" w:type="dxa"/>
            <w:tcBorders>
              <w:top w:val="double" w:sz="6" w:space="0" w:color="305496"/>
              <w:left w:val="nil"/>
              <w:bottom w:val="double" w:sz="6" w:space="0" w:color="305496"/>
              <w:right w:val="double" w:sz="6" w:space="0" w:color="305496"/>
            </w:tcBorders>
            <w:shd w:val="clear" w:color="000000" w:fill="B4C6E7"/>
            <w:vAlign w:val="center"/>
            <w:hideMark/>
          </w:tcPr>
          <w:p w14:paraId="01823995" w14:textId="77777777" w:rsidR="008C7413" w:rsidRPr="005149C4" w:rsidRDefault="008C7413" w:rsidP="008C7413">
            <w:pPr>
              <w:spacing w:before="0" w:after="0" w:line="240" w:lineRule="auto"/>
              <w:jc w:val="center"/>
              <w:rPr>
                <w:rFonts w:eastAsia="Times New Roman" w:cs="Calibri"/>
                <w:b/>
                <w:bCs/>
                <w:color w:val="000000"/>
                <w:sz w:val="18"/>
                <w:szCs w:val="18"/>
                <w:lang w:eastAsia="es-CR"/>
              </w:rPr>
            </w:pPr>
            <w:r w:rsidRPr="005149C4">
              <w:rPr>
                <w:rFonts w:eastAsia="Times New Roman" w:cs="Calibri"/>
                <w:b/>
                <w:bCs/>
                <w:color w:val="000000"/>
                <w:sz w:val="18"/>
                <w:szCs w:val="18"/>
                <w:lang w:eastAsia="es-CR"/>
              </w:rPr>
              <w:t>Capacidad entrada</w:t>
            </w:r>
          </w:p>
        </w:tc>
        <w:tc>
          <w:tcPr>
            <w:tcW w:w="1559" w:type="dxa"/>
            <w:tcBorders>
              <w:top w:val="double" w:sz="6" w:space="0" w:color="305496"/>
              <w:left w:val="nil"/>
              <w:bottom w:val="double" w:sz="6" w:space="0" w:color="305496"/>
              <w:right w:val="double" w:sz="6" w:space="0" w:color="305496"/>
            </w:tcBorders>
            <w:shd w:val="clear" w:color="000000" w:fill="B4C6E7"/>
            <w:vAlign w:val="center"/>
            <w:hideMark/>
          </w:tcPr>
          <w:p w14:paraId="7BE7AD77" w14:textId="59BEEC59" w:rsidR="008C7413" w:rsidRPr="005149C4" w:rsidRDefault="008C7413" w:rsidP="008C7413">
            <w:pPr>
              <w:spacing w:before="0" w:after="0" w:line="240" w:lineRule="auto"/>
              <w:jc w:val="center"/>
              <w:rPr>
                <w:rFonts w:eastAsia="Times New Roman" w:cs="Calibri"/>
                <w:b/>
                <w:bCs/>
                <w:color w:val="000000"/>
                <w:sz w:val="18"/>
                <w:szCs w:val="18"/>
                <w:lang w:eastAsia="es-CR"/>
              </w:rPr>
            </w:pPr>
            <w:r w:rsidRPr="005149C4">
              <w:rPr>
                <w:rFonts w:eastAsia="Times New Roman" w:cs="Calibri"/>
                <w:b/>
                <w:bCs/>
                <w:color w:val="000000"/>
                <w:sz w:val="18"/>
                <w:szCs w:val="18"/>
                <w:lang w:eastAsia="es-CR"/>
              </w:rPr>
              <w:t>Entrada 2022</w:t>
            </w:r>
          </w:p>
        </w:tc>
        <w:tc>
          <w:tcPr>
            <w:tcW w:w="1418" w:type="dxa"/>
            <w:tcBorders>
              <w:top w:val="double" w:sz="6" w:space="0" w:color="305496"/>
              <w:left w:val="nil"/>
              <w:bottom w:val="double" w:sz="6" w:space="0" w:color="305496"/>
              <w:right w:val="double" w:sz="6" w:space="0" w:color="305496"/>
            </w:tcBorders>
            <w:shd w:val="clear" w:color="000000" w:fill="B4C6E7"/>
            <w:vAlign w:val="center"/>
            <w:hideMark/>
          </w:tcPr>
          <w:p w14:paraId="01F6B21C" w14:textId="77777777" w:rsidR="008C7413" w:rsidRPr="005149C4" w:rsidRDefault="008C7413" w:rsidP="008C7413">
            <w:pPr>
              <w:spacing w:before="0" w:after="0" w:line="240" w:lineRule="auto"/>
              <w:jc w:val="center"/>
              <w:rPr>
                <w:rFonts w:eastAsia="Times New Roman" w:cs="Calibri"/>
                <w:b/>
                <w:bCs/>
                <w:color w:val="000000"/>
                <w:sz w:val="18"/>
                <w:szCs w:val="18"/>
                <w:lang w:eastAsia="es-CR"/>
              </w:rPr>
            </w:pPr>
            <w:r w:rsidRPr="005149C4">
              <w:rPr>
                <w:rFonts w:eastAsia="Times New Roman" w:cs="Calibri"/>
                <w:b/>
                <w:bCs/>
                <w:color w:val="000000"/>
                <w:sz w:val="18"/>
                <w:szCs w:val="18"/>
                <w:lang w:eastAsia="es-CR"/>
              </w:rPr>
              <w:t>Capacidad disponible</w:t>
            </w:r>
          </w:p>
        </w:tc>
      </w:tr>
      <w:tr w:rsidR="008C7413" w:rsidRPr="005149C4" w14:paraId="60E33096" w14:textId="77777777" w:rsidTr="008C7413">
        <w:trPr>
          <w:trHeight w:val="330"/>
        </w:trPr>
        <w:tc>
          <w:tcPr>
            <w:tcW w:w="3260" w:type="dxa"/>
            <w:tcBorders>
              <w:top w:val="nil"/>
              <w:left w:val="double" w:sz="6" w:space="0" w:color="305496"/>
              <w:bottom w:val="double" w:sz="6" w:space="0" w:color="305496"/>
              <w:right w:val="double" w:sz="6" w:space="0" w:color="305496"/>
            </w:tcBorders>
            <w:shd w:val="clear" w:color="000000" w:fill="B4C6E7"/>
            <w:vAlign w:val="center"/>
            <w:hideMark/>
          </w:tcPr>
          <w:p w14:paraId="6C5165C1"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II Circuito Judicial de San José</w:t>
            </w:r>
          </w:p>
        </w:tc>
        <w:tc>
          <w:tcPr>
            <w:tcW w:w="1276" w:type="dxa"/>
            <w:tcBorders>
              <w:top w:val="nil"/>
              <w:left w:val="nil"/>
              <w:bottom w:val="double" w:sz="6" w:space="0" w:color="305496"/>
              <w:right w:val="double" w:sz="6" w:space="0" w:color="305496"/>
            </w:tcBorders>
            <w:shd w:val="clear" w:color="auto" w:fill="auto"/>
            <w:noWrap/>
            <w:vAlign w:val="center"/>
            <w:hideMark/>
          </w:tcPr>
          <w:p w14:paraId="09B97FF3"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double" w:sz="6" w:space="0" w:color="1F4E78"/>
              <w:left w:val="double" w:sz="6" w:space="0" w:color="1F4E78"/>
              <w:bottom w:val="double" w:sz="6" w:space="0" w:color="1F4E78"/>
              <w:right w:val="double" w:sz="6" w:space="0" w:color="1F4E78"/>
            </w:tcBorders>
            <w:shd w:val="clear" w:color="000000" w:fill="FFFFFF"/>
            <w:noWrap/>
            <w:vAlign w:val="center"/>
            <w:hideMark/>
          </w:tcPr>
          <w:p w14:paraId="2C6E30DF"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45</w:t>
            </w:r>
          </w:p>
        </w:tc>
        <w:tc>
          <w:tcPr>
            <w:tcW w:w="1418" w:type="dxa"/>
            <w:tcBorders>
              <w:top w:val="nil"/>
              <w:left w:val="nil"/>
              <w:bottom w:val="double" w:sz="6" w:space="0" w:color="305496"/>
              <w:right w:val="double" w:sz="6" w:space="0" w:color="305496"/>
            </w:tcBorders>
            <w:shd w:val="clear" w:color="auto" w:fill="auto"/>
            <w:noWrap/>
            <w:vAlign w:val="center"/>
            <w:hideMark/>
          </w:tcPr>
          <w:p w14:paraId="1A559934"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-5</w:t>
            </w:r>
          </w:p>
        </w:tc>
      </w:tr>
      <w:tr w:rsidR="008C7413" w:rsidRPr="005149C4" w14:paraId="257BD88B" w14:textId="77777777" w:rsidTr="008C7413">
        <w:trPr>
          <w:trHeight w:val="330"/>
        </w:trPr>
        <w:tc>
          <w:tcPr>
            <w:tcW w:w="3260" w:type="dxa"/>
            <w:tcBorders>
              <w:top w:val="nil"/>
              <w:left w:val="double" w:sz="6" w:space="0" w:color="305496"/>
              <w:bottom w:val="double" w:sz="6" w:space="0" w:color="305496"/>
              <w:right w:val="double" w:sz="6" w:space="0" w:color="305496"/>
            </w:tcBorders>
            <w:shd w:val="clear" w:color="000000" w:fill="B4C6E7"/>
            <w:vAlign w:val="center"/>
            <w:hideMark/>
          </w:tcPr>
          <w:p w14:paraId="06CBDC63"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III Circuito Judicial de San José</w:t>
            </w:r>
          </w:p>
        </w:tc>
        <w:tc>
          <w:tcPr>
            <w:tcW w:w="1276" w:type="dxa"/>
            <w:tcBorders>
              <w:top w:val="nil"/>
              <w:left w:val="nil"/>
              <w:bottom w:val="double" w:sz="6" w:space="0" w:color="305496"/>
              <w:right w:val="double" w:sz="6" w:space="0" w:color="305496"/>
            </w:tcBorders>
            <w:shd w:val="clear" w:color="auto" w:fill="auto"/>
            <w:noWrap/>
            <w:vAlign w:val="center"/>
            <w:hideMark/>
          </w:tcPr>
          <w:p w14:paraId="55D27909"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067A3B85"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31</w:t>
            </w:r>
          </w:p>
        </w:tc>
        <w:tc>
          <w:tcPr>
            <w:tcW w:w="1418" w:type="dxa"/>
            <w:tcBorders>
              <w:top w:val="nil"/>
              <w:left w:val="nil"/>
              <w:bottom w:val="double" w:sz="6" w:space="0" w:color="305496"/>
              <w:right w:val="double" w:sz="6" w:space="0" w:color="305496"/>
            </w:tcBorders>
            <w:shd w:val="clear" w:color="auto" w:fill="auto"/>
            <w:noWrap/>
            <w:vAlign w:val="center"/>
            <w:hideMark/>
          </w:tcPr>
          <w:p w14:paraId="1A4A0A5A"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9</w:t>
            </w:r>
          </w:p>
        </w:tc>
      </w:tr>
      <w:tr w:rsidR="008C7413" w:rsidRPr="005149C4" w14:paraId="0F34EEA9" w14:textId="77777777" w:rsidTr="008C7413">
        <w:trPr>
          <w:trHeight w:val="330"/>
        </w:trPr>
        <w:tc>
          <w:tcPr>
            <w:tcW w:w="3260" w:type="dxa"/>
            <w:tcBorders>
              <w:top w:val="nil"/>
              <w:left w:val="double" w:sz="6" w:space="0" w:color="305496"/>
              <w:bottom w:val="double" w:sz="6" w:space="0" w:color="305496"/>
              <w:right w:val="double" w:sz="6" w:space="0" w:color="305496"/>
            </w:tcBorders>
            <w:shd w:val="clear" w:color="000000" w:fill="B4C6E7"/>
            <w:vAlign w:val="center"/>
            <w:hideMark/>
          </w:tcPr>
          <w:p w14:paraId="1B2F08AB"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Cartago</w:t>
            </w:r>
          </w:p>
        </w:tc>
        <w:tc>
          <w:tcPr>
            <w:tcW w:w="1276" w:type="dxa"/>
            <w:tcBorders>
              <w:top w:val="nil"/>
              <w:left w:val="nil"/>
              <w:bottom w:val="double" w:sz="6" w:space="0" w:color="305496"/>
              <w:right w:val="double" w:sz="6" w:space="0" w:color="305496"/>
            </w:tcBorders>
            <w:shd w:val="clear" w:color="auto" w:fill="auto"/>
            <w:noWrap/>
            <w:vAlign w:val="center"/>
            <w:hideMark/>
          </w:tcPr>
          <w:p w14:paraId="766C3620"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306557B2"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38</w:t>
            </w:r>
          </w:p>
        </w:tc>
        <w:tc>
          <w:tcPr>
            <w:tcW w:w="1418" w:type="dxa"/>
            <w:tcBorders>
              <w:top w:val="nil"/>
              <w:left w:val="nil"/>
              <w:bottom w:val="double" w:sz="6" w:space="0" w:color="305496"/>
              <w:right w:val="double" w:sz="6" w:space="0" w:color="305496"/>
            </w:tcBorders>
            <w:shd w:val="clear" w:color="auto" w:fill="auto"/>
            <w:noWrap/>
            <w:vAlign w:val="center"/>
            <w:hideMark/>
          </w:tcPr>
          <w:p w14:paraId="3AE21B0F"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2</w:t>
            </w:r>
          </w:p>
        </w:tc>
      </w:tr>
      <w:tr w:rsidR="008C7413" w:rsidRPr="005149C4" w14:paraId="5EBA647D" w14:textId="77777777" w:rsidTr="008C7413">
        <w:trPr>
          <w:trHeight w:val="330"/>
        </w:trPr>
        <w:tc>
          <w:tcPr>
            <w:tcW w:w="3260" w:type="dxa"/>
            <w:tcBorders>
              <w:top w:val="nil"/>
              <w:left w:val="double" w:sz="6" w:space="0" w:color="305496"/>
              <w:bottom w:val="double" w:sz="6" w:space="0" w:color="305496"/>
              <w:right w:val="double" w:sz="6" w:space="0" w:color="305496"/>
            </w:tcBorders>
            <w:shd w:val="clear" w:color="000000" w:fill="B4C6E7"/>
            <w:vAlign w:val="center"/>
            <w:hideMark/>
          </w:tcPr>
          <w:p w14:paraId="7CB4858F"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Alajuela</w:t>
            </w:r>
          </w:p>
        </w:tc>
        <w:tc>
          <w:tcPr>
            <w:tcW w:w="1276"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3474B9AF"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7D04366D"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16</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25A8FB38"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11</w:t>
            </w:r>
          </w:p>
        </w:tc>
      </w:tr>
      <w:tr w:rsidR="008C7413" w:rsidRPr="005149C4" w14:paraId="4EBD3C5E" w14:textId="77777777" w:rsidTr="008C7413">
        <w:trPr>
          <w:trHeight w:val="330"/>
        </w:trPr>
        <w:tc>
          <w:tcPr>
            <w:tcW w:w="3260" w:type="dxa"/>
            <w:tcBorders>
              <w:top w:val="nil"/>
              <w:left w:val="double" w:sz="6" w:space="0" w:color="305496"/>
              <w:bottom w:val="nil"/>
              <w:right w:val="double" w:sz="6" w:space="0" w:color="305496"/>
            </w:tcBorders>
            <w:shd w:val="clear" w:color="000000" w:fill="B4C6E7"/>
            <w:vAlign w:val="center"/>
            <w:hideMark/>
          </w:tcPr>
          <w:p w14:paraId="2FAE04C0"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Heredia</w:t>
            </w:r>
          </w:p>
        </w:tc>
        <w:tc>
          <w:tcPr>
            <w:tcW w:w="1276" w:type="dxa"/>
            <w:vMerge/>
            <w:tcBorders>
              <w:top w:val="nil"/>
              <w:left w:val="double" w:sz="6" w:space="0" w:color="305496"/>
              <w:bottom w:val="double" w:sz="6" w:space="0" w:color="305496"/>
              <w:right w:val="double" w:sz="6" w:space="0" w:color="1F4E78"/>
            </w:tcBorders>
            <w:vAlign w:val="center"/>
            <w:hideMark/>
          </w:tcPr>
          <w:p w14:paraId="41F8FE76" w14:textId="77777777" w:rsidR="008C7413" w:rsidRPr="005149C4" w:rsidRDefault="008C7413" w:rsidP="008C7413">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0846BE00"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13</w:t>
            </w:r>
          </w:p>
        </w:tc>
        <w:tc>
          <w:tcPr>
            <w:tcW w:w="1418" w:type="dxa"/>
            <w:vMerge/>
            <w:tcBorders>
              <w:top w:val="nil"/>
              <w:left w:val="double" w:sz="6" w:space="0" w:color="1F4E78"/>
              <w:bottom w:val="double" w:sz="6" w:space="0" w:color="305496"/>
              <w:right w:val="double" w:sz="6" w:space="0" w:color="305496"/>
            </w:tcBorders>
            <w:vAlign w:val="center"/>
            <w:hideMark/>
          </w:tcPr>
          <w:p w14:paraId="1CF3C445" w14:textId="77777777" w:rsidR="008C7413" w:rsidRPr="005149C4" w:rsidRDefault="008C7413" w:rsidP="008C7413">
            <w:pPr>
              <w:spacing w:before="0" w:after="0" w:line="240" w:lineRule="auto"/>
              <w:jc w:val="left"/>
              <w:rPr>
                <w:rFonts w:eastAsia="Times New Roman" w:cs="Calibri"/>
                <w:color w:val="000000"/>
                <w:sz w:val="18"/>
                <w:szCs w:val="18"/>
                <w:lang w:eastAsia="es-CR"/>
              </w:rPr>
            </w:pPr>
          </w:p>
        </w:tc>
      </w:tr>
      <w:tr w:rsidR="008C7413" w:rsidRPr="005149C4" w14:paraId="56615B67" w14:textId="77777777" w:rsidTr="008C7413">
        <w:trPr>
          <w:trHeight w:val="330"/>
        </w:trPr>
        <w:tc>
          <w:tcPr>
            <w:tcW w:w="3260"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CC1CFEB"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San Ramón</w:t>
            </w:r>
          </w:p>
        </w:tc>
        <w:tc>
          <w:tcPr>
            <w:tcW w:w="1276"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252482E"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69A7F66F"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30</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BA5E57A"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-19</w:t>
            </w:r>
          </w:p>
        </w:tc>
      </w:tr>
      <w:tr w:rsidR="008C7413" w:rsidRPr="005149C4" w14:paraId="5FF7A50A" w14:textId="77777777" w:rsidTr="008C7413">
        <w:trPr>
          <w:trHeight w:val="330"/>
        </w:trPr>
        <w:tc>
          <w:tcPr>
            <w:tcW w:w="3260" w:type="dxa"/>
            <w:tcBorders>
              <w:top w:val="nil"/>
              <w:left w:val="double" w:sz="6" w:space="0" w:color="305496"/>
              <w:bottom w:val="double" w:sz="6" w:space="0" w:color="305496"/>
              <w:right w:val="double" w:sz="6" w:space="0" w:color="305496"/>
            </w:tcBorders>
            <w:shd w:val="clear" w:color="000000" w:fill="B4C6E7"/>
            <w:vAlign w:val="center"/>
            <w:hideMark/>
          </w:tcPr>
          <w:p w14:paraId="6FFC4F6A"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Puntarenas</w:t>
            </w:r>
          </w:p>
        </w:tc>
        <w:tc>
          <w:tcPr>
            <w:tcW w:w="1276" w:type="dxa"/>
            <w:vMerge/>
            <w:tcBorders>
              <w:top w:val="nil"/>
              <w:left w:val="double" w:sz="6" w:space="0" w:color="305496"/>
              <w:bottom w:val="double" w:sz="6" w:space="0" w:color="305496"/>
              <w:right w:val="double" w:sz="6" w:space="0" w:color="1F4E78"/>
            </w:tcBorders>
            <w:vAlign w:val="center"/>
            <w:hideMark/>
          </w:tcPr>
          <w:p w14:paraId="3D7F7CE9" w14:textId="77777777" w:rsidR="008C7413" w:rsidRPr="005149C4" w:rsidRDefault="008C7413" w:rsidP="008C7413">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5EE7C398"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28</w:t>
            </w:r>
          </w:p>
        </w:tc>
        <w:tc>
          <w:tcPr>
            <w:tcW w:w="1418" w:type="dxa"/>
            <w:vMerge/>
            <w:tcBorders>
              <w:top w:val="nil"/>
              <w:left w:val="double" w:sz="6" w:space="0" w:color="1F4E78"/>
              <w:bottom w:val="double" w:sz="6" w:space="0" w:color="305496"/>
              <w:right w:val="double" w:sz="6" w:space="0" w:color="305496"/>
            </w:tcBorders>
            <w:vAlign w:val="center"/>
            <w:hideMark/>
          </w:tcPr>
          <w:p w14:paraId="7C478CF6" w14:textId="77777777" w:rsidR="008C7413" w:rsidRPr="005149C4" w:rsidRDefault="008C7413" w:rsidP="008C7413">
            <w:pPr>
              <w:spacing w:before="0" w:after="0" w:line="240" w:lineRule="auto"/>
              <w:jc w:val="left"/>
              <w:rPr>
                <w:rFonts w:eastAsia="Times New Roman" w:cs="Calibri"/>
                <w:color w:val="000000"/>
                <w:sz w:val="18"/>
                <w:szCs w:val="18"/>
                <w:lang w:eastAsia="es-CR"/>
              </w:rPr>
            </w:pPr>
          </w:p>
        </w:tc>
      </w:tr>
      <w:tr w:rsidR="008C7413" w:rsidRPr="005149C4" w14:paraId="5E633452" w14:textId="77777777" w:rsidTr="008C7413">
        <w:trPr>
          <w:trHeight w:val="330"/>
        </w:trPr>
        <w:tc>
          <w:tcPr>
            <w:tcW w:w="3260" w:type="dxa"/>
            <w:tcBorders>
              <w:top w:val="nil"/>
              <w:left w:val="double" w:sz="6" w:space="0" w:color="305496"/>
              <w:bottom w:val="double" w:sz="6" w:space="0" w:color="305496"/>
              <w:right w:val="double" w:sz="6" w:space="0" w:color="305496"/>
            </w:tcBorders>
            <w:shd w:val="clear" w:color="000000" w:fill="B4C6E7"/>
            <w:vAlign w:val="center"/>
            <w:hideMark/>
          </w:tcPr>
          <w:p w14:paraId="3A834B39"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I Circuito Judicial de la Zona Sur</w:t>
            </w:r>
          </w:p>
        </w:tc>
        <w:tc>
          <w:tcPr>
            <w:tcW w:w="1276" w:type="dxa"/>
            <w:tcBorders>
              <w:top w:val="nil"/>
              <w:left w:val="nil"/>
              <w:bottom w:val="double" w:sz="6" w:space="0" w:color="305496"/>
              <w:right w:val="double" w:sz="6" w:space="0" w:color="305496"/>
            </w:tcBorders>
            <w:shd w:val="clear" w:color="auto" w:fill="auto"/>
            <w:noWrap/>
            <w:vAlign w:val="center"/>
            <w:hideMark/>
          </w:tcPr>
          <w:p w14:paraId="59E99456"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70EC7DC8"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33</w:t>
            </w:r>
          </w:p>
        </w:tc>
        <w:tc>
          <w:tcPr>
            <w:tcW w:w="1418" w:type="dxa"/>
            <w:tcBorders>
              <w:top w:val="nil"/>
              <w:left w:val="nil"/>
              <w:bottom w:val="double" w:sz="6" w:space="0" w:color="305496"/>
              <w:right w:val="double" w:sz="6" w:space="0" w:color="305496"/>
            </w:tcBorders>
            <w:shd w:val="clear" w:color="auto" w:fill="auto"/>
            <w:noWrap/>
            <w:vAlign w:val="center"/>
            <w:hideMark/>
          </w:tcPr>
          <w:p w14:paraId="3BA259FE"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7</w:t>
            </w:r>
          </w:p>
        </w:tc>
      </w:tr>
      <w:tr w:rsidR="008C7413" w:rsidRPr="005149C4" w14:paraId="2AC70C54" w14:textId="77777777" w:rsidTr="008C7413">
        <w:trPr>
          <w:trHeight w:val="570"/>
        </w:trPr>
        <w:tc>
          <w:tcPr>
            <w:tcW w:w="3260" w:type="dxa"/>
            <w:tcBorders>
              <w:top w:val="nil"/>
              <w:left w:val="double" w:sz="6" w:space="0" w:color="305496"/>
              <w:bottom w:val="nil"/>
              <w:right w:val="double" w:sz="6" w:space="0" w:color="305496"/>
            </w:tcBorders>
            <w:shd w:val="clear" w:color="000000" w:fill="B4C6E7"/>
            <w:vAlign w:val="center"/>
            <w:hideMark/>
          </w:tcPr>
          <w:p w14:paraId="1EDB1FD5"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I Circuito Judicial de la Zona Atlántica</w:t>
            </w:r>
          </w:p>
        </w:tc>
        <w:tc>
          <w:tcPr>
            <w:tcW w:w="1276"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5760F363"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3D6601F8"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4</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0D665B3E"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0</w:t>
            </w:r>
          </w:p>
        </w:tc>
      </w:tr>
      <w:tr w:rsidR="008C7413" w:rsidRPr="005149C4" w14:paraId="6F96A3D8" w14:textId="77777777" w:rsidTr="008C7413">
        <w:trPr>
          <w:trHeight w:val="570"/>
        </w:trPr>
        <w:tc>
          <w:tcPr>
            <w:tcW w:w="3260"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130ABD6" w14:textId="77777777" w:rsidR="008C7413" w:rsidRPr="005149C4" w:rsidRDefault="008C7413" w:rsidP="008C7413">
            <w:pPr>
              <w:spacing w:before="0" w:after="0" w:line="240" w:lineRule="auto"/>
              <w:jc w:val="center"/>
              <w:rPr>
                <w:rFonts w:eastAsia="Times New Roman" w:cs="Calibri"/>
                <w:color w:val="000000"/>
                <w:sz w:val="18"/>
                <w:szCs w:val="18"/>
                <w:lang w:eastAsia="es-CR"/>
              </w:rPr>
            </w:pPr>
            <w:r w:rsidRPr="005149C4">
              <w:rPr>
                <w:rFonts w:eastAsia="Times New Roman" w:cs="Calibri"/>
                <w:color w:val="000000"/>
                <w:sz w:val="18"/>
                <w:szCs w:val="18"/>
                <w:lang w:eastAsia="es-CR"/>
              </w:rPr>
              <w:t>II Circuito Judicial de la Zona Atlántica</w:t>
            </w:r>
          </w:p>
        </w:tc>
        <w:tc>
          <w:tcPr>
            <w:tcW w:w="1276" w:type="dxa"/>
            <w:vMerge/>
            <w:tcBorders>
              <w:top w:val="nil"/>
              <w:left w:val="double" w:sz="6" w:space="0" w:color="305496"/>
              <w:bottom w:val="double" w:sz="6" w:space="0" w:color="305496"/>
              <w:right w:val="double" w:sz="6" w:space="0" w:color="1F4E78"/>
            </w:tcBorders>
            <w:vAlign w:val="center"/>
            <w:hideMark/>
          </w:tcPr>
          <w:p w14:paraId="333D08DC" w14:textId="77777777" w:rsidR="008C7413" w:rsidRPr="005149C4" w:rsidRDefault="008C7413" w:rsidP="008C7413">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4789AAC6" w14:textId="77777777" w:rsidR="008C7413" w:rsidRPr="005149C4" w:rsidRDefault="008C7413" w:rsidP="008C7413">
            <w:pPr>
              <w:spacing w:before="0" w:after="0" w:line="240" w:lineRule="auto"/>
              <w:jc w:val="center"/>
              <w:rPr>
                <w:rFonts w:eastAsia="Times New Roman" w:cs="Calibri"/>
                <w:color w:val="000000"/>
                <w:sz w:val="20"/>
                <w:szCs w:val="20"/>
                <w:lang w:eastAsia="es-CR"/>
              </w:rPr>
            </w:pPr>
            <w:r w:rsidRPr="005149C4">
              <w:rPr>
                <w:rFonts w:eastAsia="Times New Roman" w:cs="Calibri"/>
                <w:color w:val="000000"/>
                <w:sz w:val="20"/>
                <w:szCs w:val="20"/>
                <w:lang w:eastAsia="es-CR"/>
              </w:rPr>
              <w:t>37</w:t>
            </w:r>
          </w:p>
        </w:tc>
        <w:tc>
          <w:tcPr>
            <w:tcW w:w="1418" w:type="dxa"/>
            <w:vMerge/>
            <w:tcBorders>
              <w:top w:val="nil"/>
              <w:left w:val="double" w:sz="6" w:space="0" w:color="1F4E78"/>
              <w:bottom w:val="double" w:sz="6" w:space="0" w:color="305496"/>
              <w:right w:val="double" w:sz="6" w:space="0" w:color="305496"/>
            </w:tcBorders>
            <w:vAlign w:val="center"/>
            <w:hideMark/>
          </w:tcPr>
          <w:p w14:paraId="07695961" w14:textId="77777777" w:rsidR="008C7413" w:rsidRPr="005149C4" w:rsidRDefault="008C7413" w:rsidP="008C7413">
            <w:pPr>
              <w:spacing w:before="0" w:after="0" w:line="240" w:lineRule="auto"/>
              <w:jc w:val="left"/>
              <w:rPr>
                <w:rFonts w:eastAsia="Times New Roman" w:cs="Calibri"/>
                <w:color w:val="000000"/>
                <w:sz w:val="18"/>
                <w:szCs w:val="18"/>
                <w:lang w:eastAsia="es-CR"/>
              </w:rPr>
            </w:pPr>
          </w:p>
        </w:tc>
      </w:tr>
    </w:tbl>
    <w:p w14:paraId="4806E05C" w14:textId="12DE67CE" w:rsidR="00A161AD" w:rsidRPr="005149C4" w:rsidRDefault="00B00097" w:rsidP="008C7413">
      <w:pPr>
        <w:ind w:left="1843" w:right="1892"/>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Modernización Institucional a partir de la información de los anuarios judiciales suministrada por el Su</w:t>
      </w:r>
      <w:r w:rsidR="008D1DC0" w:rsidRPr="005149C4">
        <w:rPr>
          <w:rFonts w:cs="Calibri"/>
          <w:bCs/>
          <w:color w:val="000000"/>
          <w:sz w:val="20"/>
          <w:szCs w:val="20"/>
          <w:lang w:eastAsia="es-CR"/>
        </w:rPr>
        <w:t>b</w:t>
      </w:r>
      <w:r w:rsidRPr="005149C4">
        <w:rPr>
          <w:rFonts w:cs="Calibri"/>
          <w:bCs/>
          <w:color w:val="000000"/>
          <w:sz w:val="20"/>
          <w:szCs w:val="20"/>
          <w:lang w:eastAsia="es-CR"/>
        </w:rPr>
        <w:t xml:space="preserve">proceso de Estadística. </w:t>
      </w:r>
      <w:r w:rsidR="00A161AD" w:rsidRPr="005149C4">
        <w:rPr>
          <w:rFonts w:cs="Calibri"/>
          <w:bCs/>
          <w:color w:val="000000"/>
          <w:sz w:val="20"/>
          <w:szCs w:val="20"/>
          <w:lang w:eastAsia="es-CR"/>
        </w:rPr>
        <w:t>Nota: Los datos</w:t>
      </w:r>
      <w:r w:rsidR="008C7413" w:rsidRPr="005149C4">
        <w:rPr>
          <w:rFonts w:cs="Calibri"/>
          <w:bCs/>
          <w:color w:val="000000"/>
          <w:sz w:val="20"/>
          <w:szCs w:val="20"/>
          <w:lang w:eastAsia="es-CR"/>
        </w:rPr>
        <w:t xml:space="preserve"> son preliminares y</w:t>
      </w:r>
      <w:r w:rsidR="00A161AD" w:rsidRPr="005149C4">
        <w:rPr>
          <w:rFonts w:cs="Calibri"/>
          <w:bCs/>
          <w:color w:val="000000"/>
          <w:sz w:val="20"/>
          <w:szCs w:val="20"/>
          <w:lang w:eastAsia="es-CR"/>
        </w:rPr>
        <w:t xml:space="preserve"> corresponden al </w:t>
      </w:r>
      <w:r w:rsidR="008C7413" w:rsidRPr="005149C4">
        <w:rPr>
          <w:rFonts w:cs="Calibri"/>
          <w:bCs/>
          <w:color w:val="000000"/>
          <w:sz w:val="20"/>
          <w:szCs w:val="20"/>
          <w:lang w:eastAsia="es-CR"/>
        </w:rPr>
        <w:t xml:space="preserve">año </w:t>
      </w:r>
      <w:r w:rsidR="00A161AD" w:rsidRPr="005149C4">
        <w:rPr>
          <w:rFonts w:cs="Calibri"/>
          <w:bCs/>
          <w:color w:val="000000"/>
          <w:sz w:val="20"/>
          <w:szCs w:val="20"/>
          <w:lang w:eastAsia="es-CR"/>
        </w:rPr>
        <w:t>202</w:t>
      </w:r>
      <w:r w:rsidR="008D1DC0" w:rsidRPr="005149C4">
        <w:rPr>
          <w:rFonts w:cs="Calibri"/>
          <w:bCs/>
          <w:color w:val="000000"/>
          <w:sz w:val="20"/>
          <w:szCs w:val="20"/>
          <w:lang w:eastAsia="es-CR"/>
        </w:rPr>
        <w:t>2</w:t>
      </w:r>
      <w:r w:rsidR="008C7413" w:rsidRPr="005149C4">
        <w:rPr>
          <w:rFonts w:cs="Calibri"/>
          <w:bCs/>
          <w:color w:val="000000"/>
          <w:sz w:val="20"/>
          <w:szCs w:val="20"/>
          <w:lang w:eastAsia="es-CR"/>
        </w:rPr>
        <w:t>.</w:t>
      </w:r>
    </w:p>
    <w:p w14:paraId="21C250FA" w14:textId="7ED74E70" w:rsidR="00353828" w:rsidRPr="005149C4" w:rsidRDefault="00353828" w:rsidP="00F46000">
      <w:pPr>
        <w:ind w:right="49"/>
      </w:pPr>
      <w:r w:rsidRPr="005149C4">
        <w:t xml:space="preserve">Se identifica que la mayor capacidad disponible respecto a la entrada de asuntos se presenta en </w:t>
      </w:r>
      <w:r w:rsidR="00EF225A" w:rsidRPr="005149C4">
        <w:t>el equipo que atiende los Circuitos Judiciales de Alajuela y Heredia</w:t>
      </w:r>
      <w:r w:rsidR="00910450" w:rsidRPr="005149C4">
        <w:t xml:space="preserve">, </w:t>
      </w:r>
      <w:r w:rsidR="00537FA4" w:rsidRPr="005149C4">
        <w:t xml:space="preserve">seguido </w:t>
      </w:r>
      <w:r w:rsidR="00EF225A" w:rsidRPr="005149C4">
        <w:t xml:space="preserve">del III Circuito Judicial de San José </w:t>
      </w:r>
      <w:r w:rsidRPr="005149C4">
        <w:t>y posteriormente del</w:t>
      </w:r>
      <w:r w:rsidR="00733F0B" w:rsidRPr="005149C4">
        <w:t xml:space="preserve"> </w:t>
      </w:r>
      <w:r w:rsidR="00EF225A" w:rsidRPr="005149C4">
        <w:t>I Circuito Judicial de la Zona Sur</w:t>
      </w:r>
      <w:r w:rsidRPr="005149C4">
        <w:t>.</w:t>
      </w:r>
      <w:r w:rsidR="00E806B1" w:rsidRPr="005149C4">
        <w:t xml:space="preserve"> </w:t>
      </w:r>
    </w:p>
    <w:p w14:paraId="08DFDAB6" w14:textId="743BD2A1" w:rsidR="00CC7F25" w:rsidRPr="005149C4" w:rsidRDefault="00701E5C" w:rsidP="00CC7F25">
      <w:pPr>
        <w:ind w:right="49"/>
      </w:pPr>
      <w:r w:rsidRPr="005149C4">
        <w:t xml:space="preserve">Por otra parte, se identifica que los equipos </w:t>
      </w:r>
      <w:r w:rsidR="000C3982" w:rsidRPr="005149C4">
        <w:t xml:space="preserve">que atienden </w:t>
      </w:r>
      <w:r w:rsidR="00EF225A" w:rsidRPr="005149C4">
        <w:t>San Ramón y Puntarenas,</w:t>
      </w:r>
      <w:r w:rsidR="00CC7F25" w:rsidRPr="005149C4">
        <w:t xml:space="preserve"> así como</w:t>
      </w:r>
      <w:r w:rsidR="00EF225A" w:rsidRPr="005149C4">
        <w:t xml:space="preserve"> el </w:t>
      </w:r>
      <w:r w:rsidR="007D2190" w:rsidRPr="005149C4">
        <w:t xml:space="preserve">II </w:t>
      </w:r>
      <w:r w:rsidR="00CC7F25" w:rsidRPr="005149C4">
        <w:t xml:space="preserve">Circuito Judicial de </w:t>
      </w:r>
      <w:r w:rsidR="00EF225A" w:rsidRPr="005149C4">
        <w:t xml:space="preserve">San José, </w:t>
      </w:r>
      <w:r w:rsidR="007D2190" w:rsidRPr="005149C4">
        <w:t xml:space="preserve">recibieron una cantidad de asuntos superior </w:t>
      </w:r>
      <w:r w:rsidR="00450E42" w:rsidRPr="005149C4">
        <w:t>a la capacidad de entrada de 40 asuntos mensuales.</w:t>
      </w:r>
    </w:p>
    <w:p w14:paraId="7A747930" w14:textId="7508317D" w:rsidR="001C1DC7" w:rsidRPr="005149C4" w:rsidRDefault="001C1DC7" w:rsidP="00CC7F25">
      <w:pPr>
        <w:ind w:right="49"/>
      </w:pPr>
      <w:r w:rsidRPr="005149C4">
        <w:t xml:space="preserve">Aunado a lo anterior, se hace la salvedad de que la entrada mostrada corresponde al ingreso bruto de asuntos, y que con base en lo determinado en el </w:t>
      </w:r>
      <w:r w:rsidR="00E133BC" w:rsidRPr="005149C4">
        <w:fldChar w:fldCharType="begin"/>
      </w:r>
      <w:r w:rsidR="00E133BC" w:rsidRPr="005149C4">
        <w:instrText xml:space="preserve"> REF _Ref63966934 \h  \* MERGEFORMAT </w:instrText>
      </w:r>
      <w:r w:rsidR="00E133BC" w:rsidRPr="005149C4">
        <w:fldChar w:fldCharType="separate"/>
      </w:r>
      <w:r w:rsidR="00EC44E6" w:rsidRPr="005149C4">
        <w:t>Cuadro 8</w:t>
      </w:r>
      <w:r w:rsidR="00E133BC" w:rsidRPr="005149C4">
        <w:fldChar w:fldCharType="end"/>
      </w:r>
      <w:r w:rsidR="00E133BC" w:rsidRPr="005149C4">
        <w:t>, para el</w:t>
      </w:r>
      <w:r w:rsidR="00890137" w:rsidRPr="005149C4" w:rsidDel="000A64A3">
        <w:t xml:space="preserve"> </w:t>
      </w:r>
      <w:r w:rsidR="00E133BC" w:rsidRPr="005149C4">
        <w:t>año 202</w:t>
      </w:r>
      <w:r w:rsidR="00EF225A" w:rsidRPr="005149C4">
        <w:t>2</w:t>
      </w:r>
      <w:r w:rsidR="00E133BC" w:rsidRPr="005149C4">
        <w:t xml:space="preserve"> se contó con un </w:t>
      </w:r>
      <w:r w:rsidR="00890137" w:rsidRPr="005149C4">
        <w:t>4</w:t>
      </w:r>
      <w:r w:rsidR="00EF225A" w:rsidRPr="005149C4">
        <w:t>0</w:t>
      </w:r>
      <w:r w:rsidR="00E133BC" w:rsidRPr="005149C4">
        <w:t xml:space="preserve">% de devolución de los casos ingresados, aspecto que implica que un </w:t>
      </w:r>
      <w:r w:rsidR="00890137" w:rsidRPr="005149C4">
        <w:t>4</w:t>
      </w:r>
      <w:r w:rsidR="00DC1BE0" w:rsidRPr="005149C4">
        <w:t>0</w:t>
      </w:r>
      <w:r w:rsidR="00E133BC" w:rsidRPr="005149C4">
        <w:t>% de estos asuntos no atravesará todas las etapas del proceso, lo que permite la concentración del recurso humano en otras tareas.</w:t>
      </w:r>
    </w:p>
    <w:p w14:paraId="3B3C8365" w14:textId="1ED930A8" w:rsidR="00353828" w:rsidRPr="005149C4" w:rsidRDefault="00353828" w:rsidP="00353828">
      <w:pPr>
        <w:tabs>
          <w:tab w:val="left" w:pos="0"/>
        </w:tabs>
      </w:pPr>
      <w:r w:rsidRPr="005149C4">
        <w:t xml:space="preserve"> Sobre este particular, se reitera la necesidad de ampliar el abordaje de la materia Penal Adulta, incluida la Ejecución de la Pena y Etapa Intermedia, en el procedimiento especial Abreviado, además de las Contravenciones, con la capacidad instalada actual de los equipos de trabajo. </w:t>
      </w:r>
    </w:p>
    <w:p w14:paraId="0D2C5ADA" w14:textId="7BCEA09A" w:rsidR="00607DCE" w:rsidRPr="005149C4" w:rsidRDefault="009D5052" w:rsidP="00353828">
      <w:pPr>
        <w:tabs>
          <w:tab w:val="left" w:pos="0"/>
        </w:tabs>
      </w:pPr>
      <w:r w:rsidRPr="005149C4">
        <w:t>Se muestra a continuación de forma resumida la evaluación de las cuotas definidas respecto al comportamiento estadístico para el año 202</w:t>
      </w:r>
      <w:r w:rsidR="00582C93" w:rsidRPr="005149C4">
        <w:t>2</w:t>
      </w:r>
      <w:r w:rsidRPr="005149C4">
        <w:t>:</w:t>
      </w:r>
    </w:p>
    <w:p w14:paraId="14D02DF6" w14:textId="50BC164F" w:rsidR="00582C93" w:rsidRPr="005149C4" w:rsidRDefault="00607DCE" w:rsidP="00CB71D9">
      <w:pPr>
        <w:tabs>
          <w:tab w:val="left" w:pos="0"/>
        </w:tabs>
        <w:jc w:val="center"/>
        <w:rPr>
          <w:b/>
          <w:lang w:val="es-ES"/>
        </w:rPr>
      </w:pPr>
      <w:r w:rsidRPr="005149C4">
        <w:rPr>
          <w:b/>
          <w:bCs/>
          <w:sz w:val="18"/>
          <w:szCs w:val="18"/>
        </w:rPr>
        <w:t xml:space="preserve">Cuadro </w:t>
      </w:r>
      <w:r w:rsidRPr="005149C4">
        <w:rPr>
          <w:b/>
          <w:bCs/>
          <w:sz w:val="18"/>
          <w:szCs w:val="18"/>
        </w:rPr>
        <w:fldChar w:fldCharType="begin"/>
      </w:r>
      <w:r w:rsidRPr="005149C4">
        <w:rPr>
          <w:b/>
          <w:bCs/>
          <w:sz w:val="18"/>
          <w:szCs w:val="18"/>
        </w:rPr>
        <w:instrText xml:space="preserve"> SEQ Cuadro \* ARABIC </w:instrText>
      </w:r>
      <w:r w:rsidRPr="005149C4">
        <w:rPr>
          <w:b/>
          <w:bCs/>
          <w:sz w:val="18"/>
          <w:szCs w:val="18"/>
        </w:rPr>
        <w:fldChar w:fldCharType="separate"/>
      </w:r>
      <w:r w:rsidR="00EC44E6" w:rsidRPr="005149C4">
        <w:rPr>
          <w:b/>
          <w:bCs/>
          <w:noProof/>
          <w:sz w:val="18"/>
          <w:szCs w:val="18"/>
        </w:rPr>
        <w:t>21</w:t>
      </w:r>
      <w:r w:rsidRPr="005149C4">
        <w:rPr>
          <w:b/>
          <w:bCs/>
          <w:sz w:val="18"/>
          <w:szCs w:val="18"/>
        </w:rPr>
        <w:fldChar w:fldCharType="end"/>
      </w:r>
      <w:r w:rsidRPr="005149C4">
        <w:rPr>
          <w:b/>
          <w:bCs/>
          <w:sz w:val="18"/>
          <w:szCs w:val="18"/>
        </w:rPr>
        <w:t>. Comportamiento estadístico mensual promedio para Justicia Restaurativa Penal Adulto respecto a las cuotas fijada en el informe 726-PLA-RH-MI-2019.</w:t>
      </w:r>
    </w:p>
    <w:tbl>
      <w:tblPr>
        <w:tblW w:w="10186" w:type="dxa"/>
        <w:jc w:val="center"/>
        <w:tblCellMar>
          <w:left w:w="70" w:type="dxa"/>
          <w:right w:w="70" w:type="dxa"/>
        </w:tblCellMar>
        <w:tblLook w:val="04A0" w:firstRow="1" w:lastRow="0" w:firstColumn="1" w:lastColumn="0" w:noHBand="0" w:noVBand="1"/>
      </w:tblPr>
      <w:tblGrid>
        <w:gridCol w:w="1335"/>
        <w:gridCol w:w="146"/>
        <w:gridCol w:w="570"/>
        <w:gridCol w:w="1073"/>
        <w:gridCol w:w="717"/>
        <w:gridCol w:w="725"/>
        <w:gridCol w:w="729"/>
        <w:gridCol w:w="717"/>
        <w:gridCol w:w="714"/>
        <w:gridCol w:w="940"/>
        <w:gridCol w:w="819"/>
        <w:gridCol w:w="851"/>
        <w:gridCol w:w="850"/>
      </w:tblGrid>
      <w:tr w:rsidR="0001394F" w:rsidRPr="005149C4" w14:paraId="11DCB569" w14:textId="77777777" w:rsidTr="0001394F">
        <w:trPr>
          <w:trHeight w:val="1120"/>
          <w:jc w:val="center"/>
        </w:trPr>
        <w:tc>
          <w:tcPr>
            <w:tcW w:w="1335" w:type="dxa"/>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6D5A1E4F"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Variable</w:t>
            </w:r>
          </w:p>
        </w:tc>
        <w:tc>
          <w:tcPr>
            <w:tcW w:w="0" w:type="auto"/>
            <w:tcBorders>
              <w:top w:val="double" w:sz="6" w:space="0" w:color="305496"/>
              <w:left w:val="nil"/>
              <w:bottom w:val="double" w:sz="6" w:space="0" w:color="305496"/>
              <w:right w:val="nil"/>
            </w:tcBorders>
            <w:shd w:val="clear" w:color="000000" w:fill="B4C6E7"/>
          </w:tcPr>
          <w:p w14:paraId="7CB2B34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p>
        </w:tc>
        <w:tc>
          <w:tcPr>
            <w:tcW w:w="0" w:type="auto"/>
            <w:tcBorders>
              <w:top w:val="double" w:sz="6" w:space="0" w:color="305496"/>
              <w:left w:val="nil"/>
              <w:bottom w:val="double" w:sz="6" w:space="0" w:color="305496"/>
              <w:right w:val="double" w:sz="6" w:space="0" w:color="305496"/>
            </w:tcBorders>
            <w:shd w:val="clear" w:color="000000" w:fill="B4C6E7"/>
            <w:noWrap/>
            <w:vAlign w:val="center"/>
            <w:hideMark/>
          </w:tcPr>
          <w:p w14:paraId="3549BEC7" w14:textId="000937EA"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Cuota</w:t>
            </w:r>
          </w:p>
        </w:tc>
        <w:tc>
          <w:tcPr>
            <w:tcW w:w="0" w:type="auto"/>
            <w:tcBorders>
              <w:top w:val="double" w:sz="6" w:space="0" w:color="305496"/>
              <w:left w:val="nil"/>
              <w:bottom w:val="double" w:sz="6" w:space="0" w:color="305496"/>
              <w:right w:val="double" w:sz="6" w:space="0" w:color="305496"/>
            </w:tcBorders>
            <w:shd w:val="clear" w:color="000000" w:fill="B4C6E7"/>
            <w:vAlign w:val="center"/>
            <w:hideMark/>
          </w:tcPr>
          <w:p w14:paraId="6928985B"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II Circuito Judicial de San José</w:t>
            </w:r>
          </w:p>
        </w:tc>
        <w:tc>
          <w:tcPr>
            <w:tcW w:w="717" w:type="dxa"/>
            <w:tcBorders>
              <w:top w:val="double" w:sz="6" w:space="0" w:color="305496"/>
              <w:left w:val="nil"/>
              <w:bottom w:val="double" w:sz="6" w:space="0" w:color="305496"/>
              <w:right w:val="double" w:sz="6" w:space="0" w:color="305496"/>
            </w:tcBorders>
            <w:shd w:val="clear" w:color="000000" w:fill="B4C6E7"/>
            <w:vAlign w:val="center"/>
            <w:hideMark/>
          </w:tcPr>
          <w:p w14:paraId="5569C083"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III Circuito Judicial de San José</w:t>
            </w:r>
          </w:p>
        </w:tc>
        <w:tc>
          <w:tcPr>
            <w:tcW w:w="725" w:type="dxa"/>
            <w:tcBorders>
              <w:top w:val="double" w:sz="6" w:space="0" w:color="305496"/>
              <w:left w:val="nil"/>
              <w:bottom w:val="double" w:sz="6" w:space="0" w:color="305496"/>
              <w:right w:val="double" w:sz="6" w:space="0" w:color="305496"/>
            </w:tcBorders>
            <w:shd w:val="clear" w:color="000000" w:fill="B4C6E7"/>
            <w:vAlign w:val="center"/>
            <w:hideMark/>
          </w:tcPr>
          <w:p w14:paraId="550B392E"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Cartago</w:t>
            </w:r>
          </w:p>
        </w:tc>
        <w:tc>
          <w:tcPr>
            <w:tcW w:w="729" w:type="dxa"/>
            <w:tcBorders>
              <w:top w:val="double" w:sz="6" w:space="0" w:color="305496"/>
              <w:left w:val="nil"/>
              <w:bottom w:val="double" w:sz="6" w:space="0" w:color="305496"/>
              <w:right w:val="double" w:sz="6" w:space="0" w:color="305496"/>
            </w:tcBorders>
            <w:shd w:val="clear" w:color="000000" w:fill="B4C6E7"/>
            <w:vAlign w:val="center"/>
            <w:hideMark/>
          </w:tcPr>
          <w:p w14:paraId="2A9D808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Alajuela</w:t>
            </w:r>
          </w:p>
        </w:tc>
        <w:tc>
          <w:tcPr>
            <w:tcW w:w="0" w:type="auto"/>
            <w:tcBorders>
              <w:top w:val="double" w:sz="6" w:space="0" w:color="305496"/>
              <w:left w:val="nil"/>
              <w:bottom w:val="double" w:sz="6" w:space="0" w:color="305496"/>
              <w:right w:val="double" w:sz="6" w:space="0" w:color="305496"/>
            </w:tcBorders>
            <w:shd w:val="clear" w:color="000000" w:fill="B4C6E7"/>
            <w:vAlign w:val="center"/>
            <w:hideMark/>
          </w:tcPr>
          <w:p w14:paraId="77580385"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San Ramón</w:t>
            </w:r>
          </w:p>
        </w:tc>
        <w:tc>
          <w:tcPr>
            <w:tcW w:w="0" w:type="auto"/>
            <w:tcBorders>
              <w:top w:val="double" w:sz="6" w:space="0" w:color="305496"/>
              <w:left w:val="nil"/>
              <w:bottom w:val="double" w:sz="6" w:space="0" w:color="305496"/>
              <w:right w:val="double" w:sz="6" w:space="0" w:color="305496"/>
            </w:tcBorders>
            <w:shd w:val="clear" w:color="000000" w:fill="B4C6E7"/>
            <w:vAlign w:val="center"/>
            <w:hideMark/>
          </w:tcPr>
          <w:p w14:paraId="068BEEAB"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Heredia</w:t>
            </w:r>
          </w:p>
        </w:tc>
        <w:tc>
          <w:tcPr>
            <w:tcW w:w="0" w:type="auto"/>
            <w:tcBorders>
              <w:top w:val="double" w:sz="6" w:space="0" w:color="305496"/>
              <w:left w:val="nil"/>
              <w:bottom w:val="double" w:sz="6" w:space="0" w:color="305496"/>
              <w:right w:val="double" w:sz="6" w:space="0" w:color="305496"/>
            </w:tcBorders>
            <w:shd w:val="clear" w:color="000000" w:fill="B4C6E7"/>
            <w:vAlign w:val="center"/>
            <w:hideMark/>
          </w:tcPr>
          <w:p w14:paraId="414FD895"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Puntarenas</w:t>
            </w:r>
          </w:p>
        </w:tc>
        <w:tc>
          <w:tcPr>
            <w:tcW w:w="819" w:type="dxa"/>
            <w:tcBorders>
              <w:top w:val="double" w:sz="6" w:space="0" w:color="305496"/>
              <w:left w:val="nil"/>
              <w:bottom w:val="double" w:sz="6" w:space="0" w:color="305496"/>
              <w:right w:val="double" w:sz="6" w:space="0" w:color="305496"/>
            </w:tcBorders>
            <w:shd w:val="clear" w:color="000000" w:fill="B4C6E7"/>
            <w:vAlign w:val="center"/>
            <w:hideMark/>
          </w:tcPr>
          <w:p w14:paraId="2F34AA6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I Circuito Judicial de la Zona Sur</w:t>
            </w:r>
          </w:p>
        </w:tc>
        <w:tc>
          <w:tcPr>
            <w:tcW w:w="851" w:type="dxa"/>
            <w:tcBorders>
              <w:top w:val="double" w:sz="6" w:space="0" w:color="305496"/>
              <w:left w:val="nil"/>
              <w:bottom w:val="double" w:sz="6" w:space="0" w:color="305496"/>
              <w:right w:val="double" w:sz="6" w:space="0" w:color="305496"/>
            </w:tcBorders>
            <w:shd w:val="clear" w:color="000000" w:fill="B4C6E7"/>
            <w:vAlign w:val="center"/>
            <w:hideMark/>
          </w:tcPr>
          <w:p w14:paraId="12798523"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I Circuito Judicial de la Zona Atlántica</w:t>
            </w:r>
          </w:p>
        </w:tc>
        <w:tc>
          <w:tcPr>
            <w:tcW w:w="850" w:type="dxa"/>
            <w:tcBorders>
              <w:top w:val="double" w:sz="6" w:space="0" w:color="305496"/>
              <w:left w:val="nil"/>
              <w:bottom w:val="double" w:sz="6" w:space="0" w:color="305496"/>
              <w:right w:val="double" w:sz="6" w:space="0" w:color="305496"/>
            </w:tcBorders>
            <w:shd w:val="clear" w:color="000000" w:fill="B4C6E7"/>
            <w:vAlign w:val="center"/>
            <w:hideMark/>
          </w:tcPr>
          <w:p w14:paraId="5AF55C2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II Circuito Judicial de la Zona Atlántica</w:t>
            </w:r>
          </w:p>
        </w:tc>
      </w:tr>
      <w:tr w:rsidR="0001394F" w:rsidRPr="005149C4" w14:paraId="68A96E08" w14:textId="77777777" w:rsidTr="0001394F">
        <w:trPr>
          <w:trHeight w:val="345"/>
          <w:jc w:val="center"/>
        </w:trPr>
        <w:tc>
          <w:tcPr>
            <w:tcW w:w="1335" w:type="dxa"/>
            <w:tcBorders>
              <w:top w:val="nil"/>
              <w:left w:val="double" w:sz="6" w:space="0" w:color="305496"/>
              <w:bottom w:val="double" w:sz="6" w:space="0" w:color="305496"/>
              <w:right w:val="double" w:sz="6" w:space="0" w:color="305496"/>
            </w:tcBorders>
            <w:shd w:val="clear" w:color="000000" w:fill="D0CECE"/>
            <w:noWrap/>
            <w:vAlign w:val="bottom"/>
            <w:hideMark/>
          </w:tcPr>
          <w:p w14:paraId="5B2838F0"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Casos entrados</w:t>
            </w:r>
          </w:p>
        </w:tc>
        <w:tc>
          <w:tcPr>
            <w:tcW w:w="0" w:type="auto"/>
            <w:tcBorders>
              <w:top w:val="nil"/>
              <w:left w:val="nil"/>
              <w:bottom w:val="double" w:sz="6" w:space="0" w:color="305496"/>
              <w:right w:val="nil"/>
            </w:tcBorders>
            <w:shd w:val="clear" w:color="000000" w:fill="D0CECE"/>
          </w:tcPr>
          <w:p w14:paraId="483A12C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p>
        </w:tc>
        <w:tc>
          <w:tcPr>
            <w:tcW w:w="0" w:type="auto"/>
            <w:tcBorders>
              <w:top w:val="nil"/>
              <w:left w:val="nil"/>
              <w:bottom w:val="double" w:sz="6" w:space="0" w:color="305496"/>
              <w:right w:val="double" w:sz="6" w:space="0" w:color="305496"/>
            </w:tcBorders>
            <w:shd w:val="clear" w:color="000000" w:fill="D0CECE"/>
            <w:noWrap/>
            <w:vAlign w:val="bottom"/>
            <w:hideMark/>
          </w:tcPr>
          <w:p w14:paraId="311D2714" w14:textId="6E943ECC"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40</w:t>
            </w:r>
          </w:p>
        </w:tc>
        <w:tc>
          <w:tcPr>
            <w:tcW w:w="0" w:type="auto"/>
            <w:tcBorders>
              <w:top w:val="nil"/>
              <w:left w:val="nil"/>
              <w:bottom w:val="double" w:sz="6" w:space="0" w:color="305496"/>
              <w:right w:val="double" w:sz="6" w:space="0" w:color="305496"/>
            </w:tcBorders>
            <w:shd w:val="clear" w:color="auto" w:fill="auto"/>
            <w:noWrap/>
            <w:vAlign w:val="center"/>
            <w:hideMark/>
          </w:tcPr>
          <w:p w14:paraId="4671069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45</w:t>
            </w:r>
          </w:p>
        </w:tc>
        <w:tc>
          <w:tcPr>
            <w:tcW w:w="717" w:type="dxa"/>
            <w:tcBorders>
              <w:top w:val="nil"/>
              <w:left w:val="nil"/>
              <w:bottom w:val="double" w:sz="6" w:space="0" w:color="305496"/>
              <w:right w:val="double" w:sz="6" w:space="0" w:color="305496"/>
            </w:tcBorders>
            <w:shd w:val="clear" w:color="auto" w:fill="auto"/>
            <w:noWrap/>
            <w:vAlign w:val="center"/>
            <w:hideMark/>
          </w:tcPr>
          <w:p w14:paraId="79162D36"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31</w:t>
            </w:r>
          </w:p>
        </w:tc>
        <w:tc>
          <w:tcPr>
            <w:tcW w:w="725" w:type="dxa"/>
            <w:tcBorders>
              <w:top w:val="nil"/>
              <w:left w:val="nil"/>
              <w:bottom w:val="double" w:sz="6" w:space="0" w:color="305496"/>
              <w:right w:val="double" w:sz="6" w:space="0" w:color="305496"/>
            </w:tcBorders>
            <w:shd w:val="clear" w:color="auto" w:fill="auto"/>
            <w:noWrap/>
            <w:vAlign w:val="center"/>
            <w:hideMark/>
          </w:tcPr>
          <w:p w14:paraId="62D15B77"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38</w:t>
            </w:r>
          </w:p>
        </w:tc>
        <w:tc>
          <w:tcPr>
            <w:tcW w:w="729" w:type="dxa"/>
            <w:tcBorders>
              <w:top w:val="nil"/>
              <w:left w:val="nil"/>
              <w:bottom w:val="double" w:sz="6" w:space="0" w:color="305496"/>
              <w:right w:val="double" w:sz="6" w:space="0" w:color="305496"/>
            </w:tcBorders>
            <w:shd w:val="clear" w:color="auto" w:fill="auto"/>
            <w:noWrap/>
            <w:vAlign w:val="center"/>
            <w:hideMark/>
          </w:tcPr>
          <w:p w14:paraId="14AEBEF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16</w:t>
            </w:r>
          </w:p>
        </w:tc>
        <w:tc>
          <w:tcPr>
            <w:tcW w:w="0" w:type="auto"/>
            <w:tcBorders>
              <w:top w:val="nil"/>
              <w:left w:val="nil"/>
              <w:bottom w:val="double" w:sz="6" w:space="0" w:color="305496"/>
              <w:right w:val="double" w:sz="6" w:space="0" w:color="305496"/>
            </w:tcBorders>
            <w:shd w:val="clear" w:color="auto" w:fill="auto"/>
            <w:noWrap/>
            <w:vAlign w:val="center"/>
            <w:hideMark/>
          </w:tcPr>
          <w:p w14:paraId="0EE108AA"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13</w:t>
            </w:r>
          </w:p>
        </w:tc>
        <w:tc>
          <w:tcPr>
            <w:tcW w:w="0" w:type="auto"/>
            <w:tcBorders>
              <w:top w:val="nil"/>
              <w:left w:val="nil"/>
              <w:bottom w:val="double" w:sz="6" w:space="0" w:color="305496"/>
              <w:right w:val="double" w:sz="6" w:space="0" w:color="305496"/>
            </w:tcBorders>
            <w:shd w:val="clear" w:color="auto" w:fill="auto"/>
            <w:noWrap/>
            <w:vAlign w:val="center"/>
            <w:hideMark/>
          </w:tcPr>
          <w:p w14:paraId="6A1609B1"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30</w:t>
            </w:r>
          </w:p>
        </w:tc>
        <w:tc>
          <w:tcPr>
            <w:tcW w:w="0" w:type="auto"/>
            <w:tcBorders>
              <w:top w:val="nil"/>
              <w:left w:val="nil"/>
              <w:bottom w:val="double" w:sz="6" w:space="0" w:color="305496"/>
              <w:right w:val="double" w:sz="6" w:space="0" w:color="305496"/>
            </w:tcBorders>
            <w:shd w:val="clear" w:color="auto" w:fill="auto"/>
            <w:noWrap/>
            <w:vAlign w:val="center"/>
            <w:hideMark/>
          </w:tcPr>
          <w:p w14:paraId="6A7EC462"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28</w:t>
            </w:r>
          </w:p>
        </w:tc>
        <w:tc>
          <w:tcPr>
            <w:tcW w:w="819" w:type="dxa"/>
            <w:tcBorders>
              <w:top w:val="nil"/>
              <w:left w:val="nil"/>
              <w:bottom w:val="double" w:sz="6" w:space="0" w:color="305496"/>
              <w:right w:val="double" w:sz="6" w:space="0" w:color="305496"/>
            </w:tcBorders>
            <w:shd w:val="clear" w:color="auto" w:fill="auto"/>
            <w:noWrap/>
            <w:vAlign w:val="center"/>
            <w:hideMark/>
          </w:tcPr>
          <w:p w14:paraId="1C40D1D3"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33</w:t>
            </w:r>
          </w:p>
        </w:tc>
        <w:tc>
          <w:tcPr>
            <w:tcW w:w="851" w:type="dxa"/>
            <w:tcBorders>
              <w:top w:val="nil"/>
              <w:left w:val="nil"/>
              <w:bottom w:val="double" w:sz="6" w:space="0" w:color="305496"/>
              <w:right w:val="double" w:sz="6" w:space="0" w:color="305496"/>
            </w:tcBorders>
            <w:shd w:val="clear" w:color="auto" w:fill="auto"/>
            <w:noWrap/>
            <w:vAlign w:val="center"/>
            <w:hideMark/>
          </w:tcPr>
          <w:p w14:paraId="7DBE468B"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4</w:t>
            </w:r>
          </w:p>
        </w:tc>
        <w:tc>
          <w:tcPr>
            <w:tcW w:w="850" w:type="dxa"/>
            <w:tcBorders>
              <w:top w:val="nil"/>
              <w:left w:val="nil"/>
              <w:bottom w:val="double" w:sz="6" w:space="0" w:color="305496"/>
              <w:right w:val="double" w:sz="6" w:space="0" w:color="305496"/>
            </w:tcBorders>
            <w:shd w:val="clear" w:color="auto" w:fill="auto"/>
            <w:noWrap/>
            <w:vAlign w:val="center"/>
            <w:hideMark/>
          </w:tcPr>
          <w:p w14:paraId="07A539DC"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37</w:t>
            </w:r>
          </w:p>
        </w:tc>
      </w:tr>
      <w:tr w:rsidR="0001394F" w:rsidRPr="005149C4" w14:paraId="40BA4D92" w14:textId="77777777" w:rsidTr="0001394F">
        <w:trPr>
          <w:trHeight w:val="345"/>
          <w:jc w:val="center"/>
        </w:trPr>
        <w:tc>
          <w:tcPr>
            <w:tcW w:w="1335" w:type="dxa"/>
            <w:tcBorders>
              <w:top w:val="nil"/>
              <w:left w:val="double" w:sz="6" w:space="0" w:color="305496"/>
              <w:bottom w:val="double" w:sz="6" w:space="0" w:color="305496"/>
              <w:right w:val="double" w:sz="6" w:space="0" w:color="305496"/>
            </w:tcBorders>
            <w:shd w:val="clear" w:color="000000" w:fill="D0CECE"/>
            <w:noWrap/>
            <w:vAlign w:val="bottom"/>
            <w:hideMark/>
          </w:tcPr>
          <w:p w14:paraId="46EF2330"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RR programadas</w:t>
            </w:r>
          </w:p>
        </w:tc>
        <w:tc>
          <w:tcPr>
            <w:tcW w:w="0" w:type="auto"/>
            <w:tcBorders>
              <w:top w:val="nil"/>
              <w:left w:val="nil"/>
              <w:bottom w:val="double" w:sz="6" w:space="0" w:color="305496"/>
              <w:right w:val="nil"/>
            </w:tcBorders>
            <w:shd w:val="clear" w:color="000000" w:fill="D0CECE"/>
          </w:tcPr>
          <w:p w14:paraId="42BCF7A6" w14:textId="77777777" w:rsidR="0001394F" w:rsidRPr="005149C4" w:rsidRDefault="0001394F" w:rsidP="00582C93">
            <w:pPr>
              <w:spacing w:before="0" w:after="0" w:line="240" w:lineRule="auto"/>
              <w:jc w:val="center"/>
              <w:rPr>
                <w:rFonts w:eastAsia="Times New Roman" w:cs="Calibri"/>
                <w:color w:val="000000"/>
                <w:sz w:val="16"/>
                <w:szCs w:val="16"/>
                <w:lang w:eastAsia="es-CR"/>
              </w:rPr>
            </w:pPr>
          </w:p>
        </w:tc>
        <w:tc>
          <w:tcPr>
            <w:tcW w:w="0" w:type="auto"/>
            <w:tcBorders>
              <w:top w:val="nil"/>
              <w:left w:val="nil"/>
              <w:bottom w:val="double" w:sz="6" w:space="0" w:color="305496"/>
              <w:right w:val="double" w:sz="6" w:space="0" w:color="305496"/>
            </w:tcBorders>
            <w:shd w:val="clear" w:color="000000" w:fill="D0CECE"/>
            <w:noWrap/>
            <w:vAlign w:val="bottom"/>
            <w:hideMark/>
          </w:tcPr>
          <w:p w14:paraId="5F25D30F" w14:textId="76EED060"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36</w:t>
            </w:r>
          </w:p>
        </w:tc>
        <w:tc>
          <w:tcPr>
            <w:tcW w:w="0" w:type="auto"/>
            <w:tcBorders>
              <w:top w:val="nil"/>
              <w:left w:val="nil"/>
              <w:bottom w:val="double" w:sz="6" w:space="0" w:color="305496"/>
              <w:right w:val="double" w:sz="6" w:space="0" w:color="305496"/>
            </w:tcBorders>
            <w:shd w:val="clear" w:color="auto" w:fill="auto"/>
            <w:noWrap/>
            <w:vAlign w:val="center"/>
            <w:hideMark/>
          </w:tcPr>
          <w:p w14:paraId="491ED27F"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34</w:t>
            </w:r>
          </w:p>
        </w:tc>
        <w:tc>
          <w:tcPr>
            <w:tcW w:w="717" w:type="dxa"/>
            <w:tcBorders>
              <w:top w:val="nil"/>
              <w:left w:val="nil"/>
              <w:bottom w:val="double" w:sz="6" w:space="0" w:color="305496"/>
              <w:right w:val="double" w:sz="6" w:space="0" w:color="305496"/>
            </w:tcBorders>
            <w:shd w:val="clear" w:color="auto" w:fill="auto"/>
            <w:noWrap/>
            <w:vAlign w:val="center"/>
            <w:hideMark/>
          </w:tcPr>
          <w:p w14:paraId="3E7E2921"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18</w:t>
            </w:r>
          </w:p>
        </w:tc>
        <w:tc>
          <w:tcPr>
            <w:tcW w:w="725" w:type="dxa"/>
            <w:tcBorders>
              <w:top w:val="nil"/>
              <w:left w:val="nil"/>
              <w:bottom w:val="double" w:sz="6" w:space="0" w:color="305496"/>
              <w:right w:val="double" w:sz="6" w:space="0" w:color="305496"/>
            </w:tcBorders>
            <w:shd w:val="clear" w:color="auto" w:fill="auto"/>
            <w:noWrap/>
            <w:vAlign w:val="center"/>
            <w:hideMark/>
          </w:tcPr>
          <w:p w14:paraId="08FCAC6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24</w:t>
            </w:r>
          </w:p>
        </w:tc>
        <w:tc>
          <w:tcPr>
            <w:tcW w:w="729" w:type="dxa"/>
            <w:tcBorders>
              <w:top w:val="nil"/>
              <w:left w:val="nil"/>
              <w:bottom w:val="double" w:sz="6" w:space="0" w:color="305496"/>
              <w:right w:val="double" w:sz="6" w:space="0" w:color="305496"/>
            </w:tcBorders>
            <w:shd w:val="clear" w:color="auto" w:fill="auto"/>
            <w:noWrap/>
            <w:vAlign w:val="center"/>
            <w:hideMark/>
          </w:tcPr>
          <w:p w14:paraId="606EEE51"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5</w:t>
            </w:r>
          </w:p>
        </w:tc>
        <w:tc>
          <w:tcPr>
            <w:tcW w:w="0" w:type="auto"/>
            <w:tcBorders>
              <w:top w:val="nil"/>
              <w:left w:val="nil"/>
              <w:bottom w:val="double" w:sz="6" w:space="0" w:color="305496"/>
              <w:right w:val="double" w:sz="6" w:space="0" w:color="305496"/>
            </w:tcBorders>
            <w:shd w:val="clear" w:color="auto" w:fill="auto"/>
            <w:noWrap/>
            <w:vAlign w:val="center"/>
            <w:hideMark/>
          </w:tcPr>
          <w:p w14:paraId="1AB97FC8"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5</w:t>
            </w:r>
          </w:p>
        </w:tc>
        <w:tc>
          <w:tcPr>
            <w:tcW w:w="0" w:type="auto"/>
            <w:tcBorders>
              <w:top w:val="nil"/>
              <w:left w:val="nil"/>
              <w:bottom w:val="double" w:sz="6" w:space="0" w:color="305496"/>
              <w:right w:val="double" w:sz="6" w:space="0" w:color="305496"/>
            </w:tcBorders>
            <w:shd w:val="clear" w:color="auto" w:fill="auto"/>
            <w:noWrap/>
            <w:vAlign w:val="center"/>
            <w:hideMark/>
          </w:tcPr>
          <w:p w14:paraId="5967D3C7"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27</w:t>
            </w:r>
          </w:p>
        </w:tc>
        <w:tc>
          <w:tcPr>
            <w:tcW w:w="0" w:type="auto"/>
            <w:tcBorders>
              <w:top w:val="nil"/>
              <w:left w:val="nil"/>
              <w:bottom w:val="double" w:sz="6" w:space="0" w:color="305496"/>
              <w:right w:val="double" w:sz="6" w:space="0" w:color="305496"/>
            </w:tcBorders>
            <w:shd w:val="clear" w:color="auto" w:fill="auto"/>
            <w:noWrap/>
            <w:vAlign w:val="center"/>
            <w:hideMark/>
          </w:tcPr>
          <w:p w14:paraId="7F345500"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23</w:t>
            </w:r>
          </w:p>
        </w:tc>
        <w:tc>
          <w:tcPr>
            <w:tcW w:w="819" w:type="dxa"/>
            <w:tcBorders>
              <w:top w:val="nil"/>
              <w:left w:val="nil"/>
              <w:bottom w:val="double" w:sz="6" w:space="0" w:color="305496"/>
              <w:right w:val="double" w:sz="6" w:space="0" w:color="305496"/>
            </w:tcBorders>
            <w:shd w:val="clear" w:color="auto" w:fill="auto"/>
            <w:noWrap/>
            <w:vAlign w:val="center"/>
            <w:hideMark/>
          </w:tcPr>
          <w:p w14:paraId="15ADEDCB"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33</w:t>
            </w:r>
          </w:p>
        </w:tc>
        <w:tc>
          <w:tcPr>
            <w:tcW w:w="851" w:type="dxa"/>
            <w:tcBorders>
              <w:top w:val="nil"/>
              <w:left w:val="nil"/>
              <w:bottom w:val="double" w:sz="6" w:space="0" w:color="305496"/>
              <w:right w:val="double" w:sz="6" w:space="0" w:color="305496"/>
            </w:tcBorders>
            <w:shd w:val="clear" w:color="auto" w:fill="auto"/>
            <w:noWrap/>
            <w:vAlign w:val="center"/>
            <w:hideMark/>
          </w:tcPr>
          <w:p w14:paraId="4C8843E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w:t>
            </w:r>
          </w:p>
        </w:tc>
        <w:tc>
          <w:tcPr>
            <w:tcW w:w="850" w:type="dxa"/>
            <w:tcBorders>
              <w:top w:val="nil"/>
              <w:left w:val="nil"/>
              <w:bottom w:val="double" w:sz="6" w:space="0" w:color="305496"/>
              <w:right w:val="double" w:sz="6" w:space="0" w:color="305496"/>
            </w:tcBorders>
            <w:shd w:val="clear" w:color="auto" w:fill="auto"/>
            <w:noWrap/>
            <w:vAlign w:val="center"/>
            <w:hideMark/>
          </w:tcPr>
          <w:p w14:paraId="22A22035"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22</w:t>
            </w:r>
          </w:p>
        </w:tc>
      </w:tr>
      <w:tr w:rsidR="0001394F" w:rsidRPr="005149C4" w14:paraId="19446CD5" w14:textId="77777777" w:rsidTr="0001394F">
        <w:trPr>
          <w:trHeight w:val="345"/>
          <w:jc w:val="center"/>
        </w:trPr>
        <w:tc>
          <w:tcPr>
            <w:tcW w:w="1335" w:type="dxa"/>
            <w:tcBorders>
              <w:top w:val="nil"/>
              <w:left w:val="double" w:sz="6" w:space="0" w:color="305496"/>
              <w:bottom w:val="double" w:sz="6" w:space="0" w:color="305496"/>
              <w:right w:val="double" w:sz="6" w:space="0" w:color="305496"/>
            </w:tcBorders>
            <w:shd w:val="clear" w:color="000000" w:fill="D0CECE"/>
            <w:vAlign w:val="bottom"/>
            <w:hideMark/>
          </w:tcPr>
          <w:p w14:paraId="463EBC58"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Entrevistas programadas</w:t>
            </w:r>
          </w:p>
        </w:tc>
        <w:tc>
          <w:tcPr>
            <w:tcW w:w="0" w:type="auto"/>
            <w:tcBorders>
              <w:top w:val="nil"/>
              <w:left w:val="nil"/>
              <w:bottom w:val="double" w:sz="6" w:space="0" w:color="305496"/>
              <w:right w:val="nil"/>
            </w:tcBorders>
            <w:shd w:val="clear" w:color="000000" w:fill="D0CECE"/>
          </w:tcPr>
          <w:p w14:paraId="425866E8" w14:textId="77777777" w:rsidR="0001394F" w:rsidRPr="005149C4" w:rsidRDefault="0001394F" w:rsidP="00582C93">
            <w:pPr>
              <w:spacing w:before="0" w:after="0" w:line="240" w:lineRule="auto"/>
              <w:jc w:val="center"/>
              <w:rPr>
                <w:rFonts w:eastAsia="Times New Roman" w:cs="Calibri"/>
                <w:color w:val="000000"/>
                <w:sz w:val="16"/>
                <w:szCs w:val="16"/>
                <w:lang w:eastAsia="es-CR"/>
              </w:rPr>
            </w:pPr>
          </w:p>
        </w:tc>
        <w:tc>
          <w:tcPr>
            <w:tcW w:w="0" w:type="auto"/>
            <w:tcBorders>
              <w:top w:val="nil"/>
              <w:left w:val="nil"/>
              <w:bottom w:val="double" w:sz="6" w:space="0" w:color="305496"/>
              <w:right w:val="double" w:sz="6" w:space="0" w:color="305496"/>
            </w:tcBorders>
            <w:shd w:val="clear" w:color="000000" w:fill="D0CECE"/>
            <w:noWrap/>
            <w:vAlign w:val="bottom"/>
            <w:hideMark/>
          </w:tcPr>
          <w:p w14:paraId="6FCC61CB" w14:textId="6675700C"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40</w:t>
            </w:r>
          </w:p>
        </w:tc>
        <w:tc>
          <w:tcPr>
            <w:tcW w:w="0" w:type="auto"/>
            <w:tcBorders>
              <w:top w:val="nil"/>
              <w:left w:val="nil"/>
              <w:bottom w:val="double" w:sz="6" w:space="0" w:color="305496"/>
              <w:right w:val="double" w:sz="6" w:space="0" w:color="305496"/>
            </w:tcBorders>
            <w:shd w:val="clear" w:color="000000" w:fill="A9D08E"/>
            <w:noWrap/>
            <w:vAlign w:val="center"/>
            <w:hideMark/>
          </w:tcPr>
          <w:p w14:paraId="0ED0A32F"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69</w:t>
            </w:r>
          </w:p>
        </w:tc>
        <w:tc>
          <w:tcPr>
            <w:tcW w:w="717" w:type="dxa"/>
            <w:tcBorders>
              <w:top w:val="nil"/>
              <w:left w:val="nil"/>
              <w:bottom w:val="double" w:sz="6" w:space="0" w:color="305496"/>
              <w:right w:val="double" w:sz="6" w:space="0" w:color="305496"/>
            </w:tcBorders>
            <w:shd w:val="clear" w:color="000000" w:fill="A9D08E"/>
            <w:noWrap/>
            <w:vAlign w:val="center"/>
            <w:hideMark/>
          </w:tcPr>
          <w:p w14:paraId="7510EE0E"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69</w:t>
            </w:r>
          </w:p>
        </w:tc>
        <w:tc>
          <w:tcPr>
            <w:tcW w:w="725" w:type="dxa"/>
            <w:tcBorders>
              <w:top w:val="nil"/>
              <w:left w:val="nil"/>
              <w:bottom w:val="double" w:sz="6" w:space="0" w:color="305496"/>
              <w:right w:val="double" w:sz="6" w:space="0" w:color="305496"/>
            </w:tcBorders>
            <w:shd w:val="clear" w:color="000000" w:fill="A9D08E"/>
            <w:noWrap/>
            <w:vAlign w:val="center"/>
            <w:hideMark/>
          </w:tcPr>
          <w:p w14:paraId="258980D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58</w:t>
            </w:r>
          </w:p>
        </w:tc>
        <w:tc>
          <w:tcPr>
            <w:tcW w:w="729" w:type="dxa"/>
            <w:tcBorders>
              <w:top w:val="nil"/>
              <w:left w:val="nil"/>
              <w:bottom w:val="double" w:sz="6" w:space="0" w:color="305496"/>
              <w:right w:val="double" w:sz="6" w:space="0" w:color="305496"/>
            </w:tcBorders>
            <w:shd w:val="clear" w:color="000000" w:fill="A9D08E"/>
            <w:noWrap/>
            <w:vAlign w:val="center"/>
            <w:hideMark/>
          </w:tcPr>
          <w:p w14:paraId="272014AB"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80</w:t>
            </w:r>
          </w:p>
        </w:tc>
        <w:tc>
          <w:tcPr>
            <w:tcW w:w="0" w:type="auto"/>
            <w:tcBorders>
              <w:top w:val="nil"/>
              <w:left w:val="nil"/>
              <w:bottom w:val="double" w:sz="6" w:space="0" w:color="305496"/>
              <w:right w:val="double" w:sz="6" w:space="0" w:color="305496"/>
            </w:tcBorders>
            <w:shd w:val="clear" w:color="000000" w:fill="A9D08E"/>
            <w:noWrap/>
            <w:vAlign w:val="center"/>
            <w:hideMark/>
          </w:tcPr>
          <w:p w14:paraId="14C59AD2"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69</w:t>
            </w:r>
          </w:p>
        </w:tc>
        <w:tc>
          <w:tcPr>
            <w:tcW w:w="0" w:type="auto"/>
            <w:tcBorders>
              <w:top w:val="nil"/>
              <w:left w:val="nil"/>
              <w:bottom w:val="double" w:sz="6" w:space="0" w:color="305496"/>
              <w:right w:val="double" w:sz="6" w:space="0" w:color="305496"/>
            </w:tcBorders>
            <w:shd w:val="clear" w:color="000000" w:fill="A9D08E"/>
            <w:noWrap/>
            <w:vAlign w:val="center"/>
            <w:hideMark/>
          </w:tcPr>
          <w:p w14:paraId="7BD134B1"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79</w:t>
            </w:r>
          </w:p>
        </w:tc>
        <w:tc>
          <w:tcPr>
            <w:tcW w:w="0" w:type="auto"/>
            <w:tcBorders>
              <w:top w:val="nil"/>
              <w:left w:val="nil"/>
              <w:bottom w:val="double" w:sz="6" w:space="0" w:color="305496"/>
              <w:right w:val="double" w:sz="6" w:space="0" w:color="305496"/>
            </w:tcBorders>
            <w:shd w:val="clear" w:color="000000" w:fill="A9D08E"/>
            <w:noWrap/>
            <w:vAlign w:val="center"/>
            <w:hideMark/>
          </w:tcPr>
          <w:p w14:paraId="23DF524E"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79</w:t>
            </w:r>
          </w:p>
        </w:tc>
        <w:tc>
          <w:tcPr>
            <w:tcW w:w="819" w:type="dxa"/>
            <w:tcBorders>
              <w:top w:val="nil"/>
              <w:left w:val="nil"/>
              <w:bottom w:val="double" w:sz="6" w:space="0" w:color="305496"/>
              <w:right w:val="double" w:sz="6" w:space="0" w:color="305496"/>
            </w:tcBorders>
            <w:shd w:val="clear" w:color="000000" w:fill="A9D08E"/>
            <w:noWrap/>
            <w:vAlign w:val="center"/>
            <w:hideMark/>
          </w:tcPr>
          <w:p w14:paraId="4965324F"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58</w:t>
            </w:r>
          </w:p>
        </w:tc>
        <w:tc>
          <w:tcPr>
            <w:tcW w:w="851" w:type="dxa"/>
            <w:tcBorders>
              <w:top w:val="nil"/>
              <w:left w:val="nil"/>
              <w:bottom w:val="double" w:sz="6" w:space="0" w:color="305496"/>
              <w:right w:val="double" w:sz="6" w:space="0" w:color="305496"/>
            </w:tcBorders>
            <w:shd w:val="clear" w:color="000000" w:fill="A9D08E"/>
            <w:noWrap/>
            <w:vAlign w:val="center"/>
            <w:hideMark/>
          </w:tcPr>
          <w:p w14:paraId="4A47CE7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79</w:t>
            </w:r>
          </w:p>
        </w:tc>
        <w:tc>
          <w:tcPr>
            <w:tcW w:w="850" w:type="dxa"/>
            <w:tcBorders>
              <w:top w:val="nil"/>
              <w:left w:val="nil"/>
              <w:bottom w:val="double" w:sz="6" w:space="0" w:color="305496"/>
              <w:right w:val="double" w:sz="6" w:space="0" w:color="305496"/>
            </w:tcBorders>
            <w:shd w:val="clear" w:color="000000" w:fill="A9D08E"/>
            <w:noWrap/>
            <w:vAlign w:val="center"/>
            <w:hideMark/>
          </w:tcPr>
          <w:p w14:paraId="3FC8E6A0"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80</w:t>
            </w:r>
          </w:p>
        </w:tc>
      </w:tr>
      <w:tr w:rsidR="0001394F" w:rsidRPr="005149C4" w14:paraId="23B5DC41" w14:textId="77777777" w:rsidTr="0001394F">
        <w:trPr>
          <w:trHeight w:val="345"/>
          <w:jc w:val="center"/>
        </w:trPr>
        <w:tc>
          <w:tcPr>
            <w:tcW w:w="1335" w:type="dxa"/>
            <w:tcBorders>
              <w:top w:val="nil"/>
              <w:left w:val="double" w:sz="6" w:space="0" w:color="305496"/>
              <w:bottom w:val="double" w:sz="6" w:space="0" w:color="305496"/>
              <w:right w:val="double" w:sz="6" w:space="0" w:color="305496"/>
            </w:tcBorders>
            <w:shd w:val="clear" w:color="000000" w:fill="D0CECE"/>
            <w:noWrap/>
            <w:vAlign w:val="bottom"/>
            <w:hideMark/>
          </w:tcPr>
          <w:p w14:paraId="710FDFA6"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Audiencias de verificación</w:t>
            </w:r>
          </w:p>
        </w:tc>
        <w:tc>
          <w:tcPr>
            <w:tcW w:w="0" w:type="auto"/>
            <w:tcBorders>
              <w:top w:val="nil"/>
              <w:left w:val="nil"/>
              <w:bottom w:val="double" w:sz="6" w:space="0" w:color="305496"/>
              <w:right w:val="nil"/>
            </w:tcBorders>
            <w:shd w:val="clear" w:color="000000" w:fill="D0CECE"/>
          </w:tcPr>
          <w:p w14:paraId="03371F8A" w14:textId="77777777" w:rsidR="0001394F" w:rsidRPr="005149C4" w:rsidRDefault="0001394F" w:rsidP="00582C93">
            <w:pPr>
              <w:spacing w:before="0" w:after="0" w:line="240" w:lineRule="auto"/>
              <w:jc w:val="center"/>
              <w:rPr>
                <w:rFonts w:eastAsia="Times New Roman" w:cs="Calibri"/>
                <w:color w:val="000000"/>
                <w:sz w:val="16"/>
                <w:szCs w:val="16"/>
                <w:lang w:eastAsia="es-CR"/>
              </w:rPr>
            </w:pPr>
          </w:p>
        </w:tc>
        <w:tc>
          <w:tcPr>
            <w:tcW w:w="0" w:type="auto"/>
            <w:tcBorders>
              <w:top w:val="nil"/>
              <w:left w:val="nil"/>
              <w:bottom w:val="double" w:sz="6" w:space="0" w:color="305496"/>
              <w:right w:val="double" w:sz="6" w:space="0" w:color="305496"/>
            </w:tcBorders>
            <w:shd w:val="clear" w:color="000000" w:fill="D0CECE"/>
            <w:noWrap/>
            <w:vAlign w:val="bottom"/>
            <w:hideMark/>
          </w:tcPr>
          <w:p w14:paraId="0903CCF5" w14:textId="5470B75C"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7</w:t>
            </w:r>
          </w:p>
        </w:tc>
        <w:tc>
          <w:tcPr>
            <w:tcW w:w="0" w:type="auto"/>
            <w:tcBorders>
              <w:top w:val="nil"/>
              <w:left w:val="nil"/>
              <w:bottom w:val="double" w:sz="6" w:space="0" w:color="305496"/>
              <w:right w:val="double" w:sz="6" w:space="0" w:color="305496"/>
            </w:tcBorders>
            <w:shd w:val="clear" w:color="000000" w:fill="A9D08E"/>
            <w:noWrap/>
            <w:vAlign w:val="center"/>
            <w:hideMark/>
          </w:tcPr>
          <w:p w14:paraId="71DA8AF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17</w:t>
            </w:r>
          </w:p>
        </w:tc>
        <w:tc>
          <w:tcPr>
            <w:tcW w:w="717" w:type="dxa"/>
            <w:tcBorders>
              <w:top w:val="nil"/>
              <w:left w:val="nil"/>
              <w:bottom w:val="double" w:sz="6" w:space="0" w:color="305496"/>
              <w:right w:val="double" w:sz="6" w:space="0" w:color="305496"/>
            </w:tcBorders>
            <w:shd w:val="clear" w:color="000000" w:fill="A9D08E"/>
            <w:noWrap/>
            <w:vAlign w:val="center"/>
            <w:hideMark/>
          </w:tcPr>
          <w:p w14:paraId="68126698"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12</w:t>
            </w:r>
          </w:p>
        </w:tc>
        <w:tc>
          <w:tcPr>
            <w:tcW w:w="725" w:type="dxa"/>
            <w:tcBorders>
              <w:top w:val="nil"/>
              <w:left w:val="nil"/>
              <w:bottom w:val="double" w:sz="6" w:space="0" w:color="305496"/>
              <w:right w:val="double" w:sz="6" w:space="0" w:color="305496"/>
            </w:tcBorders>
            <w:shd w:val="clear" w:color="000000" w:fill="A9D08E"/>
            <w:noWrap/>
            <w:vAlign w:val="center"/>
            <w:hideMark/>
          </w:tcPr>
          <w:p w14:paraId="24F6C40A"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16</w:t>
            </w:r>
          </w:p>
        </w:tc>
        <w:tc>
          <w:tcPr>
            <w:tcW w:w="729" w:type="dxa"/>
            <w:tcBorders>
              <w:top w:val="nil"/>
              <w:left w:val="nil"/>
              <w:bottom w:val="double" w:sz="6" w:space="0" w:color="305496"/>
              <w:right w:val="double" w:sz="6" w:space="0" w:color="305496"/>
            </w:tcBorders>
            <w:shd w:val="clear" w:color="auto" w:fill="auto"/>
            <w:noWrap/>
            <w:vAlign w:val="center"/>
            <w:hideMark/>
          </w:tcPr>
          <w:p w14:paraId="29CB7FE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w:t>
            </w:r>
          </w:p>
        </w:tc>
        <w:tc>
          <w:tcPr>
            <w:tcW w:w="0" w:type="auto"/>
            <w:tcBorders>
              <w:top w:val="nil"/>
              <w:left w:val="nil"/>
              <w:bottom w:val="double" w:sz="6" w:space="0" w:color="305496"/>
              <w:right w:val="double" w:sz="6" w:space="0" w:color="305496"/>
            </w:tcBorders>
            <w:shd w:val="clear" w:color="auto" w:fill="auto"/>
            <w:noWrap/>
            <w:vAlign w:val="center"/>
            <w:hideMark/>
          </w:tcPr>
          <w:p w14:paraId="7EF6E409"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4</w:t>
            </w:r>
          </w:p>
        </w:tc>
        <w:tc>
          <w:tcPr>
            <w:tcW w:w="0" w:type="auto"/>
            <w:tcBorders>
              <w:top w:val="nil"/>
              <w:left w:val="nil"/>
              <w:bottom w:val="double" w:sz="6" w:space="0" w:color="305496"/>
              <w:right w:val="double" w:sz="6" w:space="0" w:color="305496"/>
            </w:tcBorders>
            <w:shd w:val="clear" w:color="000000" w:fill="A9D08E"/>
            <w:noWrap/>
            <w:vAlign w:val="center"/>
            <w:hideMark/>
          </w:tcPr>
          <w:p w14:paraId="609717AB"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15</w:t>
            </w:r>
          </w:p>
        </w:tc>
        <w:tc>
          <w:tcPr>
            <w:tcW w:w="0" w:type="auto"/>
            <w:tcBorders>
              <w:top w:val="nil"/>
              <w:left w:val="nil"/>
              <w:bottom w:val="double" w:sz="6" w:space="0" w:color="305496"/>
              <w:right w:val="double" w:sz="6" w:space="0" w:color="305496"/>
            </w:tcBorders>
            <w:shd w:val="clear" w:color="000000" w:fill="A9D08E"/>
            <w:noWrap/>
            <w:vAlign w:val="center"/>
            <w:hideMark/>
          </w:tcPr>
          <w:p w14:paraId="1F73D244"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14</w:t>
            </w:r>
          </w:p>
        </w:tc>
        <w:tc>
          <w:tcPr>
            <w:tcW w:w="819" w:type="dxa"/>
            <w:tcBorders>
              <w:top w:val="nil"/>
              <w:left w:val="nil"/>
              <w:bottom w:val="double" w:sz="6" w:space="0" w:color="305496"/>
              <w:right w:val="double" w:sz="6" w:space="0" w:color="305496"/>
            </w:tcBorders>
            <w:shd w:val="clear" w:color="000000" w:fill="A9D08E"/>
            <w:noWrap/>
            <w:vAlign w:val="center"/>
            <w:hideMark/>
          </w:tcPr>
          <w:p w14:paraId="395637B2"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12</w:t>
            </w:r>
          </w:p>
        </w:tc>
        <w:tc>
          <w:tcPr>
            <w:tcW w:w="851" w:type="dxa"/>
            <w:tcBorders>
              <w:top w:val="nil"/>
              <w:left w:val="nil"/>
              <w:bottom w:val="double" w:sz="6" w:space="0" w:color="305496"/>
              <w:right w:val="double" w:sz="6" w:space="0" w:color="305496"/>
            </w:tcBorders>
            <w:shd w:val="clear" w:color="auto" w:fill="auto"/>
            <w:noWrap/>
            <w:vAlign w:val="center"/>
            <w:hideMark/>
          </w:tcPr>
          <w:p w14:paraId="3BA37BF5"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w:t>
            </w:r>
          </w:p>
        </w:tc>
        <w:tc>
          <w:tcPr>
            <w:tcW w:w="850" w:type="dxa"/>
            <w:tcBorders>
              <w:top w:val="nil"/>
              <w:left w:val="nil"/>
              <w:bottom w:val="double" w:sz="6" w:space="0" w:color="305496"/>
              <w:right w:val="double" w:sz="6" w:space="0" w:color="305496"/>
            </w:tcBorders>
            <w:shd w:val="clear" w:color="000000" w:fill="A9D08E"/>
            <w:noWrap/>
            <w:vAlign w:val="center"/>
            <w:hideMark/>
          </w:tcPr>
          <w:p w14:paraId="09D74D1C" w14:textId="77777777" w:rsidR="0001394F" w:rsidRPr="005149C4" w:rsidRDefault="0001394F" w:rsidP="00582C93">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13</w:t>
            </w:r>
          </w:p>
        </w:tc>
      </w:tr>
    </w:tbl>
    <w:p w14:paraId="35148557" w14:textId="6FABF3C7" w:rsidR="00422C40" w:rsidRPr="005149C4" w:rsidRDefault="00422C40" w:rsidP="00582C93">
      <w:pPr>
        <w:ind w:right="49"/>
        <w:rPr>
          <w:rFonts w:cs="Calibri"/>
          <w:bCs/>
          <w:color w:val="000000"/>
          <w:sz w:val="20"/>
          <w:szCs w:val="20"/>
          <w:lang w:eastAsia="es-CR"/>
        </w:rPr>
      </w:pPr>
      <w:r w:rsidRPr="005149C4">
        <w:rPr>
          <w:rFonts w:cs="Calibri"/>
          <w:b/>
          <w:color w:val="000000"/>
          <w:sz w:val="20"/>
          <w:szCs w:val="20"/>
          <w:lang w:eastAsia="es-CR"/>
        </w:rPr>
        <w:t xml:space="preserve">Fuente: </w:t>
      </w:r>
      <w:r w:rsidRPr="005149C4">
        <w:rPr>
          <w:rFonts w:cs="Calibri"/>
          <w:bCs/>
          <w:color w:val="000000"/>
          <w:sz w:val="20"/>
          <w:szCs w:val="20"/>
          <w:lang w:eastAsia="es-CR"/>
        </w:rPr>
        <w:t xml:space="preserve">Modernización Institucional a partir de la información </w:t>
      </w:r>
      <w:r w:rsidR="00A5125C" w:rsidRPr="005149C4">
        <w:rPr>
          <w:rFonts w:cs="Calibri"/>
          <w:bCs/>
          <w:color w:val="000000"/>
          <w:sz w:val="20"/>
          <w:szCs w:val="20"/>
          <w:lang w:eastAsia="es-CR"/>
        </w:rPr>
        <w:t>extraída de SIGMA.</w:t>
      </w:r>
    </w:p>
    <w:p w14:paraId="046E61D7" w14:textId="6822A05B" w:rsidR="00F80C2D" w:rsidRPr="005149C4" w:rsidRDefault="00422C40" w:rsidP="00353828">
      <w:pPr>
        <w:tabs>
          <w:tab w:val="left" w:pos="0"/>
        </w:tabs>
      </w:pPr>
      <w:r w:rsidRPr="005149C4">
        <w:t>Con base</w:t>
      </w:r>
      <w:r w:rsidR="00721AE9" w:rsidRPr="005149C4">
        <w:t xml:space="preserve"> en cuadro anterior se puede observar cumplimiento </w:t>
      </w:r>
      <w:r w:rsidR="00A21147" w:rsidRPr="005149C4">
        <w:t>de las cuotas de trabajo en los equipos de trabajo interdisciplinarios</w:t>
      </w:r>
      <w:r w:rsidR="00D4587F" w:rsidRPr="005149C4">
        <w:t xml:space="preserve">. Respecto a los asuntos entrados se tiene que se cumple con el ingreso de al menos 40 causas </w:t>
      </w:r>
      <w:r w:rsidR="007B4044" w:rsidRPr="005149C4">
        <w:t>en el equipo del II</w:t>
      </w:r>
      <w:r w:rsidR="00DE57B0" w:rsidRPr="005149C4">
        <w:t xml:space="preserve"> </w:t>
      </w:r>
      <w:r w:rsidR="00D4587F" w:rsidRPr="005149C4">
        <w:t>Circuito Judicial de San José</w:t>
      </w:r>
      <w:r w:rsidR="00431DEE" w:rsidRPr="005149C4">
        <w:t xml:space="preserve">; mientras que en el caso de las Reuniones Restaurativas programadas </w:t>
      </w:r>
      <w:r w:rsidR="00582C93" w:rsidRPr="005149C4">
        <w:t xml:space="preserve">no se </w:t>
      </w:r>
      <w:r w:rsidR="00431DEE" w:rsidRPr="005149C4">
        <w:t xml:space="preserve">presenta cumplimiento </w:t>
      </w:r>
      <w:r w:rsidR="00582C93" w:rsidRPr="005149C4">
        <w:t>en ninguno de los equipos de trabajo</w:t>
      </w:r>
      <w:r w:rsidR="002356CD" w:rsidRPr="005149C4">
        <w:t>. Respecto a las entrevistas programadas, todos los equipos logran cumplir la cuota asignada de al menos 40 entrevistas por mes</w:t>
      </w:r>
      <w:r w:rsidR="005F6883" w:rsidRPr="005149C4">
        <w:t xml:space="preserve"> y en el caso de las audiencias de verificación se observa cumplimiento en </w:t>
      </w:r>
      <w:r w:rsidR="00582C93" w:rsidRPr="005149C4">
        <w:t>la mayoría de</w:t>
      </w:r>
      <w:r w:rsidR="005F6883" w:rsidRPr="005149C4">
        <w:t xml:space="preserve"> los equipos</w:t>
      </w:r>
      <w:r w:rsidR="00582C93" w:rsidRPr="005149C4">
        <w:t>,</w:t>
      </w:r>
      <w:r w:rsidR="005F6883" w:rsidRPr="005149C4">
        <w:t xml:space="preserve"> con excepción del equipo de </w:t>
      </w:r>
      <w:r w:rsidR="00582C93" w:rsidRPr="005149C4">
        <w:t>Alajuela, San Ramón</w:t>
      </w:r>
      <w:r w:rsidR="005F6883" w:rsidRPr="005149C4">
        <w:t xml:space="preserve"> y el equipo del I Circuito Judicial de la Zona</w:t>
      </w:r>
      <w:r w:rsidR="00582C93" w:rsidRPr="005149C4">
        <w:t xml:space="preserve"> Atlántica</w:t>
      </w:r>
      <w:r w:rsidR="005F6883" w:rsidRPr="005149C4">
        <w:t>.</w:t>
      </w:r>
    </w:p>
    <w:p w14:paraId="39B3AABA" w14:textId="7EA1C40A" w:rsidR="009E037B" w:rsidRPr="005149C4" w:rsidRDefault="009E037B" w:rsidP="00C11C5E">
      <w:pPr>
        <w:pStyle w:val="Ttulo2"/>
        <w:numPr>
          <w:ilvl w:val="1"/>
          <w:numId w:val="1"/>
        </w:numPr>
      </w:pPr>
      <w:r w:rsidRPr="005149C4">
        <w:t>Análisis del costo de la Justicia Penal respecto a Justicia Restaurativa</w:t>
      </w:r>
    </w:p>
    <w:p w14:paraId="02BD67E4" w14:textId="19770882" w:rsidR="00F0769C" w:rsidRPr="005149C4" w:rsidRDefault="00F0769C" w:rsidP="00F0769C">
      <w:pPr>
        <w:tabs>
          <w:tab w:val="left" w:pos="0"/>
        </w:tabs>
      </w:pPr>
      <w:r w:rsidRPr="005149C4">
        <w:t>Es importante destacar, obviando aspectos de índole social resueltos en los procesos jurisdiccionales, por la vía de la solución alterna de conflictos, conciliación y Justicia Restaurativa, que la institución incurre en menos costos, respecto a los procesos resueltos por la vía ordinaria. En ese sentido y conforme a valor económico estimado para el proceso de Justicia Restaurativa (¢3</w:t>
      </w:r>
      <w:r w:rsidR="00355D2B" w:rsidRPr="005149C4">
        <w:t>4</w:t>
      </w:r>
      <w:r w:rsidRPr="005149C4">
        <w:t>3,</w:t>
      </w:r>
      <w:r w:rsidR="00355D2B" w:rsidRPr="005149C4">
        <w:t>122</w:t>
      </w:r>
      <w:r w:rsidRPr="005149C4">
        <w:t>) y resolución de la causa mediante el proceso ordinario (¢</w:t>
      </w:r>
      <w:r w:rsidR="00355D2B" w:rsidRPr="005149C4">
        <w:t>2</w:t>
      </w:r>
      <w:r w:rsidRPr="005149C4">
        <w:t>.</w:t>
      </w:r>
      <w:r w:rsidR="00355D2B" w:rsidRPr="005149C4">
        <w:t>50</w:t>
      </w:r>
      <w:r w:rsidRPr="005149C4">
        <w:t>5.</w:t>
      </w:r>
      <w:r w:rsidR="00355D2B" w:rsidRPr="005149C4">
        <w:t>403</w:t>
      </w:r>
      <w:r w:rsidRPr="005149C4">
        <w:t xml:space="preserve">), según informe </w:t>
      </w:r>
      <w:bookmarkStart w:id="25" w:name="_Hlk65680910"/>
      <w:r w:rsidR="00355D2B" w:rsidRPr="005149C4">
        <w:t>2052</w:t>
      </w:r>
      <w:r w:rsidRPr="005149C4">
        <w:t>-</w:t>
      </w:r>
      <w:r w:rsidR="00355D2B" w:rsidRPr="005149C4">
        <w:t>PLA-</w:t>
      </w:r>
      <w:r w:rsidRPr="005149C4">
        <w:t>PP-20</w:t>
      </w:r>
      <w:r w:rsidR="00355D2B" w:rsidRPr="005149C4">
        <w:t>20</w:t>
      </w:r>
      <w:bookmarkEnd w:id="25"/>
      <w:r w:rsidRPr="005149C4">
        <w:t xml:space="preserve"> de la Dirección de Planificación, </w:t>
      </w:r>
      <w:r w:rsidR="00355D2B" w:rsidRPr="005149C4">
        <w:t>aprobado en sesión del Consejo Superior 03-2021 celebrada el 12 de enero de 2021, artículo XL. Con base en esta información</w:t>
      </w:r>
      <w:r w:rsidRPr="005149C4">
        <w:t xml:space="preserve"> cada asunto terminado en Justicia </w:t>
      </w:r>
      <w:r w:rsidR="00FF38E3" w:rsidRPr="005149C4">
        <w:t>Restaurativa</w:t>
      </w:r>
      <w:r w:rsidRPr="005149C4">
        <w:t xml:space="preserve"> le genera a la Institución un ahorro aproximado de ¢</w:t>
      </w:r>
      <w:r w:rsidR="00AA66FF" w:rsidRPr="005149C4">
        <w:t>2.162.281</w:t>
      </w:r>
      <w:r w:rsidRPr="005149C4">
        <w:t xml:space="preserve">, sea un </w:t>
      </w:r>
      <w:r w:rsidR="00AA66FF" w:rsidRPr="005149C4">
        <w:t>86</w:t>
      </w:r>
      <w:r w:rsidRPr="005149C4">
        <w:t>% menos del monto en que se incurre, tramitando la causa por la vía ordinaria ((¢</w:t>
      </w:r>
      <w:r w:rsidR="00AA66FF" w:rsidRPr="005149C4">
        <w:t>2.505.403</w:t>
      </w:r>
      <w:r w:rsidRPr="005149C4">
        <w:t xml:space="preserve">).  </w:t>
      </w:r>
    </w:p>
    <w:p w14:paraId="1C09540F" w14:textId="28F58D57" w:rsidR="007A3813" w:rsidRPr="005149C4" w:rsidRDefault="00F0769C" w:rsidP="009C3CC2">
      <w:pPr>
        <w:tabs>
          <w:tab w:val="left" w:pos="0"/>
        </w:tabs>
      </w:pPr>
      <w:r w:rsidRPr="005149C4">
        <w:t xml:space="preserve">En la práctica y desde un punto de vista aritmético, un proceso en materia Penal que se concluya en la etapa </w:t>
      </w:r>
      <w:r w:rsidR="00FF38E3" w:rsidRPr="005149C4">
        <w:t>intermedia</w:t>
      </w:r>
      <w:r w:rsidRPr="005149C4">
        <w:t xml:space="preserve"> inherentemente es menos oneroso que otro que </w:t>
      </w:r>
      <w:r w:rsidR="00F56A3A" w:rsidRPr="005149C4">
        <w:t>agote la vía recursiva hasta ser conocido</w:t>
      </w:r>
      <w:r w:rsidRPr="005149C4">
        <w:t xml:space="preserve"> por la Sala Tercera, toda vez que este último en principio </w:t>
      </w:r>
      <w:r w:rsidR="005E5996" w:rsidRPr="005149C4">
        <w:t>va a</w:t>
      </w:r>
      <w:r w:rsidRPr="005149C4">
        <w:t xml:space="preserve"> requerir de una mayor inversión de recursos en el transcurso del Juicio y confirmación de la sentencia por parte de los órganos jerárquicos, entre otros.</w:t>
      </w:r>
      <w:r w:rsidR="005C4FC7" w:rsidRPr="005149C4">
        <w:t xml:space="preserve"> </w:t>
      </w:r>
    </w:p>
    <w:p w14:paraId="357042BF" w14:textId="67E2E83C" w:rsidR="006E46D8" w:rsidRPr="006E46D8" w:rsidRDefault="00AC6D3B" w:rsidP="00AA10C8">
      <w:pPr>
        <w:pStyle w:val="Ttulo1"/>
      </w:pPr>
      <w:r w:rsidRPr="005149C4">
        <w:t>Limitantes del estudio</w:t>
      </w:r>
    </w:p>
    <w:p w14:paraId="5F921F33" w14:textId="3A48BC65" w:rsidR="00E21B24" w:rsidRPr="005149C4" w:rsidRDefault="00E21B24" w:rsidP="00983AE0">
      <w:pPr>
        <w:tabs>
          <w:tab w:val="left" w:pos="851"/>
          <w:tab w:val="left" w:pos="1276"/>
        </w:tabs>
      </w:pPr>
      <w:bookmarkStart w:id="26" w:name="_Hlk65749512"/>
      <w:r w:rsidRPr="005149C4">
        <w:t>El Su</w:t>
      </w:r>
      <w:r w:rsidR="00F00A43" w:rsidRPr="005149C4">
        <w:t>bp</w:t>
      </w:r>
      <w:r w:rsidRPr="005149C4">
        <w:t>roceso de Estadística para la materia de Penal Adulto en Justicia Restaurativa cuenta a la fecha de realización de este informe</w:t>
      </w:r>
      <w:r w:rsidR="001D2D29" w:rsidRPr="005149C4">
        <w:t xml:space="preserve"> con la versión preliminar del anuario judicial</w:t>
      </w:r>
      <w:r w:rsidRPr="005149C4">
        <w:t>.</w:t>
      </w:r>
      <w:r w:rsidR="00214F66" w:rsidRPr="005149C4">
        <w:t xml:space="preserve"> </w:t>
      </w:r>
      <w:bookmarkEnd w:id="26"/>
      <w:r w:rsidR="00214F66" w:rsidRPr="005149C4">
        <w:t xml:space="preserve">(Ver apéndice </w:t>
      </w:r>
      <w:r w:rsidR="003C00CE" w:rsidRPr="005149C4">
        <w:t>4</w:t>
      </w:r>
      <w:r w:rsidR="00214F66" w:rsidRPr="005149C4">
        <w:t>)</w:t>
      </w:r>
      <w:r w:rsidR="000246E6" w:rsidRPr="005149C4">
        <w:t xml:space="preserve"> </w:t>
      </w:r>
    </w:p>
    <w:p w14:paraId="2D94960C" w14:textId="72B845BD" w:rsidR="00E21B24" w:rsidRPr="005177EE" w:rsidRDefault="00E21B24" w:rsidP="00983AE0">
      <w:r w:rsidRPr="005149C4">
        <w:t>Para la materia Penal Juvenil atendida en Justic</w:t>
      </w:r>
      <w:r w:rsidR="00E37DD8" w:rsidRPr="005149C4">
        <w:t>i</w:t>
      </w:r>
      <w:r w:rsidRPr="005149C4">
        <w:t xml:space="preserve">a Restaurativa, </w:t>
      </w:r>
      <w:r w:rsidR="00017FB0" w:rsidRPr="005149C4">
        <w:t>no se cuenta con información preliminar para el año 202</w:t>
      </w:r>
      <w:r w:rsidR="0045244B" w:rsidRPr="005149C4">
        <w:t>2</w:t>
      </w:r>
      <w:r w:rsidR="00017FB0" w:rsidRPr="005149C4">
        <w:t xml:space="preserve">, por lo que se utiliza en este informe </w:t>
      </w:r>
      <w:r w:rsidR="00905B5E" w:rsidRPr="005149C4">
        <w:t xml:space="preserve">los </w:t>
      </w:r>
      <w:r w:rsidR="00905B5E" w:rsidRPr="005177EE">
        <w:rPr>
          <w:rFonts w:eastAsia="Times New Roman" w:cs="Arial"/>
          <w:szCs w:val="24"/>
          <w:lang w:val="es-ES" w:eastAsia="es-ES"/>
        </w:rPr>
        <w:t>datos</w:t>
      </w:r>
      <w:r w:rsidR="00407338" w:rsidRPr="005177EE">
        <w:rPr>
          <w:rFonts w:eastAsia="Times New Roman" w:cs="Arial"/>
          <w:szCs w:val="24"/>
          <w:lang w:val="es-ES" w:eastAsia="es-ES"/>
        </w:rPr>
        <w:t xml:space="preserve"> del año 202</w:t>
      </w:r>
      <w:r w:rsidR="0045244B" w:rsidRPr="005177EE">
        <w:rPr>
          <w:rFonts w:eastAsia="Times New Roman" w:cs="Arial"/>
          <w:szCs w:val="24"/>
          <w:lang w:val="es-ES" w:eastAsia="es-ES"/>
        </w:rPr>
        <w:t xml:space="preserve">1. </w:t>
      </w:r>
      <w:r w:rsidR="00214F66" w:rsidRPr="005177EE">
        <w:rPr>
          <w:rFonts w:eastAsia="Times New Roman" w:cs="Arial"/>
          <w:szCs w:val="24"/>
          <w:lang w:val="es-ES" w:eastAsia="es-ES"/>
        </w:rPr>
        <w:t xml:space="preserve">(Ver apéndice </w:t>
      </w:r>
      <w:r w:rsidR="00A66930" w:rsidRPr="005177EE">
        <w:rPr>
          <w:rFonts w:eastAsia="Times New Roman" w:cs="Arial"/>
          <w:szCs w:val="24"/>
          <w:lang w:val="es-ES" w:eastAsia="es-ES"/>
        </w:rPr>
        <w:t>5</w:t>
      </w:r>
      <w:r w:rsidR="00214F66" w:rsidRPr="005177EE">
        <w:rPr>
          <w:rFonts w:eastAsia="Times New Roman" w:cs="Arial"/>
          <w:szCs w:val="24"/>
          <w:lang w:val="es-ES" w:eastAsia="es-ES"/>
        </w:rPr>
        <w:t>)</w:t>
      </w:r>
      <w:r w:rsidR="000246E6" w:rsidRPr="005177EE">
        <w:rPr>
          <w:rFonts w:eastAsia="Times New Roman" w:cs="Arial"/>
          <w:szCs w:val="24"/>
          <w:lang w:val="es-ES" w:eastAsia="es-ES"/>
        </w:rPr>
        <w:t xml:space="preserve"> </w:t>
      </w:r>
    </w:p>
    <w:p w14:paraId="2E9948EE" w14:textId="78EA73B8" w:rsidR="00AC6D3B" w:rsidRPr="005177EE" w:rsidRDefault="00E21B24" w:rsidP="00983AE0">
      <w:bookmarkStart w:id="27" w:name="_Hlk95141252"/>
      <w:r w:rsidRPr="005177EE">
        <w:rPr>
          <w:rFonts w:eastAsia="Times New Roman" w:cs="Arial"/>
          <w:szCs w:val="24"/>
          <w:lang w:val="es-ES" w:eastAsia="es-ES"/>
        </w:rPr>
        <w:t xml:space="preserve">El </w:t>
      </w:r>
      <w:r w:rsidR="006E46D8" w:rsidRPr="005177EE">
        <w:rPr>
          <w:rFonts w:eastAsia="Times New Roman" w:cs="Arial"/>
          <w:szCs w:val="24"/>
          <w:lang w:val="es-ES" w:eastAsia="es-ES"/>
        </w:rPr>
        <w:t>Subproceso</w:t>
      </w:r>
      <w:r w:rsidRPr="005177EE">
        <w:rPr>
          <w:rFonts w:eastAsia="Times New Roman" w:cs="Arial"/>
          <w:szCs w:val="24"/>
          <w:lang w:val="es-ES" w:eastAsia="es-ES"/>
        </w:rPr>
        <w:t xml:space="preserve"> de Estadística no cuenta actualmente con anuarios judiciales para la atención de la materia de Contravenciones por parte de los equipos de Justicia Restaurativa.</w:t>
      </w:r>
      <w:r w:rsidR="00214F66" w:rsidRPr="005177EE">
        <w:rPr>
          <w:rFonts w:eastAsia="Times New Roman" w:cs="Arial"/>
          <w:szCs w:val="24"/>
          <w:lang w:val="es-ES" w:eastAsia="es-ES"/>
        </w:rPr>
        <w:t xml:space="preserve"> </w:t>
      </w:r>
      <w:bookmarkEnd w:id="27"/>
      <w:r w:rsidR="00214F66" w:rsidRPr="005177EE">
        <w:rPr>
          <w:rFonts w:eastAsia="Times New Roman" w:cs="Arial"/>
          <w:szCs w:val="24"/>
          <w:lang w:val="es-ES" w:eastAsia="es-ES"/>
        </w:rPr>
        <w:t xml:space="preserve">(Ver apéndice </w:t>
      </w:r>
      <w:r w:rsidR="00A66930" w:rsidRPr="005177EE">
        <w:rPr>
          <w:rFonts w:eastAsia="Times New Roman" w:cs="Arial"/>
          <w:szCs w:val="24"/>
          <w:lang w:val="es-ES" w:eastAsia="es-ES"/>
        </w:rPr>
        <w:t>7</w:t>
      </w:r>
      <w:r w:rsidR="00214F66" w:rsidRPr="005177EE">
        <w:rPr>
          <w:rFonts w:eastAsia="Times New Roman" w:cs="Arial"/>
          <w:szCs w:val="24"/>
          <w:lang w:val="es-ES" w:eastAsia="es-ES"/>
        </w:rPr>
        <w:t>)</w:t>
      </w:r>
      <w:r w:rsidR="00300FC2" w:rsidRPr="005177EE">
        <w:rPr>
          <w:rFonts w:eastAsia="Times New Roman" w:cs="Arial"/>
          <w:szCs w:val="24"/>
          <w:lang w:val="es-ES" w:eastAsia="es-ES"/>
        </w:rPr>
        <w:t xml:space="preserve"> </w:t>
      </w:r>
      <w:r w:rsidR="007D10AF" w:rsidRPr="005177EE">
        <w:rPr>
          <w:rFonts w:eastAsia="Times New Roman" w:cs="Arial"/>
          <w:szCs w:val="24"/>
          <w:lang w:val="es-ES" w:eastAsia="es-ES"/>
        </w:rPr>
        <w:t xml:space="preserve">A la fecha la nueva fórmula que se implantará si contiene estas variables. </w:t>
      </w:r>
    </w:p>
    <w:p w14:paraId="3964C9CC" w14:textId="2BDAB883" w:rsidR="00A2036F" w:rsidRPr="00944E93" w:rsidRDefault="00FD33EB" w:rsidP="00983AE0">
      <w:r w:rsidRPr="005177EE">
        <w:rPr>
          <w:rFonts w:eastAsia="Times New Roman" w:cs="Arial"/>
          <w:szCs w:val="24"/>
          <w:lang w:val="es-ES" w:eastAsia="es-ES"/>
        </w:rPr>
        <w:t>En el año 2021 se inicia con la atención por parte de dos equipos interdisciplinarios nuevos</w:t>
      </w:r>
      <w:r w:rsidR="0045244B" w:rsidRPr="005177EE">
        <w:rPr>
          <w:rFonts w:eastAsia="Times New Roman" w:cs="Arial"/>
          <w:szCs w:val="24"/>
          <w:lang w:val="es-ES" w:eastAsia="es-ES"/>
        </w:rPr>
        <w:t>.</w:t>
      </w:r>
      <w:r w:rsidR="0032044F" w:rsidRPr="005177EE">
        <w:rPr>
          <w:rFonts w:eastAsia="Times New Roman" w:cs="Arial"/>
          <w:szCs w:val="24"/>
          <w:lang w:val="es-ES" w:eastAsia="es-ES"/>
        </w:rPr>
        <w:t xml:space="preserve"> </w:t>
      </w:r>
      <w:r w:rsidR="0032044F" w:rsidRPr="00983AE0">
        <w:rPr>
          <w:rFonts w:eastAsia="Times New Roman" w:cs="Arial"/>
          <w:szCs w:val="24"/>
          <w:lang w:val="es-ES" w:eastAsia="es-ES"/>
        </w:rPr>
        <w:t xml:space="preserve">Se </w:t>
      </w:r>
      <w:r w:rsidR="004F0041" w:rsidRPr="00983AE0">
        <w:rPr>
          <w:rFonts w:eastAsia="Times New Roman" w:cs="Arial"/>
          <w:szCs w:val="24"/>
          <w:lang w:val="es-ES" w:eastAsia="es-ES"/>
        </w:rPr>
        <w:t>considera</w:t>
      </w:r>
      <w:r w:rsidR="0032044F" w:rsidRPr="00983AE0">
        <w:rPr>
          <w:rFonts w:eastAsia="Times New Roman" w:cs="Arial"/>
          <w:szCs w:val="24"/>
          <w:lang w:val="es-ES" w:eastAsia="es-ES"/>
        </w:rPr>
        <w:t xml:space="preserve"> que los equipos </w:t>
      </w:r>
      <w:r w:rsidR="00015764" w:rsidRPr="00983AE0">
        <w:rPr>
          <w:rFonts w:eastAsia="Times New Roman" w:cs="Arial"/>
          <w:szCs w:val="24"/>
          <w:lang w:val="es-ES" w:eastAsia="es-ES"/>
        </w:rPr>
        <w:t>se deben encargar de la conformación de las redes de apoyo en las localidades.</w:t>
      </w:r>
    </w:p>
    <w:p w14:paraId="78601BFC" w14:textId="5E6E0880" w:rsidR="006E46D8" w:rsidRPr="002D74EB" w:rsidRDefault="002D74EB" w:rsidP="002D74EB">
      <w:pPr>
        <w:spacing w:before="0" w:after="0" w:line="240" w:lineRule="auto"/>
        <w:jc w:val="left"/>
        <w:rPr>
          <w:rFonts w:eastAsia="Times New Roman" w:cs="Arial"/>
          <w:szCs w:val="24"/>
          <w:lang w:val="es-ES" w:eastAsia="es-ES"/>
        </w:rPr>
      </w:pPr>
      <w:r>
        <w:br w:type="page"/>
      </w:r>
    </w:p>
    <w:p w14:paraId="691AFC2F" w14:textId="3C31AD4F" w:rsidR="006E46D8" w:rsidRPr="002D74EB" w:rsidRDefault="0078226D" w:rsidP="006E46D8">
      <w:pPr>
        <w:pStyle w:val="Ttulo1"/>
      </w:pPr>
      <w:r w:rsidRPr="00983AE0">
        <w:t>Elementos conclusivos</w:t>
      </w:r>
    </w:p>
    <w:p w14:paraId="4FDB2D27" w14:textId="50910797" w:rsidR="006E46D8" w:rsidRDefault="00885172" w:rsidP="00983AE0">
      <w:pPr>
        <w:pStyle w:val="Prrafodelista"/>
        <w:numPr>
          <w:ilvl w:val="1"/>
          <w:numId w:val="27"/>
        </w:numPr>
      </w:pPr>
      <w:r w:rsidRPr="006E46D8">
        <w:t xml:space="preserve">La ley de Justicia Restaurativa 9582 </w:t>
      </w:r>
      <w:proofErr w:type="gramStart"/>
      <w:r w:rsidRPr="006E46D8">
        <w:t>entró en vigencia</w:t>
      </w:r>
      <w:proofErr w:type="gramEnd"/>
      <w:r w:rsidRPr="006E46D8">
        <w:t xml:space="preserve"> el 20 de enero de 2019 con un ámbito de aplicación que se extiende a la materia Penal, Penal Juvenil y Contravencional en todas sus etapas; con participación de un equipo interdisciplinario conformado por un equipo legal, un equipo psicosocial y personas juzgadoras</w:t>
      </w:r>
      <w:r w:rsidR="00944E93">
        <w:t xml:space="preserve"> y a la fecha no ha contenido económico.</w:t>
      </w:r>
    </w:p>
    <w:p w14:paraId="1DBDFD07" w14:textId="77777777" w:rsidR="007D1CEA" w:rsidRDefault="007D1CEA" w:rsidP="00983AE0">
      <w:pPr>
        <w:spacing w:before="0"/>
        <w:ind w:right="902"/>
      </w:pPr>
    </w:p>
    <w:p w14:paraId="2E507F82" w14:textId="5652173F" w:rsidR="00470F5A" w:rsidRPr="005149C4" w:rsidRDefault="00944E93" w:rsidP="00983AE0">
      <w:pPr>
        <w:pStyle w:val="Prrafodelista"/>
        <w:numPr>
          <w:ilvl w:val="1"/>
          <w:numId w:val="27"/>
        </w:numPr>
        <w:tabs>
          <w:tab w:val="left" w:pos="851"/>
          <w:tab w:val="left" w:pos="1276"/>
        </w:tabs>
      </w:pPr>
      <w:r>
        <w:t xml:space="preserve">A pesar de que han existido diversos estudios presupuestarios a la fecha no </w:t>
      </w:r>
      <w:r w:rsidR="002C176B" w:rsidRPr="005149C4">
        <w:t xml:space="preserve">se </w:t>
      </w:r>
      <w:r w:rsidR="00D853CE">
        <w:t xml:space="preserve">han </w:t>
      </w:r>
      <w:r w:rsidR="002D74EB" w:rsidRPr="005149C4">
        <w:t>incorpora</w:t>
      </w:r>
      <w:r w:rsidR="002D74EB">
        <w:t>do</w:t>
      </w:r>
      <w:r w:rsidR="002C176B" w:rsidRPr="005149C4">
        <w:t xml:space="preserve"> los recursos solicitados para completar los equipos de Justicia Restaurativa</w:t>
      </w:r>
      <w:r w:rsidR="00DE6F7E" w:rsidRPr="005149C4">
        <w:t>, según las solicitudes expuestas por la oficina</w:t>
      </w:r>
      <w:r w:rsidR="00D853CE">
        <w:t xml:space="preserve"> durante estos últimos años. </w:t>
      </w:r>
      <w:r w:rsidR="00543C14" w:rsidRPr="005149C4">
        <w:t xml:space="preserve">La </w:t>
      </w:r>
      <w:r w:rsidR="005E0758" w:rsidRPr="005149C4">
        <w:t>Oficina Rectora</w:t>
      </w:r>
      <w:r w:rsidR="00543C14" w:rsidRPr="005149C4">
        <w:t xml:space="preserve"> de Justicia Restaurativa, funciona bajo la coordinación del magistrado Gerardo Rubén Alfaro Vargas y cuenta con tres plazas de Profesional en Derecho 3B, una plaza de Técnica o Técnico Judicial, una plaza de </w:t>
      </w:r>
      <w:r w:rsidR="006E46D8">
        <w:t>S</w:t>
      </w:r>
      <w:r w:rsidR="006E46D8" w:rsidRPr="005149C4">
        <w:t xml:space="preserve">ecretaria </w:t>
      </w:r>
      <w:r w:rsidR="006E46D8">
        <w:t>E</w:t>
      </w:r>
      <w:r w:rsidR="006E46D8" w:rsidRPr="005149C4">
        <w:t>jecutiva</w:t>
      </w:r>
      <w:r w:rsidR="00543C14" w:rsidRPr="005149C4">
        <w:t xml:space="preserve"> y una plaza de Profesional 2. </w:t>
      </w:r>
    </w:p>
    <w:p w14:paraId="42FE2937" w14:textId="4E9F4268" w:rsidR="00403E87" w:rsidRPr="005149C4" w:rsidRDefault="00897049" w:rsidP="00983AE0">
      <w:pPr>
        <w:pStyle w:val="Prrafodelista"/>
        <w:numPr>
          <w:ilvl w:val="1"/>
          <w:numId w:val="27"/>
        </w:numPr>
        <w:tabs>
          <w:tab w:val="left" w:pos="851"/>
          <w:tab w:val="left" w:pos="1276"/>
        </w:tabs>
      </w:pPr>
      <w:r w:rsidRPr="005149C4">
        <w:t>El abordaje de los asuntos se lleva a cabo por medio de un Equipo Interdisciplinario, conformado por un Equipo Legal, que incluye a todas las personas profesionales en la rama del Derecho (Juezas y Jueces, Fiscalas y Fiscales, Defensoras y Defensores) y un Equipo Psicosocial integrado por las y los profesionales en las ramas de Psicología y Trabajo Social</w:t>
      </w:r>
      <w:r w:rsidR="00403E87" w:rsidRPr="005149C4">
        <w:t>.</w:t>
      </w:r>
    </w:p>
    <w:p w14:paraId="506B56D2" w14:textId="4EC37682" w:rsidR="00403E87" w:rsidRPr="005149C4" w:rsidRDefault="00403E87" w:rsidP="00983AE0">
      <w:pPr>
        <w:pStyle w:val="Prrafodelista"/>
        <w:numPr>
          <w:ilvl w:val="1"/>
          <w:numId w:val="27"/>
        </w:numPr>
        <w:tabs>
          <w:tab w:val="left" w:pos="851"/>
          <w:tab w:val="left" w:pos="1276"/>
        </w:tabs>
      </w:pPr>
      <w:r w:rsidRPr="005149C4">
        <w:t xml:space="preserve">En materia Penal de adultos, se encuentran conformados nueve equipos Interdisciplinarios a nivel nacional, con una plaza de Fiscala o Fiscal, una de Defensora o Defensor, 2 en el área Psicosocial y una plaza técnica o técnico Judicial. Para el caso de Penal Juvenil se cuenta con atención en </w:t>
      </w:r>
      <w:r w:rsidR="00082AA1" w:rsidRPr="005149C4">
        <w:t>los 15</w:t>
      </w:r>
      <w:r w:rsidRPr="005149C4">
        <w:t xml:space="preserve"> circuitos judiciales, y con la colaboración de las plazas de Fiscala o Fiscal y Defensora o Defensor Público en algunos de los cuales se comparte la atención del equipo psicosocial entre penal juvenil y penal adulto, o inclusive con contravenciones.</w:t>
      </w:r>
    </w:p>
    <w:p w14:paraId="12D8D3B5" w14:textId="3BA63431" w:rsidR="00403E87" w:rsidRPr="005149C4" w:rsidRDefault="00403E87" w:rsidP="00983AE0">
      <w:pPr>
        <w:pStyle w:val="Prrafodelista"/>
        <w:numPr>
          <w:ilvl w:val="1"/>
          <w:numId w:val="27"/>
        </w:numPr>
        <w:tabs>
          <w:tab w:val="left" w:pos="851"/>
          <w:tab w:val="left" w:pos="1276"/>
        </w:tabs>
      </w:pPr>
      <w:r w:rsidRPr="005149C4">
        <w:t>En la actualidad no se cuenta con atención de la materia Penal Adulto en el II Circuito Judicial de Alajuela y II Circuito Judicial de Guanacaste. En el caso de la materia Penal Juvenil se cuenta con atención en 15 Circuitos Judiciales.</w:t>
      </w:r>
    </w:p>
    <w:p w14:paraId="358CDCC7" w14:textId="722D02E8" w:rsidR="000131E6" w:rsidRPr="005149C4" w:rsidRDefault="000131E6" w:rsidP="00983AE0">
      <w:pPr>
        <w:pStyle w:val="Prrafodelista"/>
        <w:numPr>
          <w:ilvl w:val="1"/>
          <w:numId w:val="27"/>
        </w:numPr>
        <w:tabs>
          <w:tab w:val="left" w:pos="851"/>
          <w:tab w:val="left" w:pos="1276"/>
        </w:tabs>
      </w:pPr>
      <w:r w:rsidRPr="005149C4">
        <w:t xml:space="preserve">La atención en materia contravencional por parte de un equipo del Poder Judicial comprende: </w:t>
      </w:r>
      <w:r w:rsidR="003634BD" w:rsidRPr="005149C4">
        <w:t>I</w:t>
      </w:r>
      <w:r w:rsidRPr="005149C4">
        <w:t>II Circuito Judicial de San José, I Circuito Judicial de Alajuela, I Circuito Judicial de la Zona Atlántica, Circuito Judicial de Puntarenas y I Circuito Judicial de Guanacaste.</w:t>
      </w:r>
    </w:p>
    <w:p w14:paraId="1622769A" w14:textId="43D56695" w:rsidR="00281162" w:rsidRPr="005149C4" w:rsidRDefault="00281162" w:rsidP="00983AE0">
      <w:pPr>
        <w:pStyle w:val="Prrafodelista"/>
        <w:numPr>
          <w:ilvl w:val="1"/>
          <w:numId w:val="27"/>
        </w:numPr>
        <w:tabs>
          <w:tab w:val="left" w:pos="851"/>
          <w:tab w:val="left" w:pos="1276"/>
        </w:tabs>
      </w:pPr>
      <w:r w:rsidRPr="005149C4">
        <w:t xml:space="preserve">Se cuenta con apoyo en la atención de la materia contravencional por parte de las Casas de Justicia en: II y III Circuito Judicial de Alajuela, </w:t>
      </w:r>
      <w:r w:rsidR="00344EEF" w:rsidRPr="005149C4">
        <w:t>Circuito Judicial de Heredia, Circuito Judicial de Cartago, Circuito Judicial de Puntarenas y II Circuito Judicial de Guanacaste.</w:t>
      </w:r>
    </w:p>
    <w:p w14:paraId="148D7143" w14:textId="1C754FA7" w:rsidR="00344EEF" w:rsidRPr="005149C4" w:rsidRDefault="00DE6F7E" w:rsidP="00983AE0">
      <w:pPr>
        <w:pStyle w:val="Prrafodelista"/>
        <w:numPr>
          <w:ilvl w:val="1"/>
          <w:numId w:val="27"/>
        </w:numPr>
        <w:tabs>
          <w:tab w:val="left" w:pos="851"/>
          <w:tab w:val="left" w:pos="1276"/>
        </w:tabs>
      </w:pPr>
      <w:r w:rsidRPr="005149C4">
        <w:t xml:space="preserve"> </w:t>
      </w:r>
      <w:r w:rsidR="00357FB7" w:rsidRPr="005149C4">
        <w:t>Para el año 202</w:t>
      </w:r>
      <w:r w:rsidR="005B7067" w:rsidRPr="005149C4">
        <w:t>2</w:t>
      </w:r>
      <w:r w:rsidR="00EA4005" w:rsidRPr="005149C4">
        <w:t>, se identificó un</w:t>
      </w:r>
      <w:r w:rsidR="001B32BD" w:rsidRPr="005149C4">
        <w:t xml:space="preserve">a diferencia de </w:t>
      </w:r>
      <w:r w:rsidR="005B7067" w:rsidRPr="005149C4">
        <w:t>607</w:t>
      </w:r>
      <w:r w:rsidR="001B32BD" w:rsidRPr="005149C4">
        <w:t xml:space="preserve"> asuntos</w:t>
      </w:r>
      <w:r w:rsidR="00357FB7" w:rsidRPr="005149C4">
        <w:t xml:space="preserve"> </w:t>
      </w:r>
      <w:r w:rsidR="00AF0934" w:rsidRPr="005149C4">
        <w:t xml:space="preserve">menos respecto a la cantidad </w:t>
      </w:r>
      <w:r w:rsidR="00F82B6B" w:rsidRPr="005149C4">
        <w:t>total de ingreso en el año 202</w:t>
      </w:r>
      <w:r w:rsidR="005B7067" w:rsidRPr="005149C4">
        <w:t>1</w:t>
      </w:r>
      <w:r w:rsidR="00F82B6B" w:rsidRPr="005149C4">
        <w:t xml:space="preserve">, </w:t>
      </w:r>
      <w:r w:rsidR="005B7067" w:rsidRPr="005149C4">
        <w:t>por lo que se refleja un crecimiento en la entrada de asuntos, que corresponde al 19% respecto a la entrada obtenida en 2021.</w:t>
      </w:r>
    </w:p>
    <w:p w14:paraId="34506C11" w14:textId="77777777" w:rsidR="00264542" w:rsidRPr="00983AE0" w:rsidRDefault="00DE6F7E" w:rsidP="00983AE0">
      <w:pPr>
        <w:pStyle w:val="Prrafodelista"/>
        <w:numPr>
          <w:ilvl w:val="1"/>
          <w:numId w:val="27"/>
        </w:numPr>
        <w:tabs>
          <w:tab w:val="left" w:pos="851"/>
          <w:tab w:val="left" w:pos="1276"/>
        </w:tabs>
      </w:pPr>
      <w:r w:rsidRPr="005149C4">
        <w:t xml:space="preserve"> </w:t>
      </w:r>
      <w:r w:rsidR="005B7067" w:rsidRPr="00983AE0">
        <w:t>En el caso de los asuntos terminados, en 2022 se presenta un incremento que corresponde a 49 asuntos más respecto al promedio mensual para el año 2021. Lo anterior evidencia un incremento en los casos terminados de 135 asuntos en tres años (2020 al 2022), pero la entrada de asuntos también aumento en 118 asuntos en el mismo periodo.</w:t>
      </w:r>
    </w:p>
    <w:p w14:paraId="1D4FA7C6" w14:textId="5E8F2377" w:rsidR="004411AB" w:rsidRPr="00983AE0" w:rsidRDefault="00DE6F7E" w:rsidP="00983AE0">
      <w:pPr>
        <w:pStyle w:val="Prrafodelista"/>
        <w:numPr>
          <w:ilvl w:val="1"/>
          <w:numId w:val="27"/>
        </w:numPr>
        <w:tabs>
          <w:tab w:val="left" w:pos="851"/>
          <w:tab w:val="left" w:pos="1276"/>
        </w:tabs>
      </w:pPr>
      <w:r w:rsidRPr="005149C4">
        <w:t xml:space="preserve"> </w:t>
      </w:r>
      <w:r w:rsidR="004411AB" w:rsidRPr="005149C4">
        <w:t xml:space="preserve">Al analizar la procedencia de los casos, se identifica que </w:t>
      </w:r>
      <w:r w:rsidR="005B7067" w:rsidRPr="005149C4">
        <w:t xml:space="preserve">durante el 2022 </w:t>
      </w:r>
      <w:r w:rsidR="004411AB" w:rsidRPr="005149C4">
        <w:t xml:space="preserve">la mayor cantidad ingresó en el Segundo Circuito Judicial de San José con </w:t>
      </w:r>
      <w:r w:rsidR="00264542" w:rsidRPr="005149C4">
        <w:t xml:space="preserve">505 </w:t>
      </w:r>
      <w:r w:rsidR="004411AB" w:rsidRPr="005149C4">
        <w:t xml:space="preserve">causas </w:t>
      </w:r>
      <w:r w:rsidR="00264542" w:rsidRPr="005149C4">
        <w:t>los cuales corresponden a un 14% de la totalidad ingresada durante el 2022. En segundo lugar, se ubica Circuito Judicial de Cartago con 12% del total de las causas ingresadas, mientras en tercer lugar se ubica el II Circuito Judicial de la Zona Atlántica con el 11% de los casos ingresados.</w:t>
      </w:r>
    </w:p>
    <w:p w14:paraId="51A2BCE2" w14:textId="179C751D" w:rsidR="006E46D8" w:rsidRPr="00983AE0" w:rsidRDefault="00DE6F7E" w:rsidP="00983AE0">
      <w:pPr>
        <w:pStyle w:val="Prrafodelista"/>
        <w:numPr>
          <w:ilvl w:val="1"/>
          <w:numId w:val="27"/>
        </w:numPr>
        <w:tabs>
          <w:tab w:val="left" w:pos="851"/>
          <w:tab w:val="left" w:pos="1276"/>
        </w:tabs>
      </w:pPr>
      <w:r w:rsidRPr="005149C4">
        <w:t xml:space="preserve"> </w:t>
      </w:r>
      <w:r w:rsidR="00CF0B02" w:rsidRPr="005149C4">
        <w:t xml:space="preserve"> </w:t>
      </w:r>
      <w:r w:rsidR="00CF0B02" w:rsidRPr="00246644">
        <w:t xml:space="preserve">En el caso del Segundo Circuito Judicial de San José se observa una disminución de 148 asuntos para el 2022, comparado con el año 2021.  </w:t>
      </w:r>
    </w:p>
    <w:p w14:paraId="7374EC15" w14:textId="6845A37D" w:rsidR="00CF0B02" w:rsidRPr="006E46D8" w:rsidRDefault="00CF0B02" w:rsidP="00983AE0">
      <w:pPr>
        <w:pStyle w:val="Prrafodelista"/>
        <w:numPr>
          <w:ilvl w:val="1"/>
          <w:numId w:val="27"/>
        </w:numPr>
        <w:tabs>
          <w:tab w:val="left" w:pos="851"/>
          <w:tab w:val="left" w:pos="1276"/>
        </w:tabs>
      </w:pPr>
      <w:r w:rsidRPr="006E46D8">
        <w:t xml:space="preserve"> Respecto al Tercer Circuito Judicial de San José se experimentó un aumento de los casos ingresados en el 2021 tomando como base la cantidad entrada en 2020, no obstante, para el 2022 esta cifra disminuye a 348 asuntos. </w:t>
      </w:r>
    </w:p>
    <w:p w14:paraId="6791E5CD" w14:textId="77777777" w:rsidR="00CF0B02" w:rsidRPr="00983AE0" w:rsidRDefault="00CF0B02" w:rsidP="00983AE0">
      <w:pPr>
        <w:pStyle w:val="Prrafodelista"/>
        <w:numPr>
          <w:ilvl w:val="1"/>
          <w:numId w:val="27"/>
        </w:numPr>
        <w:tabs>
          <w:tab w:val="left" w:pos="851"/>
          <w:tab w:val="left" w:pos="1276"/>
        </w:tabs>
      </w:pPr>
      <w:r w:rsidRPr="00983AE0">
        <w:t>En el caso del Circuito Judicial de Cartago, se identifica un aumento en los casos ingresados en 2021 respecto al año 2020, situación que continua para el 2022, donde se observa un aumento en la entrada de 48 asuntos respecto al 2021.</w:t>
      </w:r>
    </w:p>
    <w:p w14:paraId="6329D332" w14:textId="77777777" w:rsidR="00CF0B02" w:rsidRPr="00983AE0" w:rsidRDefault="00CF0B02" w:rsidP="00983AE0">
      <w:pPr>
        <w:pStyle w:val="Prrafodelista"/>
        <w:numPr>
          <w:ilvl w:val="1"/>
          <w:numId w:val="27"/>
        </w:numPr>
        <w:tabs>
          <w:tab w:val="left" w:pos="851"/>
          <w:tab w:val="left" w:pos="1276"/>
        </w:tabs>
      </w:pPr>
      <w:r w:rsidRPr="00983AE0">
        <w:t xml:space="preserve">Adicionalmente, para el 2021 se muestran los primeros registros para el I y III Circuito Judicial de Alajuela, en donde se da un aumento significativo para cada uno de estos despachos. En el caso de Alajuela se refleja un aumento de 156 asuntos respecto al año 2021 y para el caso de San Ramón, un aumento de 65 asuntos. </w:t>
      </w:r>
    </w:p>
    <w:p w14:paraId="56980A51" w14:textId="77777777" w:rsidR="00CF0B02" w:rsidRPr="00983AE0" w:rsidRDefault="00CF0B02" w:rsidP="00983AE0">
      <w:pPr>
        <w:pStyle w:val="Prrafodelista"/>
        <w:numPr>
          <w:ilvl w:val="1"/>
          <w:numId w:val="27"/>
        </w:numPr>
        <w:tabs>
          <w:tab w:val="left" w:pos="851"/>
          <w:tab w:val="left" w:pos="1276"/>
        </w:tabs>
      </w:pPr>
      <w:r w:rsidRPr="00983AE0">
        <w:t xml:space="preserve">Para el Circuito Judicial de Heredia durante 2020, 2021 y 2022 la cantidad de asuntos ingresados es bastante similar, 326, 365 y 342 respectivamente, aunque para el 2022 la cantidad se evidencia una disminución de 23 asuntos, respecto al 2021. </w:t>
      </w:r>
    </w:p>
    <w:p w14:paraId="21D0A782" w14:textId="77777777" w:rsidR="00CF0B02" w:rsidRPr="00983AE0" w:rsidRDefault="00CF0B02" w:rsidP="00983AE0">
      <w:pPr>
        <w:pStyle w:val="Prrafodelista"/>
        <w:numPr>
          <w:ilvl w:val="1"/>
          <w:numId w:val="27"/>
        </w:numPr>
        <w:tabs>
          <w:tab w:val="left" w:pos="851"/>
          <w:tab w:val="left" w:pos="1276"/>
        </w:tabs>
      </w:pPr>
      <w:r w:rsidRPr="00983AE0">
        <w:t>Se reporta una disminución de casos entrados en el Circuito Judicial de Puntarenas para el año 2021, ya que ingresaron 15 asuntos menos que en el 2020. Para el</w:t>
      </w:r>
      <w:r w:rsidRPr="00983AE0" w:rsidDel="00731430">
        <w:t xml:space="preserve"> </w:t>
      </w:r>
      <w:r w:rsidRPr="00983AE0">
        <w:t>2022 se reporta una disminución de 45 asuntos, para un total de 320 casos ingresados.</w:t>
      </w:r>
    </w:p>
    <w:p w14:paraId="5CB6F726" w14:textId="77777777" w:rsidR="00CF0B02" w:rsidRPr="00983AE0" w:rsidRDefault="00CF0B02" w:rsidP="00983AE0">
      <w:pPr>
        <w:pStyle w:val="Prrafodelista"/>
        <w:numPr>
          <w:ilvl w:val="1"/>
          <w:numId w:val="27"/>
        </w:numPr>
        <w:tabs>
          <w:tab w:val="left" w:pos="851"/>
          <w:tab w:val="left" w:pos="1276"/>
        </w:tabs>
      </w:pPr>
      <w:r w:rsidRPr="00983AE0">
        <w:t>Respecto al Primer Circuito Judicial de la Zona Sur, se evidencia una disminución de 51 asuntos para el 2021, respecto a la cantidad ingresada en el 2020. Para el</w:t>
      </w:r>
      <w:r w:rsidRPr="00983AE0" w:rsidDel="00084406">
        <w:t xml:space="preserve"> </w:t>
      </w:r>
      <w:r w:rsidRPr="00983AE0">
        <w:t>2022 aumenta 35 asuntos, se tiene un total de 372 asuntos ingresados.</w:t>
      </w:r>
    </w:p>
    <w:p w14:paraId="72344D3C" w14:textId="4AF7FB4F" w:rsidR="00CF0B02" w:rsidRPr="00983AE0" w:rsidRDefault="00CF0B02" w:rsidP="00983AE0">
      <w:pPr>
        <w:pStyle w:val="Prrafodelista"/>
        <w:numPr>
          <w:ilvl w:val="1"/>
          <w:numId w:val="27"/>
        </w:numPr>
        <w:tabs>
          <w:tab w:val="left" w:pos="851"/>
          <w:tab w:val="left" w:pos="1276"/>
        </w:tabs>
      </w:pPr>
      <w:r w:rsidRPr="00983AE0">
        <w:t xml:space="preserve">Respecto al caso del I Circuito Judicial de la Zona Atlántica, disminuye </w:t>
      </w:r>
      <w:r w:rsidR="00D21244" w:rsidRPr="00983AE0">
        <w:t xml:space="preserve">durante el 2022 </w:t>
      </w:r>
      <w:r w:rsidRPr="00983AE0">
        <w:t>en tres casos respecto al año 2021.</w:t>
      </w:r>
    </w:p>
    <w:p w14:paraId="5B83EE3B" w14:textId="77777777" w:rsidR="00CF0B02" w:rsidRPr="00983AE0" w:rsidRDefault="00CF0B02" w:rsidP="00983AE0">
      <w:pPr>
        <w:pStyle w:val="Prrafodelista"/>
        <w:numPr>
          <w:ilvl w:val="1"/>
          <w:numId w:val="27"/>
        </w:numPr>
        <w:tabs>
          <w:tab w:val="left" w:pos="851"/>
          <w:tab w:val="left" w:pos="1276"/>
        </w:tabs>
      </w:pPr>
      <w:r w:rsidRPr="00983AE0">
        <w:t>En el II Circuito Judicial de la Zona Atlántica, el ingreso de asuntos aumenta en 50 asuntos en el 2021, con base en la cantidad registrada en 2020. En el</w:t>
      </w:r>
      <w:r w:rsidRPr="00983AE0" w:rsidDel="00D8534C">
        <w:t xml:space="preserve"> </w:t>
      </w:r>
      <w:r w:rsidRPr="00983AE0">
        <w:t>2022 se reporta un total de 412 asuntos ingresados, reflejando un aumento de 89 asuntos en periodo 2020 al 2022.</w:t>
      </w:r>
    </w:p>
    <w:p w14:paraId="30373B7D" w14:textId="7C779C5F" w:rsidR="00475029" w:rsidRPr="00983AE0" w:rsidRDefault="00CF0B02" w:rsidP="00983AE0">
      <w:pPr>
        <w:pStyle w:val="Prrafodelista"/>
        <w:numPr>
          <w:ilvl w:val="1"/>
          <w:numId w:val="27"/>
        </w:numPr>
        <w:tabs>
          <w:tab w:val="left" w:pos="851"/>
          <w:tab w:val="left" w:pos="1276"/>
        </w:tabs>
      </w:pPr>
      <w:r w:rsidRPr="00983AE0">
        <w:t>Referente al I Circuito Judicial de Guanacaste se logra determinar un aumento significativo en el 2022, de 270 asuntos respecto el 2021.</w:t>
      </w:r>
    </w:p>
    <w:p w14:paraId="128AA44D" w14:textId="79CC6FF1" w:rsidR="00C50CC0" w:rsidRPr="005149C4" w:rsidRDefault="00DE6F7E" w:rsidP="00983AE0">
      <w:pPr>
        <w:pStyle w:val="Prrafodelista"/>
        <w:numPr>
          <w:ilvl w:val="1"/>
          <w:numId w:val="27"/>
        </w:numPr>
        <w:tabs>
          <w:tab w:val="left" w:pos="851"/>
          <w:tab w:val="left" w:pos="1276"/>
        </w:tabs>
      </w:pPr>
      <w:r w:rsidRPr="005149C4">
        <w:t xml:space="preserve"> </w:t>
      </w:r>
      <w:r w:rsidR="003C1E30" w:rsidRPr="005149C4">
        <w:t>Al</w:t>
      </w:r>
      <w:r w:rsidR="002D74EB">
        <w:t xml:space="preserve"> </w:t>
      </w:r>
      <w:r w:rsidR="00D21244" w:rsidRPr="00983AE0">
        <w:t>comparar el promedio mensual de las entradas nuevas correspondiente al año 2021 (28 asuntos), con el promedio mensual de entradas obtenido para 2022 (28 asuntos) se obtiene que para el año 2022, se mantiene la cantidad de ingresos nuevos</w:t>
      </w:r>
      <w:r w:rsidR="00C15CAF" w:rsidRPr="005149C4">
        <w:t xml:space="preserve">. </w:t>
      </w:r>
    </w:p>
    <w:p w14:paraId="3B56DA26" w14:textId="16AA3510" w:rsidR="00A40436" w:rsidRPr="00983AE0" w:rsidRDefault="00DE6F7E" w:rsidP="00983AE0">
      <w:pPr>
        <w:pStyle w:val="Prrafodelista"/>
        <w:numPr>
          <w:ilvl w:val="1"/>
          <w:numId w:val="27"/>
        </w:numPr>
        <w:tabs>
          <w:tab w:val="left" w:pos="851"/>
          <w:tab w:val="left" w:pos="1276"/>
        </w:tabs>
      </w:pPr>
      <w:r w:rsidRPr="005149C4">
        <w:t xml:space="preserve"> </w:t>
      </w:r>
      <w:r w:rsidR="00C50CC0" w:rsidRPr="005149C4">
        <w:t xml:space="preserve">Para el año </w:t>
      </w:r>
      <w:r w:rsidR="00D21244" w:rsidRPr="00983AE0">
        <w:t>2022 se registra la mayor cantidad de terminados en el II Circuito Judicial de San José (52 casos). El segundo lugar corresponde al Circuito Judicial de Cartago, con 42 asuntos terminados en promedio por mes.  S</w:t>
      </w:r>
      <w:r w:rsidR="00D21244" w:rsidRPr="005149C4">
        <w:t xml:space="preserve">e cuenta con un promedio general de 29 causas finalizadas por mes para </w:t>
      </w:r>
      <w:r w:rsidR="00A40436" w:rsidRPr="00983AE0">
        <w:t>En el caso de del rubro “Persona imputada no se acoge al programa”, el porcentaje aumenta para el 2022, en este caso en 3% respecto al 2021, pero en este caso el rubro no depende directamente de las funciones propias de la oficina.</w:t>
      </w:r>
    </w:p>
    <w:p w14:paraId="36FF8122" w14:textId="13CE8E14" w:rsidR="00B8118E" w:rsidRPr="005149C4" w:rsidRDefault="00A40436" w:rsidP="00983AE0">
      <w:pPr>
        <w:pStyle w:val="Prrafodelista"/>
        <w:numPr>
          <w:ilvl w:val="1"/>
          <w:numId w:val="27"/>
        </w:numPr>
        <w:tabs>
          <w:tab w:val="left" w:pos="851"/>
          <w:tab w:val="left" w:pos="1276"/>
        </w:tabs>
      </w:pPr>
      <w:r w:rsidRPr="005149C4">
        <w:t xml:space="preserve">En el caso de del rubro “Persona imputada no se acoge al programa”, el porcentaje aumenta para el 2022, en este caso en 3% respecto al 2021, pero en este caso el rubro no depende directamente de las funciones propias de la oficina. </w:t>
      </w:r>
      <w:r w:rsidR="00E50926" w:rsidRPr="005149C4">
        <w:t>Por otra parte, las causas devueltas en virtud de que la persona imputada no se acogió al programa, ocurre una vez que la Defensa Pública, consulta al imputado su interés de participar en el proceso de Justicia Restaurativa, situación que únicamente se puede verificar, una vez iniciado el proceso de Justicia Restaurativa y se debe a la falta de interés de la persona ofensora.</w:t>
      </w:r>
    </w:p>
    <w:p w14:paraId="5B35CF80" w14:textId="4D827691" w:rsidR="00B8118E" w:rsidRPr="005149C4" w:rsidRDefault="00DE6F7E" w:rsidP="00983AE0">
      <w:pPr>
        <w:pStyle w:val="Prrafodelista"/>
        <w:numPr>
          <w:ilvl w:val="1"/>
          <w:numId w:val="27"/>
        </w:numPr>
        <w:tabs>
          <w:tab w:val="left" w:pos="851"/>
          <w:tab w:val="left" w:pos="1276"/>
        </w:tabs>
      </w:pPr>
      <w:r w:rsidRPr="005149C4">
        <w:t xml:space="preserve"> </w:t>
      </w:r>
      <w:r w:rsidR="00B8118E" w:rsidRPr="005149C4">
        <w:t xml:space="preserve">Se realiza el cálculo de la carga de trabajo real ingresada por Circuito Judicial, considerando la disminución del </w:t>
      </w:r>
      <w:r w:rsidR="0071070C" w:rsidRPr="005149C4">
        <w:t>4</w:t>
      </w:r>
      <w:r w:rsidR="00115C17" w:rsidRPr="005149C4">
        <w:t>0</w:t>
      </w:r>
      <w:r w:rsidR="00B8118E" w:rsidRPr="005149C4">
        <w:t xml:space="preserve">% registrado por concepto de devoluciones. Esta carga real corresponde a </w:t>
      </w:r>
      <w:r w:rsidR="00115C17" w:rsidRPr="005149C4">
        <w:t>17</w:t>
      </w:r>
      <w:r w:rsidR="00B8118E" w:rsidRPr="005149C4">
        <w:t xml:space="preserve"> asuntos en promedio por Circuito</w:t>
      </w:r>
      <w:r w:rsidR="0062530A" w:rsidRPr="005149C4">
        <w:t xml:space="preserve"> </w:t>
      </w:r>
      <w:r w:rsidR="00115C17" w:rsidRPr="005149C4">
        <w:t>Judicial</w:t>
      </w:r>
      <w:r w:rsidR="00B8118E" w:rsidRPr="005149C4">
        <w:t xml:space="preserve">. </w:t>
      </w:r>
    </w:p>
    <w:p w14:paraId="41D6DDEE" w14:textId="529DD6F7" w:rsidR="00EF2D54" w:rsidRPr="005149C4" w:rsidRDefault="00DE6F7E" w:rsidP="00983AE0">
      <w:pPr>
        <w:pStyle w:val="Prrafodelista"/>
        <w:numPr>
          <w:ilvl w:val="1"/>
          <w:numId w:val="27"/>
        </w:numPr>
        <w:tabs>
          <w:tab w:val="left" w:pos="851"/>
          <w:tab w:val="left" w:pos="1276"/>
        </w:tabs>
      </w:pPr>
      <w:r w:rsidRPr="005149C4">
        <w:t xml:space="preserve"> </w:t>
      </w:r>
      <w:r w:rsidR="00B8118E" w:rsidRPr="005149C4">
        <w:t xml:space="preserve">Conforme a valor económico estimado para el proceso de Justicia Restaurativa (¢343,122) y resolución de la causa mediante el proceso ordinario (¢2.505.403), según informe 2052-PLA-PP-2020 de la Dirección de Planificación, cada asunto terminado en Justicia </w:t>
      </w:r>
      <w:r w:rsidRPr="005149C4">
        <w:t>Restaurativa</w:t>
      </w:r>
      <w:r w:rsidR="00B8118E" w:rsidRPr="005149C4">
        <w:t xml:space="preserve"> le genera a la Institución un ahorro aproximado de ¢2.162.281, sea un 86% menos del monto en que se incurre, tramitando la causa por la vía ordinaria ((¢2.505.403)</w:t>
      </w:r>
      <w:r w:rsidR="00D853CE">
        <w:t>, por lo tanto es más económico para el país incrementar la entrada de casos al Programa de Justicia Restaurativa</w:t>
      </w:r>
    </w:p>
    <w:p w14:paraId="5415FC22" w14:textId="40593CB3" w:rsidR="000045CF" w:rsidRPr="005149C4" w:rsidRDefault="00DE6F7E" w:rsidP="00983AE0">
      <w:pPr>
        <w:pStyle w:val="Prrafodelista"/>
        <w:numPr>
          <w:ilvl w:val="1"/>
          <w:numId w:val="27"/>
        </w:numPr>
        <w:tabs>
          <w:tab w:val="left" w:pos="851"/>
          <w:tab w:val="left" w:pos="1276"/>
        </w:tabs>
      </w:pPr>
      <w:r w:rsidRPr="005149C4">
        <w:t xml:space="preserve"> </w:t>
      </w:r>
      <w:r w:rsidR="00EF2D54" w:rsidRPr="005149C4">
        <w:t>En materia Penal Juvenil, a nivel nacional el Ministerio Público y Defensa Pública, ya tienen destacados, profesionales especializados para la atención de la materia y en ese sentido, en conjunto con las juezas y jueces de la materia, ya conforman un equipo a cargo de la materia Penal Juvenil y que conforme al artículo 6 de la Ley de referencia, básicamente se requiere de equipos Psicosociales que trabajen en conjunto, con los equipos legales, par</w:t>
      </w:r>
      <w:r w:rsidR="00F101E0" w:rsidRPr="00F101E0">
        <w:t xml:space="preserve"> </w:t>
      </w:r>
      <w:r w:rsidR="00F101E0">
        <w:t>itinerantes para justicia restaurativa en ejecución de la pena, penal juvenil y del procedimiento de bienestar animal</w:t>
      </w:r>
      <w:r w:rsidR="00F101E0" w:rsidRPr="005149C4">
        <w:t xml:space="preserve"> </w:t>
      </w:r>
      <w:r w:rsidR="00EF2D54" w:rsidRPr="005149C4">
        <w:t>a aplicar la entrada en vigencia de la Ley de Justicia Restaurativa.</w:t>
      </w:r>
    </w:p>
    <w:p w14:paraId="106F4695" w14:textId="32FD82BF" w:rsidR="00C24714" w:rsidRPr="005149C4" w:rsidRDefault="00DE6F7E" w:rsidP="00983AE0">
      <w:pPr>
        <w:pStyle w:val="Prrafodelista"/>
        <w:numPr>
          <w:ilvl w:val="1"/>
          <w:numId w:val="27"/>
        </w:numPr>
        <w:tabs>
          <w:tab w:val="left" w:pos="851"/>
          <w:tab w:val="left" w:pos="1276"/>
        </w:tabs>
      </w:pPr>
      <w:r w:rsidRPr="005149C4">
        <w:t xml:space="preserve"> </w:t>
      </w:r>
      <w:r w:rsidR="00F42482" w:rsidRPr="005149C4">
        <w:t xml:space="preserve">En San José, </w:t>
      </w:r>
      <w:r w:rsidR="000045CF" w:rsidRPr="005149C4">
        <w:t xml:space="preserve">II Circuito Judicial de </w:t>
      </w:r>
      <w:r w:rsidR="00F42482" w:rsidRPr="005149C4">
        <w:t>Alajuela</w:t>
      </w:r>
      <w:r w:rsidR="000045CF" w:rsidRPr="005149C4">
        <w:t xml:space="preserve"> y II Circuito Judicial de Guanacaste se </w:t>
      </w:r>
      <w:r w:rsidR="00F42482" w:rsidRPr="005149C4">
        <w:t xml:space="preserve">cuenta con </w:t>
      </w:r>
      <w:r w:rsidR="000045CF" w:rsidRPr="005149C4">
        <w:t>profesionales en el ámbito</w:t>
      </w:r>
      <w:r w:rsidR="00F42482" w:rsidRPr="005149C4">
        <w:t xml:space="preserve"> Psicosocial que se dedican de manera exclusiva a la materia Penal Juvenil</w:t>
      </w:r>
      <w:r w:rsidR="000045CF" w:rsidRPr="005149C4">
        <w:t>.</w:t>
      </w:r>
    </w:p>
    <w:p w14:paraId="143F44B6" w14:textId="4C5395F6" w:rsidR="0034342A" w:rsidRPr="005149C4" w:rsidRDefault="00DE6F7E" w:rsidP="00983AE0">
      <w:pPr>
        <w:pStyle w:val="Prrafodelista"/>
        <w:numPr>
          <w:ilvl w:val="1"/>
          <w:numId w:val="27"/>
        </w:numPr>
        <w:tabs>
          <w:tab w:val="left" w:pos="851"/>
          <w:tab w:val="left" w:pos="1276"/>
        </w:tabs>
      </w:pPr>
      <w:r w:rsidRPr="005149C4">
        <w:t xml:space="preserve"> </w:t>
      </w:r>
      <w:r w:rsidR="00C24714" w:rsidRPr="005149C4">
        <w:t xml:space="preserve">Las reuniones restaurativas programadas para la materia Penal Juvenil </w:t>
      </w:r>
      <w:r w:rsidR="00C465D2" w:rsidRPr="005149C4">
        <w:t>para el año 202</w:t>
      </w:r>
      <w:r w:rsidR="0034342A" w:rsidRPr="005149C4">
        <w:t>1</w:t>
      </w:r>
      <w:r w:rsidR="00C24714" w:rsidRPr="005149C4">
        <w:t>, contaron con un porcentaje de realización general promedio de 7</w:t>
      </w:r>
      <w:r w:rsidR="0034342A" w:rsidRPr="005149C4">
        <w:t>6</w:t>
      </w:r>
      <w:r w:rsidR="00C24714" w:rsidRPr="005149C4">
        <w:t>% y un porcentaje promedio de no realización equivalente a un 2</w:t>
      </w:r>
      <w:r w:rsidR="0034342A" w:rsidRPr="005149C4">
        <w:t>4</w:t>
      </w:r>
      <w:r w:rsidR="00C24714" w:rsidRPr="005149C4">
        <w:t>%.</w:t>
      </w:r>
      <w:r w:rsidR="0034342A" w:rsidRPr="005149C4">
        <w:t xml:space="preserve"> </w:t>
      </w:r>
      <w:r w:rsidR="0034342A" w:rsidRPr="00983AE0">
        <w:t xml:space="preserve">Por otra parte, se identifica que la mayor cantidad de reuniones restaurativas fueron realizadas en San José, y que es importante indicar que en este caso se cuenta con una plaza de Trabajadora Social o Trabajador Social dedicada </w:t>
      </w:r>
      <w:r w:rsidR="0034342A" w:rsidRPr="005149C4">
        <w:t>de forma exclusiva a la atención de los asuntos en Penal Juvenil y que su cobertura corresponde a los tres Circuitos Judiciales de San José.</w:t>
      </w:r>
    </w:p>
    <w:p w14:paraId="48014D1B" w14:textId="0926DA93" w:rsidR="005149C4" w:rsidRPr="00983AE0" w:rsidRDefault="0034342A" w:rsidP="00983AE0">
      <w:pPr>
        <w:pStyle w:val="Prrafodelista"/>
        <w:numPr>
          <w:ilvl w:val="1"/>
          <w:numId w:val="27"/>
        </w:numPr>
        <w:tabs>
          <w:tab w:val="left" w:pos="851"/>
          <w:tab w:val="left" w:pos="1276"/>
        </w:tabs>
      </w:pPr>
      <w:r w:rsidRPr="005149C4">
        <w:t xml:space="preserve"> D</w:t>
      </w:r>
      <w:r w:rsidR="005149C4" w:rsidRPr="00983AE0">
        <w:t xml:space="preserve">el total de Reuniones Restaurativas realizadas durante el 2021, se presenta un promedio de 15 reuniones con acuerdo. </w:t>
      </w:r>
      <w:r w:rsidR="005149C4" w:rsidRPr="005149C4">
        <w:t>El establecimiento de este acuerdo en la Reunión Restaurativa implica que, al cumplirse las medidas acordadas (las cuales deben ser sujetas de verificación por parte del equipo psicosocial) se puede dar por terminado el proceso en materia Penal Juvenil.</w:t>
      </w:r>
    </w:p>
    <w:p w14:paraId="3A0912E6" w14:textId="0C4C926F" w:rsidR="005149C4" w:rsidRDefault="005149C4">
      <w:pPr>
        <w:pStyle w:val="Prrafodelista"/>
        <w:numPr>
          <w:ilvl w:val="1"/>
          <w:numId w:val="27"/>
        </w:numPr>
        <w:tabs>
          <w:tab w:val="left" w:pos="851"/>
          <w:tab w:val="left" w:pos="1276"/>
        </w:tabs>
      </w:pPr>
      <w:r w:rsidRPr="005149C4">
        <w:t xml:space="preserve">Respecto a las Audiencias de Verificación </w:t>
      </w:r>
      <w:r w:rsidRPr="00983AE0">
        <w:t>se realizaron 75 audiencias de verificación, siendo que el mayor número fue ejecutado por los equipos de San José.</w:t>
      </w:r>
    </w:p>
    <w:p w14:paraId="7B52A0BC" w14:textId="6CA2AAEC" w:rsidR="00D853CE" w:rsidRPr="00983AE0" w:rsidRDefault="00D853CE" w:rsidP="00983AE0">
      <w:pPr>
        <w:pStyle w:val="Prrafodelista"/>
        <w:numPr>
          <w:ilvl w:val="1"/>
          <w:numId w:val="27"/>
        </w:numPr>
        <w:tabs>
          <w:tab w:val="left" w:pos="851"/>
          <w:tab w:val="left" w:pos="1276"/>
        </w:tabs>
      </w:pPr>
      <w:r>
        <w:t>Según los datos de carga de trabajo comparativa del 2021 y 2022, el Programa de Justicia Restaurativa tiene la capacidad de poder seguir extendiéndose a nivel nacional con los recursos existentes mientras se logra obtener un recurso presupuestario adicional más robusto para un mejor servicio público.</w:t>
      </w:r>
    </w:p>
    <w:p w14:paraId="3AF6E999" w14:textId="0353D4CA" w:rsidR="00983AE0" w:rsidRDefault="00983AE0">
      <w:pPr>
        <w:spacing w:before="0" w:after="0" w:line="240" w:lineRule="auto"/>
        <w:jc w:val="left"/>
      </w:pPr>
      <w:r>
        <w:br w:type="page"/>
      </w:r>
    </w:p>
    <w:p w14:paraId="4216F704" w14:textId="77777777" w:rsidR="00BA30F6" w:rsidRPr="005149C4" w:rsidRDefault="00BA30F6" w:rsidP="009B2651">
      <w:pPr>
        <w:tabs>
          <w:tab w:val="left" w:pos="851"/>
          <w:tab w:val="left" w:pos="1276"/>
        </w:tabs>
        <w:spacing w:before="0" w:after="0" w:line="240" w:lineRule="auto"/>
        <w:ind w:right="618"/>
      </w:pPr>
    </w:p>
    <w:p w14:paraId="7B0E5F4F" w14:textId="25F27783" w:rsidR="0078226D" w:rsidRPr="005149C4" w:rsidRDefault="0078226D" w:rsidP="00AA10C8">
      <w:pPr>
        <w:pStyle w:val="Ttulo1"/>
      </w:pPr>
      <w:r w:rsidRPr="005149C4">
        <w:t>Recomendaciones</w:t>
      </w:r>
    </w:p>
    <w:p w14:paraId="2EB86C80" w14:textId="29B01480" w:rsidR="00AC320E" w:rsidRPr="005149C4" w:rsidRDefault="00AC320E" w:rsidP="0063499C">
      <w:pPr>
        <w:rPr>
          <w:rFonts w:eastAsia="Times New Roman" w:cs="Arial"/>
          <w:b/>
          <w:bCs/>
          <w:szCs w:val="24"/>
          <w:lang w:val="es-ES" w:eastAsia="es-ES"/>
        </w:rPr>
      </w:pPr>
      <w:r w:rsidRPr="005149C4">
        <w:rPr>
          <w:rFonts w:eastAsia="Times New Roman" w:cs="Arial"/>
          <w:b/>
          <w:bCs/>
          <w:szCs w:val="24"/>
          <w:lang w:val="es-ES" w:eastAsia="es-ES"/>
        </w:rPr>
        <w:t>A Corte Plena:</w:t>
      </w:r>
    </w:p>
    <w:p w14:paraId="7CB52C65" w14:textId="260A9658" w:rsidR="000E3E9D" w:rsidRDefault="00983AE0" w:rsidP="00F00A43">
      <w:pPr>
        <w:tabs>
          <w:tab w:val="left" w:pos="0"/>
        </w:tabs>
      </w:pPr>
      <w:r>
        <w:t xml:space="preserve">8.1 </w:t>
      </w:r>
      <w:r w:rsidR="005177EE">
        <w:t xml:space="preserve">Mantener </w:t>
      </w:r>
      <w:r w:rsidR="000E3E9D" w:rsidRPr="003A3963">
        <w:t xml:space="preserve">lo dispuesto en </w:t>
      </w:r>
      <w:r w:rsidR="00B70950" w:rsidRPr="00983AE0">
        <w:t xml:space="preserve">informe 201-PLA-RH-MI-2022, </w:t>
      </w:r>
      <w:r w:rsidR="002E1447">
        <w:t>conocido</w:t>
      </w:r>
      <w:r w:rsidR="00B70950" w:rsidRPr="00983AE0">
        <w:t xml:space="preserve"> por parte del Consejo Superior en sesión extraordinaria 29-2022 celebrada el 1 de abril de 2022, artículo XVIII </w:t>
      </w:r>
      <w:r w:rsidR="002D74EB" w:rsidRPr="00983AE0">
        <w:t>y aprobado</w:t>
      </w:r>
      <w:r w:rsidR="00B70950" w:rsidRPr="00983AE0">
        <w:t xml:space="preserve"> por Corte Plena en sesión 27-2022 del 01 de junio del 2022, artículo II</w:t>
      </w:r>
      <w:r w:rsidR="00AA10C8">
        <w:t xml:space="preserve"> </w:t>
      </w:r>
      <w:r w:rsidR="00AA10C8" w:rsidRPr="000E22E8">
        <w:t>(Ver apéndice 12)</w:t>
      </w:r>
      <w:r w:rsidR="00AA10C8">
        <w:t>,</w:t>
      </w:r>
      <w:r w:rsidR="00B70950" w:rsidRPr="00983AE0">
        <w:t xml:space="preserve"> </w:t>
      </w:r>
      <w:r w:rsidR="00AA10C8">
        <w:t>r</w:t>
      </w:r>
      <w:r w:rsidR="00B70950" w:rsidRPr="00983AE0">
        <w:t xml:space="preserve">elacionado con Impacto organizacional y presupuestario en el Poder Judicial, a partir de la promulgación de la Ley 9582 Justicia Restaurativa. </w:t>
      </w:r>
      <w:r w:rsidR="00AA10C8">
        <w:t xml:space="preserve"> En donde literalmente se indica: </w:t>
      </w:r>
    </w:p>
    <w:p w14:paraId="3214BB4A" w14:textId="5B67FEAE" w:rsidR="000E3E9D" w:rsidRPr="00983AE0" w:rsidRDefault="003A3963" w:rsidP="00F00A43">
      <w:pPr>
        <w:tabs>
          <w:tab w:val="left" w:pos="0"/>
        </w:tabs>
        <w:rPr>
          <w:i/>
          <w:iCs/>
        </w:rPr>
      </w:pPr>
      <w:r w:rsidRPr="00D853CE">
        <w:rPr>
          <w:rStyle w:val="html"/>
          <w:b/>
          <w:bCs/>
          <w:i/>
          <w:iCs/>
        </w:rPr>
        <w:t>“</w:t>
      </w:r>
      <w:r w:rsidRPr="00983AE0">
        <w:rPr>
          <w:rStyle w:val="html"/>
          <w:b/>
          <w:bCs/>
          <w:i/>
          <w:iCs/>
        </w:rPr>
        <w:t>Se acordó: 1)</w:t>
      </w:r>
      <w:r w:rsidRPr="00983AE0">
        <w:rPr>
          <w:rStyle w:val="html"/>
          <w:i/>
          <w:iCs/>
        </w:rPr>
        <w:t xml:space="preserve"> Aprobar el escenario 1 propuesto</w:t>
      </w:r>
      <w:r w:rsidRPr="00983AE0">
        <w:rPr>
          <w:rStyle w:val="html"/>
          <w:b/>
          <w:bCs/>
          <w:i/>
          <w:iCs/>
        </w:rPr>
        <w:t xml:space="preserve"> </w:t>
      </w:r>
      <w:r w:rsidRPr="00983AE0">
        <w:rPr>
          <w:rStyle w:val="html"/>
          <w:i/>
          <w:iCs/>
        </w:rPr>
        <w:t xml:space="preserve">en el informe </w:t>
      </w:r>
      <w:r w:rsidRPr="00983AE0">
        <w:rPr>
          <w:rStyle w:val="html"/>
          <w:i/>
          <w:iCs/>
          <w:shd w:val="clear" w:color="auto" w:fill="FFFFFF"/>
        </w:rPr>
        <w:t xml:space="preserve">201-PLA-MI-RH-2022, </w:t>
      </w:r>
      <w:r w:rsidRPr="00983AE0">
        <w:rPr>
          <w:rStyle w:val="html"/>
          <w:i/>
          <w:iCs/>
        </w:rPr>
        <w:t>relacionado con el impacto organizacional y presupuestario en el Poder Judicial a partir de la promulgación de la Ley 9582 Justicia Restaurativa, con la finalidad de con los recursos internos, seguir impulsando el Programa</w:t>
      </w:r>
      <w:r w:rsidR="00246644" w:rsidRPr="00983AE0">
        <w:rPr>
          <w:rStyle w:val="html"/>
          <w:i/>
          <w:iCs/>
        </w:rPr>
        <w:t>.</w:t>
      </w:r>
      <w:r w:rsidR="00246644" w:rsidRPr="00983AE0">
        <w:rPr>
          <w:rStyle w:val="html"/>
          <w:i/>
        </w:rPr>
        <w:t xml:space="preserve"> </w:t>
      </w:r>
      <w:r w:rsidR="00246644" w:rsidRPr="00983AE0">
        <w:rPr>
          <w:rStyle w:val="html"/>
          <w:i/>
          <w:iCs/>
        </w:rPr>
        <w:t>2) Comunicar a Corte Plena este informe para hacer de su conocimiento las necesidades en materia de Justicia Restaurativa y solicitarle su valoración del escenario 4 propuesto para remitir estos requerimientos al Ministerio de Hacienda, tal y como se ha realizado en procesos presupuestarios anteriores.</w:t>
      </w:r>
      <w:r w:rsidRPr="00983AE0">
        <w:rPr>
          <w:rStyle w:val="html"/>
          <w:i/>
          <w:iCs/>
        </w:rPr>
        <w:t>)”</w:t>
      </w:r>
    </w:p>
    <w:p w14:paraId="2DF54582" w14:textId="6630ADF8" w:rsidR="00246644" w:rsidRPr="005149C4" w:rsidRDefault="00246644" w:rsidP="00246644">
      <w:pPr>
        <w:tabs>
          <w:tab w:val="left" w:pos="0"/>
        </w:tabs>
      </w:pPr>
      <w:r w:rsidRPr="005149C4">
        <w:t>A continuación, se muestra el listado de los recursos destinados para completar equipos existentes y conformar equipos en los Circuitos Judiciales donde no se cuenta con un equipo interdisciplinario:</w:t>
      </w:r>
    </w:p>
    <w:p w14:paraId="3578507D" w14:textId="030D66D6" w:rsidR="00246644" w:rsidRPr="005149C4" w:rsidRDefault="00246644" w:rsidP="00246644">
      <w:pPr>
        <w:spacing w:before="0" w:after="0"/>
        <w:ind w:left="567" w:right="616"/>
        <w:jc w:val="center"/>
        <w:rPr>
          <w:rFonts w:eastAsia="Times New Roman"/>
          <w:b/>
          <w:bCs/>
          <w:sz w:val="20"/>
          <w:szCs w:val="20"/>
          <w:lang w:eastAsia="es-ES"/>
        </w:rPr>
      </w:pPr>
      <w:r w:rsidRPr="005149C4">
        <w:rPr>
          <w:rFonts w:eastAsia="Times New Roman"/>
          <w:b/>
          <w:bCs/>
          <w:sz w:val="20"/>
          <w:szCs w:val="20"/>
          <w:lang w:eastAsia="es-ES"/>
        </w:rPr>
        <w:t xml:space="preserve">Cuadro </w:t>
      </w:r>
      <w:r w:rsidR="002E1447">
        <w:rPr>
          <w:rFonts w:eastAsia="Times New Roman"/>
          <w:b/>
          <w:bCs/>
          <w:sz w:val="20"/>
          <w:szCs w:val="20"/>
          <w:lang w:eastAsia="es-ES"/>
        </w:rPr>
        <w:t>22</w:t>
      </w:r>
      <w:r w:rsidRPr="005149C4">
        <w:rPr>
          <w:rFonts w:eastAsia="Times New Roman"/>
          <w:b/>
          <w:bCs/>
          <w:sz w:val="20"/>
          <w:szCs w:val="20"/>
          <w:lang w:eastAsia="es-ES"/>
        </w:rPr>
        <w:t xml:space="preserve">. Requerimiento Humano con base en la propuesta enviada por la Oficina Rectora de Justicia Restaurativa para el año 2024 al excluir los equipos especializados en </w:t>
      </w:r>
      <w:r w:rsidRPr="005149C4">
        <w:rPr>
          <w:rFonts w:eastAsia="Times New Roman"/>
          <w:b/>
          <w:bCs/>
          <w:color w:val="000000" w:themeColor="text1"/>
          <w:sz w:val="20"/>
          <w:szCs w:val="20"/>
          <w:lang w:eastAsia="es-ES"/>
        </w:rPr>
        <w:t>Materia Contravencional, Ejecución de la Pena y Penal Juvenil</w:t>
      </w:r>
      <w:r w:rsidR="00BB6EA2">
        <w:rPr>
          <w:rFonts w:eastAsia="Times New Roman"/>
          <w:b/>
          <w:bCs/>
          <w:color w:val="000000" w:themeColor="text1"/>
          <w:sz w:val="20"/>
          <w:szCs w:val="20"/>
          <w:lang w:eastAsia="es-ES"/>
        </w:rPr>
        <w:t>.</w:t>
      </w:r>
    </w:p>
    <w:tbl>
      <w:tblPr>
        <w:tblW w:w="6923" w:type="dxa"/>
        <w:jc w:val="center"/>
        <w:tblCellMar>
          <w:left w:w="70" w:type="dxa"/>
          <w:right w:w="70" w:type="dxa"/>
        </w:tblCellMar>
        <w:tblLook w:val="04A0" w:firstRow="1" w:lastRow="0" w:firstColumn="1" w:lastColumn="0" w:noHBand="0" w:noVBand="1"/>
      </w:tblPr>
      <w:tblGrid>
        <w:gridCol w:w="2160"/>
        <w:gridCol w:w="1720"/>
        <w:gridCol w:w="3043"/>
      </w:tblGrid>
      <w:tr w:rsidR="00246644" w:rsidRPr="005149C4" w14:paraId="265E2F4F" w14:textId="77777777" w:rsidTr="00B857FA">
        <w:trPr>
          <w:trHeight w:val="295"/>
          <w:jc w:val="center"/>
        </w:trPr>
        <w:tc>
          <w:tcPr>
            <w:tcW w:w="2160" w:type="dxa"/>
            <w:tcBorders>
              <w:top w:val="double" w:sz="6" w:space="0" w:color="1F4E78"/>
              <w:left w:val="double" w:sz="6" w:space="0" w:color="1F4E78"/>
              <w:bottom w:val="double" w:sz="6" w:space="0" w:color="1F4E78"/>
              <w:right w:val="nil"/>
            </w:tcBorders>
            <w:shd w:val="clear" w:color="000000" w:fill="B4C6E7"/>
            <w:vAlign w:val="center"/>
            <w:hideMark/>
          </w:tcPr>
          <w:p w14:paraId="63B49117"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Oficina</w:t>
            </w:r>
          </w:p>
        </w:tc>
        <w:tc>
          <w:tcPr>
            <w:tcW w:w="1720"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212F1CB6"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Cantidad</w:t>
            </w:r>
          </w:p>
        </w:tc>
        <w:tc>
          <w:tcPr>
            <w:tcW w:w="3043" w:type="dxa"/>
            <w:tcBorders>
              <w:top w:val="double" w:sz="6" w:space="0" w:color="1F4E78"/>
              <w:left w:val="nil"/>
              <w:bottom w:val="double" w:sz="6" w:space="0" w:color="1F4E78"/>
              <w:right w:val="double" w:sz="6" w:space="0" w:color="1F4E78"/>
            </w:tcBorders>
            <w:shd w:val="clear" w:color="000000" w:fill="B4C6E7"/>
            <w:vAlign w:val="center"/>
            <w:hideMark/>
          </w:tcPr>
          <w:p w14:paraId="276D478A"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Tipo de plaza</w:t>
            </w:r>
          </w:p>
        </w:tc>
      </w:tr>
      <w:tr w:rsidR="00246644" w:rsidRPr="005149C4" w14:paraId="4747C757" w14:textId="77777777" w:rsidTr="00B857FA">
        <w:trPr>
          <w:trHeight w:val="320"/>
          <w:jc w:val="center"/>
        </w:trPr>
        <w:tc>
          <w:tcPr>
            <w:tcW w:w="2160" w:type="dxa"/>
            <w:vMerge w:val="restart"/>
            <w:tcBorders>
              <w:top w:val="nil"/>
              <w:left w:val="double" w:sz="6" w:space="0" w:color="1F4E78"/>
              <w:bottom w:val="nil"/>
              <w:right w:val="double" w:sz="6" w:space="0" w:color="1F4E78"/>
            </w:tcBorders>
            <w:shd w:val="clear" w:color="auto" w:fill="auto"/>
            <w:vAlign w:val="center"/>
            <w:hideMark/>
          </w:tcPr>
          <w:p w14:paraId="0649A9B1" w14:textId="77777777" w:rsidR="00246644" w:rsidRPr="00C4734A" w:rsidRDefault="00246644" w:rsidP="00B857FA">
            <w:pPr>
              <w:spacing w:before="0" w:after="0" w:line="240" w:lineRule="auto"/>
              <w:jc w:val="center"/>
              <w:rPr>
                <w:rFonts w:eastAsia="Times New Roman" w:cs="Calibri"/>
                <w:b/>
                <w:bCs/>
                <w:color w:val="000000"/>
                <w:sz w:val="16"/>
                <w:szCs w:val="16"/>
                <w:lang w:eastAsia="es-CR"/>
              </w:rPr>
            </w:pPr>
            <w:r w:rsidRPr="00C4734A">
              <w:rPr>
                <w:rFonts w:eastAsia="Times New Roman" w:cs="Calibri"/>
                <w:b/>
                <w:bCs/>
                <w:color w:val="000000"/>
                <w:sz w:val="16"/>
                <w:szCs w:val="16"/>
                <w:lang w:eastAsia="es-CR"/>
              </w:rPr>
              <w:t>I, II y III Circuito Judicial de San José</w:t>
            </w:r>
          </w:p>
        </w:tc>
        <w:tc>
          <w:tcPr>
            <w:tcW w:w="1720" w:type="dxa"/>
            <w:tcBorders>
              <w:top w:val="nil"/>
              <w:left w:val="nil"/>
              <w:bottom w:val="single" w:sz="4" w:space="0" w:color="1F4E78"/>
              <w:right w:val="double" w:sz="6" w:space="0" w:color="1F4E78"/>
            </w:tcBorders>
            <w:shd w:val="clear" w:color="auto" w:fill="auto"/>
            <w:vAlign w:val="center"/>
            <w:hideMark/>
          </w:tcPr>
          <w:p w14:paraId="52FFA36C" w14:textId="77777777" w:rsidR="00246644" w:rsidRPr="00C4734A" w:rsidRDefault="00246644" w:rsidP="00B857FA">
            <w:pPr>
              <w:spacing w:before="0" w:after="0" w:line="240" w:lineRule="auto"/>
              <w:jc w:val="center"/>
              <w:rPr>
                <w:rFonts w:eastAsia="Times New Roman" w:cs="Calibri"/>
                <w:b/>
                <w:bCs/>
                <w:color w:val="000000"/>
                <w:sz w:val="16"/>
                <w:szCs w:val="16"/>
                <w:lang w:eastAsia="es-CR"/>
              </w:rPr>
            </w:pPr>
            <w:r w:rsidRPr="00C4734A">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342D41F3" w14:textId="77777777" w:rsidR="00246644" w:rsidRPr="00C4734A" w:rsidRDefault="00246644" w:rsidP="00B857FA">
            <w:pPr>
              <w:spacing w:before="0" w:after="0" w:line="240" w:lineRule="auto"/>
              <w:jc w:val="center"/>
              <w:rPr>
                <w:rFonts w:eastAsia="Times New Roman" w:cs="Calibri"/>
                <w:sz w:val="16"/>
                <w:szCs w:val="16"/>
                <w:lang w:eastAsia="es-CR"/>
              </w:rPr>
            </w:pPr>
            <w:r w:rsidRPr="00C4734A">
              <w:rPr>
                <w:rFonts w:eastAsia="Times New Roman" w:cs="Calibri"/>
                <w:sz w:val="16"/>
                <w:szCs w:val="16"/>
                <w:lang w:eastAsia="es-CR"/>
              </w:rPr>
              <w:t>Profesional 2 (Trabajador Social)</w:t>
            </w:r>
          </w:p>
        </w:tc>
      </w:tr>
      <w:tr w:rsidR="00246644" w:rsidRPr="005149C4" w14:paraId="5834C341" w14:textId="77777777" w:rsidTr="00B857FA">
        <w:trPr>
          <w:trHeight w:val="310"/>
          <w:jc w:val="center"/>
        </w:trPr>
        <w:tc>
          <w:tcPr>
            <w:tcW w:w="2160" w:type="dxa"/>
            <w:vMerge/>
            <w:tcBorders>
              <w:top w:val="nil"/>
              <w:left w:val="double" w:sz="6" w:space="0" w:color="1F4E78"/>
              <w:bottom w:val="nil"/>
              <w:right w:val="double" w:sz="6" w:space="0" w:color="1F4E78"/>
            </w:tcBorders>
            <w:vAlign w:val="center"/>
            <w:hideMark/>
          </w:tcPr>
          <w:p w14:paraId="27B73A0F" w14:textId="77777777" w:rsidR="00246644" w:rsidRPr="00C4734A"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3B3B290A" w14:textId="77777777" w:rsidR="00246644" w:rsidRPr="00C4734A" w:rsidRDefault="00246644" w:rsidP="00B857FA">
            <w:pPr>
              <w:spacing w:before="0" w:after="0" w:line="240" w:lineRule="auto"/>
              <w:jc w:val="center"/>
              <w:rPr>
                <w:rFonts w:eastAsia="Times New Roman" w:cs="Calibri"/>
                <w:b/>
                <w:bCs/>
                <w:color w:val="000000"/>
                <w:sz w:val="16"/>
                <w:szCs w:val="16"/>
                <w:lang w:eastAsia="es-CR"/>
              </w:rPr>
            </w:pPr>
            <w:r w:rsidRPr="00C4734A">
              <w:rPr>
                <w:rFonts w:eastAsia="Times New Roman" w:cs="Calibri"/>
                <w:b/>
                <w:bCs/>
                <w:color w:val="000000"/>
                <w:sz w:val="16"/>
                <w:szCs w:val="16"/>
                <w:lang w:eastAsia="es-CR"/>
              </w:rPr>
              <w:t>2</w:t>
            </w:r>
          </w:p>
        </w:tc>
        <w:tc>
          <w:tcPr>
            <w:tcW w:w="3043" w:type="dxa"/>
            <w:tcBorders>
              <w:top w:val="nil"/>
              <w:left w:val="nil"/>
              <w:bottom w:val="double" w:sz="6" w:space="0" w:color="1F4E78"/>
              <w:right w:val="double" w:sz="6" w:space="0" w:color="1F4E78"/>
            </w:tcBorders>
            <w:shd w:val="clear" w:color="auto" w:fill="auto"/>
            <w:vAlign w:val="center"/>
            <w:hideMark/>
          </w:tcPr>
          <w:p w14:paraId="67A24B6F" w14:textId="77777777" w:rsidR="00246644" w:rsidRPr="00C4734A" w:rsidRDefault="00246644" w:rsidP="00B857FA">
            <w:pPr>
              <w:spacing w:before="0" w:after="0" w:line="240" w:lineRule="auto"/>
              <w:jc w:val="center"/>
              <w:rPr>
                <w:rFonts w:eastAsia="Times New Roman" w:cs="Calibri"/>
                <w:sz w:val="16"/>
                <w:szCs w:val="16"/>
                <w:lang w:eastAsia="es-CR"/>
              </w:rPr>
            </w:pPr>
            <w:r w:rsidRPr="00C4734A">
              <w:rPr>
                <w:rFonts w:eastAsia="Times New Roman" w:cs="Calibri"/>
                <w:sz w:val="16"/>
                <w:szCs w:val="16"/>
                <w:lang w:eastAsia="es-CR"/>
              </w:rPr>
              <w:t>Técnico o Técnica Judicial 2</w:t>
            </w:r>
          </w:p>
        </w:tc>
      </w:tr>
      <w:tr w:rsidR="00246644" w:rsidRPr="005149C4" w14:paraId="10CCBDB7" w14:textId="77777777" w:rsidTr="00B857FA">
        <w:trPr>
          <w:trHeight w:val="230"/>
          <w:jc w:val="center"/>
        </w:trPr>
        <w:tc>
          <w:tcPr>
            <w:tcW w:w="216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7B337DF6" w14:textId="77777777" w:rsidR="00246644" w:rsidRPr="00C4734A" w:rsidRDefault="00246644" w:rsidP="00B857FA">
            <w:pPr>
              <w:spacing w:before="0" w:after="0" w:line="240" w:lineRule="auto"/>
              <w:jc w:val="center"/>
              <w:rPr>
                <w:rFonts w:eastAsia="Times New Roman" w:cs="Calibri"/>
                <w:b/>
                <w:bCs/>
                <w:color w:val="000000"/>
                <w:sz w:val="16"/>
                <w:szCs w:val="16"/>
                <w:lang w:eastAsia="es-CR"/>
              </w:rPr>
            </w:pPr>
            <w:r w:rsidRPr="00C4734A">
              <w:rPr>
                <w:rFonts w:eastAsia="Times New Roman" w:cs="Calibri"/>
                <w:b/>
                <w:bCs/>
                <w:color w:val="000000"/>
                <w:sz w:val="16"/>
                <w:szCs w:val="16"/>
                <w:lang w:eastAsia="es-CR"/>
              </w:rPr>
              <w:t>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01742F0C" w14:textId="77777777" w:rsidR="00246644" w:rsidRPr="00C4734A" w:rsidRDefault="00246644" w:rsidP="00B857FA">
            <w:pPr>
              <w:spacing w:before="0" w:after="0" w:line="240" w:lineRule="auto"/>
              <w:jc w:val="center"/>
              <w:rPr>
                <w:rFonts w:eastAsia="Times New Roman" w:cs="Calibri"/>
                <w:b/>
                <w:bCs/>
                <w:color w:val="000000"/>
                <w:sz w:val="16"/>
                <w:szCs w:val="16"/>
                <w:lang w:eastAsia="es-CR"/>
              </w:rPr>
            </w:pPr>
            <w:r w:rsidRPr="00C4734A">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13D8964" w14:textId="77777777" w:rsidR="00246644" w:rsidRPr="00C4734A" w:rsidRDefault="00246644" w:rsidP="00B857FA">
            <w:pPr>
              <w:spacing w:before="0" w:after="0" w:line="240" w:lineRule="auto"/>
              <w:jc w:val="center"/>
              <w:rPr>
                <w:rFonts w:eastAsia="Times New Roman" w:cs="Calibri"/>
                <w:sz w:val="16"/>
                <w:szCs w:val="16"/>
                <w:lang w:eastAsia="es-CR"/>
              </w:rPr>
            </w:pPr>
            <w:r w:rsidRPr="00C4734A">
              <w:rPr>
                <w:rFonts w:eastAsia="Times New Roman" w:cs="Calibri"/>
                <w:sz w:val="16"/>
                <w:szCs w:val="16"/>
                <w:lang w:eastAsia="es-CR"/>
              </w:rPr>
              <w:t>Profesional 2 (Psicólogo)</w:t>
            </w:r>
          </w:p>
        </w:tc>
      </w:tr>
      <w:tr w:rsidR="00246644" w:rsidRPr="005149C4" w14:paraId="14ED0DF0" w14:textId="77777777" w:rsidTr="00B857FA">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1996C224"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7A29C72"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4589230"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Fiscala o Fiscal Auxiliar</w:t>
            </w:r>
          </w:p>
        </w:tc>
      </w:tr>
      <w:tr w:rsidR="00246644" w:rsidRPr="005149C4" w14:paraId="043FCC81" w14:textId="77777777" w:rsidTr="00B857FA">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653C6323"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8B42355"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1BC6A1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4C3815E4" w14:textId="77777777" w:rsidTr="00B857FA">
        <w:trPr>
          <w:trHeight w:val="23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1E952EE8"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5C353D0A"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0173A2C5"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3C9A88F9" w14:textId="77777777" w:rsidTr="00B857FA">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EAC99C2"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5E9362D1"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5742E6BB"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(Psicólogo)</w:t>
            </w:r>
          </w:p>
        </w:tc>
      </w:tr>
      <w:tr w:rsidR="00246644" w:rsidRPr="005149C4" w14:paraId="4E63FA4B" w14:textId="77777777" w:rsidTr="00B857FA">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0F8587A9"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10B211A6"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A5BCA13"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0758B690" w14:textId="77777777" w:rsidTr="00B857FA">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6C85DC58"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666318A6"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2B57BBD"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Fiscala o Fiscal Auxiliar</w:t>
            </w:r>
          </w:p>
        </w:tc>
      </w:tr>
      <w:tr w:rsidR="00246644" w:rsidRPr="005149C4" w14:paraId="7D1B3C65" w14:textId="77777777" w:rsidTr="00B857FA">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71606EEE"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1B8C8F46"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7A612D7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7759111A" w14:textId="77777777" w:rsidTr="00B857FA">
        <w:trPr>
          <w:trHeight w:val="30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8E8F83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3C8608E7"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7D1059FC"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(Psicólogo)</w:t>
            </w:r>
          </w:p>
        </w:tc>
      </w:tr>
      <w:tr w:rsidR="00246644" w:rsidRPr="005149C4" w14:paraId="2E83ADE8" w14:textId="77777777" w:rsidTr="00B857FA">
        <w:trPr>
          <w:trHeight w:val="300"/>
          <w:jc w:val="center"/>
        </w:trPr>
        <w:tc>
          <w:tcPr>
            <w:tcW w:w="2160" w:type="dxa"/>
            <w:vMerge/>
            <w:tcBorders>
              <w:top w:val="nil"/>
              <w:left w:val="double" w:sz="6" w:space="0" w:color="1F4E78"/>
              <w:bottom w:val="double" w:sz="6" w:space="0" w:color="1F4E78"/>
              <w:right w:val="double" w:sz="6" w:space="0" w:color="1F4E78"/>
            </w:tcBorders>
            <w:vAlign w:val="center"/>
            <w:hideMark/>
          </w:tcPr>
          <w:p w14:paraId="2EF21CB0"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19436AB9"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A620C6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15D632E0" w14:textId="77777777" w:rsidTr="00B857FA">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0CB35DDF"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824FD84"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E1E9210"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Fiscala o Fiscal Auxiliar</w:t>
            </w:r>
          </w:p>
        </w:tc>
      </w:tr>
      <w:tr w:rsidR="00246644" w:rsidRPr="005149C4" w14:paraId="7D48E0DC" w14:textId="77777777" w:rsidTr="00B857FA">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56A84A7"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726FED3B"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4AECE638"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3A41CF90" w14:textId="77777777" w:rsidTr="00B857FA">
        <w:trPr>
          <w:trHeight w:val="28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FE7550D"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Cartago</w:t>
            </w:r>
          </w:p>
        </w:tc>
        <w:tc>
          <w:tcPr>
            <w:tcW w:w="1720" w:type="dxa"/>
            <w:tcBorders>
              <w:top w:val="nil"/>
              <w:left w:val="nil"/>
              <w:bottom w:val="single" w:sz="4" w:space="0" w:color="1F4E78"/>
              <w:right w:val="double" w:sz="6" w:space="0" w:color="1F4E78"/>
            </w:tcBorders>
            <w:shd w:val="clear" w:color="auto" w:fill="auto"/>
            <w:vAlign w:val="center"/>
            <w:hideMark/>
          </w:tcPr>
          <w:p w14:paraId="18B6BAC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3527284D"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(Trabajador Social)</w:t>
            </w:r>
          </w:p>
        </w:tc>
      </w:tr>
      <w:tr w:rsidR="00246644" w:rsidRPr="005149C4" w14:paraId="55295966" w14:textId="77777777" w:rsidTr="00B857FA">
        <w:trPr>
          <w:trHeight w:val="280"/>
          <w:jc w:val="center"/>
        </w:trPr>
        <w:tc>
          <w:tcPr>
            <w:tcW w:w="2160" w:type="dxa"/>
            <w:vMerge/>
            <w:tcBorders>
              <w:top w:val="nil"/>
              <w:left w:val="double" w:sz="6" w:space="0" w:color="1F4E78"/>
              <w:bottom w:val="double" w:sz="6" w:space="0" w:color="1F4E78"/>
              <w:right w:val="double" w:sz="6" w:space="0" w:color="1F4E78"/>
            </w:tcBorders>
            <w:vAlign w:val="center"/>
            <w:hideMark/>
          </w:tcPr>
          <w:p w14:paraId="09C4ACFE"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592D5268"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3ABF3A38"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7AF92887" w14:textId="77777777" w:rsidTr="00B857FA">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2E577CD7"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Heredia</w:t>
            </w:r>
          </w:p>
        </w:tc>
        <w:tc>
          <w:tcPr>
            <w:tcW w:w="1720" w:type="dxa"/>
            <w:tcBorders>
              <w:top w:val="nil"/>
              <w:left w:val="nil"/>
              <w:bottom w:val="single" w:sz="4" w:space="0" w:color="1F4E78"/>
              <w:right w:val="double" w:sz="6" w:space="0" w:color="1F4E78"/>
            </w:tcBorders>
            <w:shd w:val="clear" w:color="auto" w:fill="auto"/>
            <w:vAlign w:val="center"/>
            <w:hideMark/>
          </w:tcPr>
          <w:p w14:paraId="6D5D1553"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7080D76"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(Psicólogo)</w:t>
            </w:r>
          </w:p>
        </w:tc>
      </w:tr>
      <w:tr w:rsidR="00246644" w:rsidRPr="005149C4" w14:paraId="01D4EE45" w14:textId="77777777" w:rsidTr="00B857FA">
        <w:trPr>
          <w:trHeight w:val="230"/>
          <w:jc w:val="center"/>
        </w:trPr>
        <w:tc>
          <w:tcPr>
            <w:tcW w:w="2160" w:type="dxa"/>
            <w:vMerge/>
            <w:tcBorders>
              <w:top w:val="nil"/>
              <w:left w:val="double" w:sz="6" w:space="0" w:color="1F4E78"/>
              <w:bottom w:val="double" w:sz="6" w:space="0" w:color="1F4E78"/>
              <w:right w:val="double" w:sz="6" w:space="0" w:color="1F4E78"/>
            </w:tcBorders>
            <w:vAlign w:val="center"/>
            <w:hideMark/>
          </w:tcPr>
          <w:p w14:paraId="4394B9E1"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3BABC9E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486C67BF"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56D92BCA" w14:textId="77777777" w:rsidTr="00B857FA">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0C58569"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149BFDC4"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3F6312E8"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(Psicólogo)</w:t>
            </w:r>
          </w:p>
        </w:tc>
      </w:tr>
      <w:tr w:rsidR="00246644" w:rsidRPr="005149C4" w14:paraId="26EBC22A"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471D898"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7E8F34DA"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56EB9624"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2AA6FB62" w14:textId="77777777" w:rsidTr="00B857FA">
        <w:trPr>
          <w:trHeight w:val="460"/>
          <w:jc w:val="center"/>
        </w:trPr>
        <w:tc>
          <w:tcPr>
            <w:tcW w:w="2160" w:type="dxa"/>
            <w:vMerge/>
            <w:tcBorders>
              <w:top w:val="nil"/>
              <w:left w:val="double" w:sz="6" w:space="0" w:color="1F4E78"/>
              <w:bottom w:val="double" w:sz="6" w:space="0" w:color="203764"/>
              <w:right w:val="double" w:sz="6" w:space="0" w:color="1F4E78"/>
            </w:tcBorders>
            <w:vAlign w:val="center"/>
            <w:hideMark/>
          </w:tcPr>
          <w:p w14:paraId="3D848BFE"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20FB54BC"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64EE7262"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1BCCB211" w14:textId="77777777" w:rsidTr="00B857FA">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306BA03"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141AF603"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95C7A4C"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(Psicólogo)</w:t>
            </w:r>
          </w:p>
        </w:tc>
      </w:tr>
      <w:tr w:rsidR="00246644" w:rsidRPr="005149C4" w14:paraId="06315D37" w14:textId="77777777" w:rsidTr="00B857FA">
        <w:trPr>
          <w:trHeight w:val="500"/>
          <w:jc w:val="center"/>
        </w:trPr>
        <w:tc>
          <w:tcPr>
            <w:tcW w:w="2160" w:type="dxa"/>
            <w:vMerge/>
            <w:tcBorders>
              <w:top w:val="nil"/>
              <w:left w:val="double" w:sz="6" w:space="0" w:color="1F4E78"/>
              <w:bottom w:val="double" w:sz="6" w:space="0" w:color="203764"/>
              <w:right w:val="double" w:sz="6" w:space="0" w:color="1F4E78"/>
            </w:tcBorders>
            <w:vAlign w:val="center"/>
            <w:hideMark/>
          </w:tcPr>
          <w:p w14:paraId="16D804B4"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78392EA6"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44BF9E86"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539D6915" w14:textId="77777777" w:rsidTr="00B857FA">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2ED1B4FD"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3E19159E"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35F21B8"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(Trabajador Social)</w:t>
            </w:r>
          </w:p>
        </w:tc>
      </w:tr>
      <w:tr w:rsidR="00246644" w:rsidRPr="005149C4" w14:paraId="79B6449D" w14:textId="77777777" w:rsidTr="00B857FA">
        <w:trPr>
          <w:trHeight w:val="380"/>
          <w:jc w:val="center"/>
        </w:trPr>
        <w:tc>
          <w:tcPr>
            <w:tcW w:w="2160" w:type="dxa"/>
            <w:vMerge/>
            <w:tcBorders>
              <w:top w:val="nil"/>
              <w:left w:val="double" w:sz="6" w:space="0" w:color="1F4E78"/>
              <w:bottom w:val="double" w:sz="6" w:space="0" w:color="203764"/>
              <w:right w:val="double" w:sz="6" w:space="0" w:color="1F4E78"/>
            </w:tcBorders>
            <w:vAlign w:val="center"/>
            <w:hideMark/>
          </w:tcPr>
          <w:p w14:paraId="58D53148"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5D06B28"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7AB8266"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5DB288E1"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07338C3"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3F55894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4F7F321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7F501241" w14:textId="77777777" w:rsidTr="00B857FA">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253A13BB"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4013A74E"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double" w:sz="6" w:space="0" w:color="203764"/>
              <w:left w:val="nil"/>
              <w:bottom w:val="single" w:sz="4" w:space="0" w:color="1F4E78"/>
              <w:right w:val="double" w:sz="6" w:space="0" w:color="1F4E78"/>
            </w:tcBorders>
            <w:shd w:val="clear" w:color="auto" w:fill="auto"/>
            <w:vAlign w:val="center"/>
            <w:hideMark/>
          </w:tcPr>
          <w:p w14:paraId="4D0621EB"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(Trabajador Social)</w:t>
            </w:r>
          </w:p>
        </w:tc>
      </w:tr>
      <w:tr w:rsidR="00246644" w:rsidRPr="005149C4" w14:paraId="1E1510B6"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3DD9384E"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151E95E"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E729D9B"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29BFBD78"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292EE1F2"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69ED3DD"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6327BB0"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Fiscala o Fiscal Auxiliar</w:t>
            </w:r>
          </w:p>
        </w:tc>
      </w:tr>
      <w:tr w:rsidR="00246644" w:rsidRPr="005149C4" w14:paraId="19E326E3"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3BD476B7"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60DB2751"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52802A49"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20943A6F" w14:textId="77777777" w:rsidTr="00B857FA">
        <w:trPr>
          <w:trHeight w:val="3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A57895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4B3B9A67"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89F412D"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(Trabajador Social)</w:t>
            </w:r>
          </w:p>
        </w:tc>
      </w:tr>
      <w:tr w:rsidR="00246644" w:rsidRPr="005149C4" w14:paraId="68B7CE95"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71927B0E"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1B87B3E9"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00DB3C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Defensora o Defensor Público</w:t>
            </w:r>
          </w:p>
        </w:tc>
      </w:tr>
      <w:tr w:rsidR="00246644" w:rsidRPr="005149C4" w14:paraId="379DD05E"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E7D27C8"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26C14F2"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76C7A55"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Fiscala o Fiscal Auxiliar</w:t>
            </w:r>
          </w:p>
        </w:tc>
      </w:tr>
      <w:tr w:rsidR="00246644" w:rsidRPr="005149C4" w14:paraId="59AFE9FE"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3C4F768C"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4F83AEE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09D8B54C"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66BDA3D9" w14:textId="77777777" w:rsidTr="00B857FA">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CB096C1"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II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2D945004"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DCE847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(Psicólogo)</w:t>
            </w:r>
          </w:p>
        </w:tc>
      </w:tr>
      <w:tr w:rsidR="00246644" w:rsidRPr="005149C4" w14:paraId="3C54C3F1"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443A004"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015E675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1DAE21D6"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r w:rsidR="00246644" w:rsidRPr="005149C4" w14:paraId="28840BFA" w14:textId="77777777" w:rsidTr="00B857FA">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1AEDD88C"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Puntarenas</w:t>
            </w:r>
          </w:p>
        </w:tc>
        <w:tc>
          <w:tcPr>
            <w:tcW w:w="1720" w:type="dxa"/>
            <w:tcBorders>
              <w:top w:val="nil"/>
              <w:left w:val="nil"/>
              <w:bottom w:val="single" w:sz="4" w:space="0" w:color="1F4E78"/>
              <w:right w:val="double" w:sz="6" w:space="0" w:color="1F4E78"/>
            </w:tcBorders>
            <w:shd w:val="clear" w:color="auto" w:fill="auto"/>
            <w:vAlign w:val="center"/>
            <w:hideMark/>
          </w:tcPr>
          <w:p w14:paraId="31992284"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5ACDE982"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Profesional 2 (Trabajador Social)</w:t>
            </w:r>
          </w:p>
        </w:tc>
      </w:tr>
      <w:tr w:rsidR="00246644" w:rsidRPr="005149C4" w14:paraId="60795ED7" w14:textId="77777777" w:rsidTr="00B857FA">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CCC30F0" w14:textId="77777777" w:rsidR="00246644" w:rsidRPr="005149C4" w:rsidRDefault="00246644" w:rsidP="00B857FA">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707E4D16"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38604665"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eastAsia="Times New Roman" w:cs="Calibri"/>
                <w:sz w:val="16"/>
                <w:szCs w:val="16"/>
                <w:lang w:eastAsia="es-CR"/>
              </w:rPr>
              <w:t>Técnico o Técnica Judicial 2</w:t>
            </w:r>
          </w:p>
        </w:tc>
      </w:tr>
    </w:tbl>
    <w:p w14:paraId="2B384941" w14:textId="77777777" w:rsidR="00246644" w:rsidRPr="005149C4" w:rsidRDefault="00246644" w:rsidP="00246644">
      <w:pPr>
        <w:tabs>
          <w:tab w:val="left" w:pos="1985"/>
        </w:tabs>
        <w:spacing w:before="0" w:after="0"/>
        <w:ind w:left="567" w:right="474"/>
        <w:rPr>
          <w:rFonts w:eastAsia="Times New Roman"/>
          <w:sz w:val="18"/>
          <w:szCs w:val="18"/>
          <w:lang w:eastAsia="es-ES"/>
        </w:rPr>
      </w:pPr>
      <w:r w:rsidRPr="005149C4">
        <w:rPr>
          <w:rFonts w:eastAsia="Times New Roman"/>
          <w:b/>
          <w:bCs/>
          <w:sz w:val="18"/>
          <w:szCs w:val="18"/>
          <w:lang w:eastAsia="es-ES"/>
        </w:rPr>
        <w:t xml:space="preserve">Fuente: </w:t>
      </w:r>
      <w:r w:rsidRPr="005149C4">
        <w:rPr>
          <w:rFonts w:eastAsia="Times New Roman"/>
          <w:sz w:val="18"/>
          <w:szCs w:val="18"/>
          <w:lang w:eastAsia="es-ES"/>
        </w:rPr>
        <w:t>Subproceso de Modernización Institucional a partir de la información suministrada por la Dirección de Justicia Restaurativa.</w:t>
      </w:r>
    </w:p>
    <w:p w14:paraId="295F12B7" w14:textId="77777777" w:rsidR="00246644" w:rsidRPr="005149C4" w:rsidRDefault="00246644" w:rsidP="00246644">
      <w:pPr>
        <w:tabs>
          <w:tab w:val="left" w:pos="0"/>
        </w:tabs>
      </w:pPr>
      <w:r w:rsidRPr="005149C4">
        <w:t>A continuación, se muestra la asignación de costos del recurso humano, mobiliario y equipo solicitado:</w:t>
      </w:r>
    </w:p>
    <w:p w14:paraId="3F5DB0A0" w14:textId="07A2BF26" w:rsidR="00246644" w:rsidRPr="005149C4" w:rsidRDefault="00246644" w:rsidP="00246644">
      <w:pPr>
        <w:ind w:left="-142" w:right="49"/>
        <w:rPr>
          <w:rFonts w:eastAsia="Times New Roman"/>
          <w:b/>
          <w:bCs/>
          <w:color w:val="000000" w:themeColor="text1"/>
          <w:sz w:val="20"/>
          <w:szCs w:val="20"/>
          <w:lang w:eastAsia="es-ES"/>
        </w:rPr>
      </w:pPr>
      <w:r w:rsidRPr="005149C4">
        <w:rPr>
          <w:b/>
          <w:bCs/>
          <w:color w:val="000000" w:themeColor="text1"/>
          <w:sz w:val="20"/>
          <w:szCs w:val="20"/>
        </w:rPr>
        <w:t xml:space="preserve">Cuadro </w:t>
      </w:r>
      <w:r w:rsidR="00BB6EA2">
        <w:rPr>
          <w:b/>
          <w:bCs/>
          <w:color w:val="000000" w:themeColor="text1"/>
          <w:sz w:val="20"/>
          <w:szCs w:val="20"/>
        </w:rPr>
        <w:t>23</w:t>
      </w:r>
      <w:r w:rsidRPr="005149C4">
        <w:rPr>
          <w:b/>
          <w:bCs/>
          <w:color w:val="000000" w:themeColor="text1"/>
          <w:sz w:val="20"/>
          <w:szCs w:val="20"/>
        </w:rPr>
        <w:t xml:space="preserve">. Estimación de costos del requerimiento humano, equipo y mobiliario enviado como propuesta de la Oficina Rectora de Justicia Restaurativa para el presupuesto del 2024 </w:t>
      </w:r>
      <w:r w:rsidRPr="005149C4">
        <w:rPr>
          <w:rFonts w:eastAsia="Times New Roman"/>
          <w:b/>
          <w:bCs/>
          <w:color w:val="000000" w:themeColor="text1"/>
          <w:sz w:val="20"/>
          <w:szCs w:val="20"/>
          <w:lang w:eastAsia="es-ES"/>
        </w:rPr>
        <w:t>al excluir los equipos especializados en Materia Contravencional, Ejecución de la Pena y Penal Juvenil</w:t>
      </w:r>
      <w:r w:rsidR="00BB6EA2">
        <w:rPr>
          <w:rFonts w:eastAsia="Times New Roman"/>
          <w:b/>
          <w:bCs/>
          <w:color w:val="000000" w:themeColor="text1"/>
          <w:sz w:val="20"/>
          <w:szCs w:val="20"/>
          <w:lang w:eastAsia="es-ES"/>
        </w:rPr>
        <w:t>.</w:t>
      </w:r>
    </w:p>
    <w:tbl>
      <w:tblPr>
        <w:tblStyle w:val="Tablaconcuadrcula4-nfasis5"/>
        <w:tblW w:w="8926" w:type="dxa"/>
        <w:tblLook w:val="04A0" w:firstRow="1" w:lastRow="0" w:firstColumn="1" w:lastColumn="0" w:noHBand="0" w:noVBand="1"/>
      </w:tblPr>
      <w:tblGrid>
        <w:gridCol w:w="3178"/>
        <w:gridCol w:w="2000"/>
        <w:gridCol w:w="1763"/>
        <w:gridCol w:w="1985"/>
      </w:tblGrid>
      <w:tr w:rsidR="00246644" w:rsidRPr="005149C4" w14:paraId="34F57B7F" w14:textId="77777777" w:rsidTr="00B857F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84DC22B" w14:textId="77777777" w:rsidR="00246644" w:rsidRPr="005149C4" w:rsidRDefault="00246644" w:rsidP="00B857FA">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Circuito</w:t>
            </w:r>
          </w:p>
        </w:tc>
        <w:tc>
          <w:tcPr>
            <w:tcW w:w="2000" w:type="dxa"/>
            <w:noWrap/>
            <w:hideMark/>
          </w:tcPr>
          <w:p w14:paraId="2A1EAF82" w14:textId="77777777" w:rsidR="00246644" w:rsidRPr="005149C4" w:rsidRDefault="00246644" w:rsidP="00B857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5149C4">
              <w:rPr>
                <w:rFonts w:eastAsia="Times New Roman" w:cs="Calibri"/>
                <w:color w:val="000000"/>
                <w:sz w:val="16"/>
                <w:szCs w:val="16"/>
                <w:lang w:eastAsia="es-CR"/>
              </w:rPr>
              <w:t>Requ</w:t>
            </w:r>
            <w:proofErr w:type="spellEnd"/>
            <w:r w:rsidRPr="005149C4">
              <w:rPr>
                <w:rFonts w:eastAsia="Times New Roman" w:cs="Calibri"/>
                <w:color w:val="000000"/>
                <w:sz w:val="16"/>
                <w:szCs w:val="16"/>
                <w:lang w:eastAsia="es-CR"/>
              </w:rPr>
              <w:t>. Humano</w:t>
            </w:r>
          </w:p>
        </w:tc>
        <w:tc>
          <w:tcPr>
            <w:tcW w:w="1763" w:type="dxa"/>
            <w:noWrap/>
            <w:hideMark/>
          </w:tcPr>
          <w:p w14:paraId="763FD76E" w14:textId="77777777" w:rsidR="00246644" w:rsidRPr="005149C4" w:rsidRDefault="00246644" w:rsidP="00B857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eastAsia="Times New Roman" w:cs="Calibri"/>
                <w:color w:val="000000"/>
                <w:sz w:val="16"/>
                <w:szCs w:val="16"/>
                <w:lang w:eastAsia="es-CR"/>
              </w:rPr>
              <w:t xml:space="preserve">Equipo y </w:t>
            </w:r>
            <w:proofErr w:type="spellStart"/>
            <w:r w:rsidRPr="005149C4">
              <w:rPr>
                <w:rFonts w:eastAsia="Times New Roman" w:cs="Calibri"/>
                <w:color w:val="000000"/>
                <w:sz w:val="16"/>
                <w:szCs w:val="16"/>
                <w:lang w:eastAsia="es-CR"/>
              </w:rPr>
              <w:t>Mob</w:t>
            </w:r>
            <w:proofErr w:type="spellEnd"/>
          </w:p>
        </w:tc>
        <w:tc>
          <w:tcPr>
            <w:tcW w:w="1985" w:type="dxa"/>
            <w:noWrap/>
            <w:hideMark/>
          </w:tcPr>
          <w:p w14:paraId="0A388290" w14:textId="77777777" w:rsidR="00246644" w:rsidRPr="005149C4" w:rsidRDefault="00246644" w:rsidP="00B857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eastAsia="Times New Roman" w:cs="Calibri"/>
                <w:color w:val="000000"/>
                <w:sz w:val="16"/>
                <w:szCs w:val="16"/>
                <w:lang w:eastAsia="es-CR"/>
              </w:rPr>
              <w:t>Total</w:t>
            </w:r>
          </w:p>
        </w:tc>
      </w:tr>
      <w:tr w:rsidR="00246644" w:rsidRPr="005149C4" w14:paraId="6FB380DE"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88F7EEB"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 II y III Circuito de San José</w:t>
            </w:r>
          </w:p>
        </w:tc>
        <w:tc>
          <w:tcPr>
            <w:tcW w:w="2000" w:type="dxa"/>
            <w:noWrap/>
            <w:hideMark/>
          </w:tcPr>
          <w:p w14:paraId="4404D7A9"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68 685 000,00</w:t>
            </w:r>
          </w:p>
        </w:tc>
        <w:tc>
          <w:tcPr>
            <w:tcW w:w="1763" w:type="dxa"/>
            <w:noWrap/>
            <w:hideMark/>
          </w:tcPr>
          <w:p w14:paraId="08D24384"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3 670 521,55</w:t>
            </w:r>
          </w:p>
        </w:tc>
        <w:tc>
          <w:tcPr>
            <w:tcW w:w="1985" w:type="dxa"/>
            <w:noWrap/>
            <w:hideMark/>
          </w:tcPr>
          <w:p w14:paraId="0574DF9F"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72 355 521,55</w:t>
            </w:r>
          </w:p>
        </w:tc>
      </w:tr>
      <w:tr w:rsidR="00246644" w:rsidRPr="005149C4" w14:paraId="3BEB6073" w14:textId="77777777" w:rsidTr="00B857FA">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5463C7FF"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 Circuito Judicial de Alajuela</w:t>
            </w:r>
          </w:p>
        </w:tc>
        <w:tc>
          <w:tcPr>
            <w:tcW w:w="2000" w:type="dxa"/>
            <w:noWrap/>
            <w:hideMark/>
          </w:tcPr>
          <w:p w14:paraId="12FC6B83"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163 085 000,00</w:t>
            </w:r>
          </w:p>
        </w:tc>
        <w:tc>
          <w:tcPr>
            <w:tcW w:w="1763" w:type="dxa"/>
            <w:noWrap/>
            <w:hideMark/>
          </w:tcPr>
          <w:p w14:paraId="78B54D50"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5 716 966,30</w:t>
            </w:r>
          </w:p>
        </w:tc>
        <w:tc>
          <w:tcPr>
            <w:tcW w:w="1985" w:type="dxa"/>
            <w:noWrap/>
            <w:hideMark/>
          </w:tcPr>
          <w:p w14:paraId="5E63F643"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168 801 966,30</w:t>
            </w:r>
          </w:p>
        </w:tc>
      </w:tr>
      <w:tr w:rsidR="00246644" w:rsidRPr="005149C4" w14:paraId="056797CC"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FDFFC22"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II Circuito Judicial de Alajuela</w:t>
            </w:r>
          </w:p>
        </w:tc>
        <w:tc>
          <w:tcPr>
            <w:tcW w:w="2000" w:type="dxa"/>
            <w:noWrap/>
            <w:hideMark/>
          </w:tcPr>
          <w:p w14:paraId="5ED894D1"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163 085 000,00</w:t>
            </w:r>
          </w:p>
        </w:tc>
        <w:tc>
          <w:tcPr>
            <w:tcW w:w="1763" w:type="dxa"/>
            <w:noWrap/>
            <w:hideMark/>
          </w:tcPr>
          <w:p w14:paraId="35D2086B"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5 716 966,30</w:t>
            </w:r>
          </w:p>
        </w:tc>
        <w:tc>
          <w:tcPr>
            <w:tcW w:w="1985" w:type="dxa"/>
            <w:noWrap/>
            <w:hideMark/>
          </w:tcPr>
          <w:p w14:paraId="5599B953"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168 801 966,30</w:t>
            </w:r>
          </w:p>
        </w:tc>
      </w:tr>
      <w:tr w:rsidR="00246644" w:rsidRPr="005149C4" w14:paraId="4A4B902F" w14:textId="77777777" w:rsidTr="00B857FA">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2371D23"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III Circuito Judicial de Alajuela</w:t>
            </w:r>
          </w:p>
        </w:tc>
        <w:tc>
          <w:tcPr>
            <w:tcW w:w="2000" w:type="dxa"/>
            <w:noWrap/>
            <w:hideMark/>
          </w:tcPr>
          <w:p w14:paraId="4765B21D"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163 085 000,00</w:t>
            </w:r>
          </w:p>
        </w:tc>
        <w:tc>
          <w:tcPr>
            <w:tcW w:w="1763" w:type="dxa"/>
            <w:noWrap/>
            <w:hideMark/>
          </w:tcPr>
          <w:p w14:paraId="236ED9AE"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5 716 966,30</w:t>
            </w:r>
          </w:p>
        </w:tc>
        <w:tc>
          <w:tcPr>
            <w:tcW w:w="1985" w:type="dxa"/>
            <w:noWrap/>
            <w:hideMark/>
          </w:tcPr>
          <w:p w14:paraId="6EA1A533"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168 801 966,30</w:t>
            </w:r>
          </w:p>
        </w:tc>
      </w:tr>
      <w:tr w:rsidR="00246644" w:rsidRPr="005149C4" w14:paraId="0079475E"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FE74240"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Cartago</w:t>
            </w:r>
          </w:p>
        </w:tc>
        <w:tc>
          <w:tcPr>
            <w:tcW w:w="2000" w:type="dxa"/>
            <w:noWrap/>
            <w:hideMark/>
          </w:tcPr>
          <w:p w14:paraId="75E56FA8"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52 740 000,00</w:t>
            </w:r>
          </w:p>
        </w:tc>
        <w:tc>
          <w:tcPr>
            <w:tcW w:w="1763" w:type="dxa"/>
            <w:noWrap/>
            <w:hideMark/>
          </w:tcPr>
          <w:p w14:paraId="7DF97B23"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2 611 601,88</w:t>
            </w:r>
          </w:p>
        </w:tc>
        <w:tc>
          <w:tcPr>
            <w:tcW w:w="1985" w:type="dxa"/>
            <w:noWrap/>
            <w:hideMark/>
          </w:tcPr>
          <w:p w14:paraId="66F5D856"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55 351 601,88</w:t>
            </w:r>
          </w:p>
        </w:tc>
      </w:tr>
      <w:tr w:rsidR="00246644" w:rsidRPr="005149C4" w14:paraId="236093E4" w14:textId="77777777" w:rsidTr="00B857FA">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7B398BF"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Heredia</w:t>
            </w:r>
          </w:p>
        </w:tc>
        <w:tc>
          <w:tcPr>
            <w:tcW w:w="2000" w:type="dxa"/>
            <w:noWrap/>
            <w:hideMark/>
          </w:tcPr>
          <w:p w14:paraId="4FF7A8AF"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52 740 000,00</w:t>
            </w:r>
          </w:p>
        </w:tc>
        <w:tc>
          <w:tcPr>
            <w:tcW w:w="1763" w:type="dxa"/>
            <w:noWrap/>
            <w:hideMark/>
          </w:tcPr>
          <w:p w14:paraId="6B0F29F2"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2 611 601,88</w:t>
            </w:r>
          </w:p>
        </w:tc>
        <w:tc>
          <w:tcPr>
            <w:tcW w:w="1985" w:type="dxa"/>
            <w:noWrap/>
            <w:hideMark/>
          </w:tcPr>
          <w:p w14:paraId="3FC92A17"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55 351 601,88</w:t>
            </w:r>
          </w:p>
        </w:tc>
      </w:tr>
      <w:tr w:rsidR="00246644" w:rsidRPr="005149C4" w14:paraId="5C842E42"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B165C02"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 Circuito Judicial Zona Sur</w:t>
            </w:r>
          </w:p>
        </w:tc>
        <w:tc>
          <w:tcPr>
            <w:tcW w:w="2000" w:type="dxa"/>
            <w:noWrap/>
            <w:hideMark/>
          </w:tcPr>
          <w:p w14:paraId="33D48BD3"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106 020 000,00</w:t>
            </w:r>
          </w:p>
        </w:tc>
        <w:tc>
          <w:tcPr>
            <w:tcW w:w="1763" w:type="dxa"/>
            <w:noWrap/>
            <w:hideMark/>
          </w:tcPr>
          <w:p w14:paraId="7C04E1FC"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4 164 284,09</w:t>
            </w:r>
          </w:p>
        </w:tc>
        <w:tc>
          <w:tcPr>
            <w:tcW w:w="1985" w:type="dxa"/>
            <w:noWrap/>
            <w:hideMark/>
          </w:tcPr>
          <w:p w14:paraId="625E738F"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110 184 284,09</w:t>
            </w:r>
          </w:p>
        </w:tc>
      </w:tr>
      <w:tr w:rsidR="00246644" w:rsidRPr="005149C4" w14:paraId="1D8BC2B8" w14:textId="77777777" w:rsidTr="00B857FA">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55EF76BD"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II Circuito Judicial Zona Sur</w:t>
            </w:r>
          </w:p>
        </w:tc>
        <w:tc>
          <w:tcPr>
            <w:tcW w:w="2000" w:type="dxa"/>
            <w:noWrap/>
            <w:hideMark/>
          </w:tcPr>
          <w:p w14:paraId="5EAB058D"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52 740 000,00</w:t>
            </w:r>
          </w:p>
        </w:tc>
        <w:tc>
          <w:tcPr>
            <w:tcW w:w="1763" w:type="dxa"/>
            <w:noWrap/>
            <w:hideMark/>
          </w:tcPr>
          <w:p w14:paraId="6200EAB5"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2 611 601,88</w:t>
            </w:r>
          </w:p>
        </w:tc>
        <w:tc>
          <w:tcPr>
            <w:tcW w:w="1985" w:type="dxa"/>
            <w:noWrap/>
            <w:hideMark/>
          </w:tcPr>
          <w:p w14:paraId="5838FE97"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55 351 601,88</w:t>
            </w:r>
          </w:p>
        </w:tc>
      </w:tr>
      <w:tr w:rsidR="00246644" w:rsidRPr="005149C4" w14:paraId="27052045"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15B9DAD9"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 Circuito Judicial de Guanacaste</w:t>
            </w:r>
          </w:p>
        </w:tc>
        <w:tc>
          <w:tcPr>
            <w:tcW w:w="2000" w:type="dxa"/>
            <w:noWrap/>
            <w:hideMark/>
          </w:tcPr>
          <w:p w14:paraId="160D6DAF"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106 020 000,00</w:t>
            </w:r>
          </w:p>
        </w:tc>
        <w:tc>
          <w:tcPr>
            <w:tcW w:w="1763" w:type="dxa"/>
            <w:noWrap/>
            <w:hideMark/>
          </w:tcPr>
          <w:p w14:paraId="1C35848E"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4 164 284,09</w:t>
            </w:r>
          </w:p>
        </w:tc>
        <w:tc>
          <w:tcPr>
            <w:tcW w:w="1985" w:type="dxa"/>
            <w:noWrap/>
            <w:hideMark/>
          </w:tcPr>
          <w:p w14:paraId="4C2AF4FB"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110 184 284,09</w:t>
            </w:r>
          </w:p>
        </w:tc>
      </w:tr>
      <w:tr w:rsidR="00246644" w:rsidRPr="005149C4" w14:paraId="6CF8AD02" w14:textId="77777777" w:rsidTr="00B857FA">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AB3BDCD"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II Circuito Judicial de Guanacaste</w:t>
            </w:r>
          </w:p>
        </w:tc>
        <w:tc>
          <w:tcPr>
            <w:tcW w:w="2000" w:type="dxa"/>
            <w:noWrap/>
            <w:hideMark/>
          </w:tcPr>
          <w:p w14:paraId="2C8526EF"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163 085 000,00</w:t>
            </w:r>
          </w:p>
        </w:tc>
        <w:tc>
          <w:tcPr>
            <w:tcW w:w="1763" w:type="dxa"/>
            <w:noWrap/>
            <w:hideMark/>
          </w:tcPr>
          <w:p w14:paraId="0B3360EA"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5 716 966,30</w:t>
            </w:r>
          </w:p>
        </w:tc>
        <w:tc>
          <w:tcPr>
            <w:tcW w:w="1985" w:type="dxa"/>
            <w:noWrap/>
            <w:hideMark/>
          </w:tcPr>
          <w:p w14:paraId="4D19AC6D"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168 801 966,30</w:t>
            </w:r>
          </w:p>
        </w:tc>
      </w:tr>
      <w:tr w:rsidR="00246644" w:rsidRPr="005149C4" w14:paraId="4748B8EE"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1B1216A5"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 Circuito Judicial de la Zona Atlántica</w:t>
            </w:r>
          </w:p>
        </w:tc>
        <w:tc>
          <w:tcPr>
            <w:tcW w:w="2000" w:type="dxa"/>
            <w:noWrap/>
            <w:hideMark/>
          </w:tcPr>
          <w:p w14:paraId="1FFB8798"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163 085 000,00</w:t>
            </w:r>
          </w:p>
        </w:tc>
        <w:tc>
          <w:tcPr>
            <w:tcW w:w="1763" w:type="dxa"/>
            <w:noWrap/>
            <w:hideMark/>
          </w:tcPr>
          <w:p w14:paraId="0F8D88EB"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5 716 966,30</w:t>
            </w:r>
          </w:p>
        </w:tc>
        <w:tc>
          <w:tcPr>
            <w:tcW w:w="1985" w:type="dxa"/>
            <w:noWrap/>
            <w:hideMark/>
          </w:tcPr>
          <w:p w14:paraId="43CA69C6"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168 801 966,30</w:t>
            </w:r>
          </w:p>
        </w:tc>
      </w:tr>
      <w:tr w:rsidR="00246644" w:rsidRPr="005149C4" w14:paraId="43701EB3" w14:textId="77777777" w:rsidTr="00B857FA">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BEB60CC"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II Circuito Judicial de la Zona Atlántica</w:t>
            </w:r>
          </w:p>
        </w:tc>
        <w:tc>
          <w:tcPr>
            <w:tcW w:w="2000" w:type="dxa"/>
            <w:noWrap/>
            <w:hideMark/>
          </w:tcPr>
          <w:p w14:paraId="1FED3FE3"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52 740 000,00</w:t>
            </w:r>
          </w:p>
        </w:tc>
        <w:tc>
          <w:tcPr>
            <w:tcW w:w="1763" w:type="dxa"/>
            <w:noWrap/>
            <w:hideMark/>
          </w:tcPr>
          <w:p w14:paraId="6BB8AFC5"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2 611 601,88</w:t>
            </w:r>
          </w:p>
        </w:tc>
        <w:tc>
          <w:tcPr>
            <w:tcW w:w="1985" w:type="dxa"/>
            <w:noWrap/>
            <w:hideMark/>
          </w:tcPr>
          <w:p w14:paraId="273BFD46"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55 351 601,88</w:t>
            </w:r>
          </w:p>
        </w:tc>
      </w:tr>
      <w:tr w:rsidR="00246644" w:rsidRPr="005149C4" w14:paraId="3C6B0ACC" w14:textId="77777777" w:rsidTr="00B857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3F56A2AD"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Puntarenas</w:t>
            </w:r>
          </w:p>
        </w:tc>
        <w:tc>
          <w:tcPr>
            <w:tcW w:w="2000" w:type="dxa"/>
            <w:noWrap/>
            <w:hideMark/>
          </w:tcPr>
          <w:p w14:paraId="79ABA508"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52 740 000,00</w:t>
            </w:r>
          </w:p>
        </w:tc>
        <w:tc>
          <w:tcPr>
            <w:tcW w:w="1763" w:type="dxa"/>
            <w:noWrap/>
            <w:hideMark/>
          </w:tcPr>
          <w:p w14:paraId="48E70A1C"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2 611 601,88</w:t>
            </w:r>
          </w:p>
        </w:tc>
        <w:tc>
          <w:tcPr>
            <w:tcW w:w="1985" w:type="dxa"/>
            <w:noWrap/>
            <w:hideMark/>
          </w:tcPr>
          <w:p w14:paraId="627BA4B8" w14:textId="77777777" w:rsidR="00246644" w:rsidRPr="005149C4" w:rsidRDefault="00246644" w:rsidP="00B857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55 351 601,88</w:t>
            </w:r>
          </w:p>
        </w:tc>
      </w:tr>
      <w:tr w:rsidR="00246644" w:rsidRPr="005149C4" w14:paraId="74CB6362" w14:textId="77777777" w:rsidTr="00B857FA">
        <w:trPr>
          <w:trHeight w:val="33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18A19C9" w14:textId="77777777" w:rsidR="00246644" w:rsidRPr="005149C4" w:rsidRDefault="00246644" w:rsidP="00B857FA">
            <w:pPr>
              <w:spacing w:before="0" w:after="0" w:line="240" w:lineRule="auto"/>
              <w:jc w:val="left"/>
              <w:rPr>
                <w:rFonts w:eastAsia="Times New Roman" w:cs="Calibri"/>
                <w:color w:val="000000"/>
                <w:sz w:val="16"/>
                <w:szCs w:val="16"/>
                <w:lang w:eastAsia="es-CR"/>
              </w:rPr>
            </w:pPr>
            <w:r w:rsidRPr="005149C4">
              <w:rPr>
                <w:rFonts w:eastAsia="Times New Roman" w:cs="Calibri"/>
                <w:color w:val="000000"/>
                <w:sz w:val="16"/>
                <w:szCs w:val="16"/>
                <w:lang w:eastAsia="es-CR"/>
              </w:rPr>
              <w:t>Total</w:t>
            </w:r>
          </w:p>
        </w:tc>
        <w:tc>
          <w:tcPr>
            <w:tcW w:w="2000" w:type="dxa"/>
            <w:noWrap/>
            <w:hideMark/>
          </w:tcPr>
          <w:p w14:paraId="5A0C2084"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5149C4">
              <w:rPr>
                <w:rFonts w:ascii="Times New Roman" w:eastAsia="Times New Roman" w:hAnsi="Times New Roman"/>
                <w:b/>
                <w:bCs/>
                <w:color w:val="000000"/>
                <w:sz w:val="16"/>
                <w:szCs w:val="16"/>
                <w:lang w:eastAsia="es-CR"/>
              </w:rPr>
              <w:t>₡</w:t>
            </w:r>
            <w:r w:rsidRPr="005149C4">
              <w:rPr>
                <w:rFonts w:eastAsia="Times New Roman" w:cs="Calibri"/>
                <w:b/>
                <w:bCs/>
                <w:color w:val="000000"/>
                <w:sz w:val="16"/>
                <w:szCs w:val="16"/>
                <w:lang w:eastAsia="es-CR"/>
              </w:rPr>
              <w:t>1 359 850 000,00</w:t>
            </w:r>
          </w:p>
        </w:tc>
        <w:tc>
          <w:tcPr>
            <w:tcW w:w="1763" w:type="dxa"/>
            <w:noWrap/>
            <w:hideMark/>
          </w:tcPr>
          <w:p w14:paraId="1E484265"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5149C4">
              <w:rPr>
                <w:rFonts w:ascii="Times New Roman" w:eastAsia="Times New Roman" w:hAnsi="Times New Roman"/>
                <w:b/>
                <w:bCs/>
                <w:color w:val="000000"/>
                <w:sz w:val="16"/>
                <w:szCs w:val="16"/>
                <w:lang w:eastAsia="es-CR"/>
              </w:rPr>
              <w:t>₡</w:t>
            </w:r>
            <w:r w:rsidRPr="005149C4">
              <w:rPr>
                <w:rFonts w:eastAsia="Times New Roman" w:cs="Calibri"/>
                <w:b/>
                <w:bCs/>
                <w:color w:val="000000"/>
                <w:sz w:val="16"/>
                <w:szCs w:val="16"/>
                <w:lang w:eastAsia="es-CR"/>
              </w:rPr>
              <w:t>53 641 930,63</w:t>
            </w:r>
          </w:p>
        </w:tc>
        <w:tc>
          <w:tcPr>
            <w:tcW w:w="1985" w:type="dxa"/>
            <w:noWrap/>
            <w:hideMark/>
          </w:tcPr>
          <w:p w14:paraId="5527D962" w14:textId="77777777" w:rsidR="00246644" w:rsidRPr="005149C4" w:rsidRDefault="00246644" w:rsidP="00B857F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5149C4">
              <w:rPr>
                <w:rFonts w:ascii="Times New Roman" w:eastAsia="Times New Roman" w:hAnsi="Times New Roman"/>
                <w:b/>
                <w:bCs/>
                <w:color w:val="000000"/>
                <w:sz w:val="16"/>
                <w:szCs w:val="16"/>
                <w:lang w:eastAsia="es-CR"/>
              </w:rPr>
              <w:t>₡</w:t>
            </w:r>
            <w:r w:rsidRPr="005149C4">
              <w:rPr>
                <w:rFonts w:eastAsia="Times New Roman" w:cs="Calibri"/>
                <w:b/>
                <w:bCs/>
                <w:color w:val="000000"/>
                <w:sz w:val="16"/>
                <w:szCs w:val="16"/>
                <w:lang w:eastAsia="es-CR"/>
              </w:rPr>
              <w:t>1 413 491 930,63</w:t>
            </w:r>
          </w:p>
        </w:tc>
      </w:tr>
    </w:tbl>
    <w:p w14:paraId="39B09E30" w14:textId="77777777" w:rsidR="00246644" w:rsidRPr="005149C4" w:rsidRDefault="00246644" w:rsidP="00246644">
      <w:pPr>
        <w:ind w:right="49"/>
        <w:rPr>
          <w:rFonts w:cs="Calibri"/>
          <w:bCs/>
          <w:color w:val="000000"/>
          <w:sz w:val="16"/>
          <w:szCs w:val="16"/>
          <w:lang w:eastAsia="es-CR"/>
        </w:rPr>
      </w:pPr>
      <w:r w:rsidRPr="005149C4">
        <w:rPr>
          <w:rFonts w:cs="Calibri"/>
          <w:b/>
          <w:color w:val="000000"/>
          <w:sz w:val="16"/>
          <w:szCs w:val="16"/>
          <w:lang w:eastAsia="es-CR"/>
        </w:rPr>
        <w:t xml:space="preserve">Fuente: </w:t>
      </w:r>
      <w:r w:rsidRPr="005149C4">
        <w:rPr>
          <w:rFonts w:cs="Calibri"/>
          <w:bCs/>
          <w:color w:val="000000"/>
          <w:sz w:val="16"/>
          <w:szCs w:val="16"/>
          <w:lang w:eastAsia="es-CR"/>
        </w:rPr>
        <w:t>Modernización Institucional a partir de la información suministrada por el Subproceso de Formulación Presupuestaria. Nota: En apéndice 9 se presenta el detalle de cada rubro.</w:t>
      </w:r>
    </w:p>
    <w:p w14:paraId="47B16D61" w14:textId="77777777" w:rsidR="00246644" w:rsidRPr="005149C4" w:rsidRDefault="00246644" w:rsidP="00246644">
      <w:pPr>
        <w:ind w:right="49"/>
        <w:rPr>
          <w:rFonts w:cs="Calibri"/>
          <w:bCs/>
          <w:color w:val="000000"/>
          <w:sz w:val="16"/>
          <w:szCs w:val="16"/>
          <w:lang w:eastAsia="es-CR"/>
        </w:rPr>
      </w:pPr>
    </w:p>
    <w:p w14:paraId="7CBE0930" w14:textId="77777777" w:rsidR="00246644" w:rsidRPr="005149C4" w:rsidRDefault="00246644" w:rsidP="00246644">
      <w:pPr>
        <w:tabs>
          <w:tab w:val="left" w:pos="0"/>
        </w:tabs>
      </w:pPr>
      <w:r w:rsidRPr="005149C4">
        <w:t>En el cuadro siguiente se muestra el resumen por programa del presupuesto requerido para atender la solicitud de recurso humano por parte de la Oficina Rectora de Justicia Restaurativa al excluir los equipos especializados en materia contravencional, ejecución de la pena y penal juvenil.</w:t>
      </w:r>
    </w:p>
    <w:p w14:paraId="2173664F" w14:textId="4A319E2A" w:rsidR="00246644" w:rsidRPr="005149C4" w:rsidRDefault="00246644" w:rsidP="00246644">
      <w:pPr>
        <w:tabs>
          <w:tab w:val="left" w:pos="426"/>
        </w:tabs>
        <w:ind w:left="426" w:right="49"/>
        <w:rPr>
          <w:b/>
          <w:bCs/>
          <w:sz w:val="20"/>
          <w:szCs w:val="20"/>
        </w:rPr>
      </w:pPr>
      <w:r w:rsidRPr="005149C4">
        <w:rPr>
          <w:b/>
          <w:bCs/>
          <w:sz w:val="20"/>
          <w:szCs w:val="20"/>
        </w:rPr>
        <w:t>Cuadro</w:t>
      </w:r>
      <w:r w:rsidR="00BB6EA2">
        <w:rPr>
          <w:b/>
          <w:bCs/>
          <w:sz w:val="20"/>
          <w:szCs w:val="20"/>
        </w:rPr>
        <w:t xml:space="preserve"> 24</w:t>
      </w:r>
      <w:r w:rsidRPr="005149C4">
        <w:rPr>
          <w:b/>
          <w:bCs/>
          <w:sz w:val="20"/>
          <w:szCs w:val="20"/>
        </w:rPr>
        <w:t>. Presupuesto por programa para la cantidad de Recurso Humano solicitado por la Oficina Rectora de Justicia Restaurativa al excluir los equipos especializados en materia contravencional, ejecución de la pena y penal juvenil.</w:t>
      </w:r>
    </w:p>
    <w:tbl>
      <w:tblPr>
        <w:tblW w:w="9240" w:type="dxa"/>
        <w:jc w:val="center"/>
        <w:tblCellMar>
          <w:left w:w="70" w:type="dxa"/>
          <w:right w:w="70" w:type="dxa"/>
        </w:tblCellMar>
        <w:tblLook w:val="04A0" w:firstRow="1" w:lastRow="0" w:firstColumn="1" w:lastColumn="0" w:noHBand="0" w:noVBand="1"/>
      </w:tblPr>
      <w:tblGrid>
        <w:gridCol w:w="2060"/>
        <w:gridCol w:w="1640"/>
        <w:gridCol w:w="2560"/>
        <w:gridCol w:w="1420"/>
        <w:gridCol w:w="1560"/>
      </w:tblGrid>
      <w:tr w:rsidR="00246644" w:rsidRPr="005149C4" w14:paraId="4929105A" w14:textId="77777777" w:rsidTr="00B857FA">
        <w:trPr>
          <w:trHeight w:val="312"/>
          <w:jc w:val="center"/>
        </w:trPr>
        <w:tc>
          <w:tcPr>
            <w:tcW w:w="2060"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63289F84"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Concepto del gasto</w:t>
            </w:r>
          </w:p>
        </w:tc>
        <w:tc>
          <w:tcPr>
            <w:tcW w:w="5620" w:type="dxa"/>
            <w:gridSpan w:val="3"/>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287C7B59"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 xml:space="preserve"> Oficina / Programa </w:t>
            </w:r>
          </w:p>
        </w:tc>
        <w:tc>
          <w:tcPr>
            <w:tcW w:w="1560"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4A94CA7E"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Costo total</w:t>
            </w:r>
          </w:p>
        </w:tc>
      </w:tr>
      <w:tr w:rsidR="00246644" w:rsidRPr="005149C4" w14:paraId="1E1EA13E" w14:textId="77777777" w:rsidTr="00B857FA">
        <w:trPr>
          <w:trHeight w:val="840"/>
          <w:jc w:val="center"/>
        </w:trPr>
        <w:tc>
          <w:tcPr>
            <w:tcW w:w="2060" w:type="dxa"/>
            <w:vMerge/>
            <w:tcBorders>
              <w:top w:val="double" w:sz="6" w:space="0" w:color="1F4E78"/>
              <w:left w:val="double" w:sz="6" w:space="0" w:color="1F4E78"/>
              <w:bottom w:val="double" w:sz="6" w:space="0" w:color="1F4E78"/>
              <w:right w:val="double" w:sz="6" w:space="0" w:color="1F4E78"/>
            </w:tcBorders>
            <w:vAlign w:val="center"/>
            <w:hideMark/>
          </w:tcPr>
          <w:p w14:paraId="47651899" w14:textId="77777777" w:rsidR="00246644" w:rsidRPr="005149C4" w:rsidRDefault="00246644" w:rsidP="00B857FA">
            <w:pPr>
              <w:spacing w:before="0" w:after="0" w:line="240" w:lineRule="auto"/>
              <w:jc w:val="left"/>
              <w:rPr>
                <w:rFonts w:eastAsia="Times New Roman" w:cs="Calibri"/>
                <w:b/>
                <w:bCs/>
                <w:sz w:val="16"/>
                <w:szCs w:val="16"/>
                <w:lang w:eastAsia="es-CR"/>
              </w:rPr>
            </w:pPr>
          </w:p>
        </w:tc>
        <w:tc>
          <w:tcPr>
            <w:tcW w:w="1640" w:type="dxa"/>
            <w:tcBorders>
              <w:top w:val="nil"/>
              <w:left w:val="nil"/>
              <w:bottom w:val="double" w:sz="6" w:space="0" w:color="1F4E78"/>
              <w:right w:val="double" w:sz="6" w:space="0" w:color="1F4E78"/>
            </w:tcBorders>
            <w:shd w:val="clear" w:color="000000" w:fill="B4C6E7"/>
            <w:vAlign w:val="center"/>
            <w:hideMark/>
          </w:tcPr>
          <w:p w14:paraId="0C6D7F80"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Departamento de Trabajo Social y Psicología</w:t>
            </w:r>
          </w:p>
        </w:tc>
        <w:tc>
          <w:tcPr>
            <w:tcW w:w="2560" w:type="dxa"/>
            <w:tcBorders>
              <w:top w:val="nil"/>
              <w:left w:val="nil"/>
              <w:bottom w:val="double" w:sz="6" w:space="0" w:color="1F4E78"/>
              <w:right w:val="double" w:sz="6" w:space="0" w:color="1F4E78"/>
            </w:tcBorders>
            <w:shd w:val="clear" w:color="000000" w:fill="B4C6E7"/>
            <w:vAlign w:val="center"/>
            <w:hideMark/>
          </w:tcPr>
          <w:p w14:paraId="5FC103C6"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Defensa Pública</w:t>
            </w:r>
          </w:p>
        </w:tc>
        <w:tc>
          <w:tcPr>
            <w:tcW w:w="1420" w:type="dxa"/>
            <w:tcBorders>
              <w:top w:val="nil"/>
              <w:left w:val="nil"/>
              <w:bottom w:val="double" w:sz="6" w:space="0" w:color="1F4E78"/>
              <w:right w:val="double" w:sz="6" w:space="0" w:color="1F4E78"/>
            </w:tcBorders>
            <w:shd w:val="clear" w:color="000000" w:fill="B4C6E7"/>
            <w:vAlign w:val="center"/>
            <w:hideMark/>
          </w:tcPr>
          <w:p w14:paraId="0ABABE91"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Ministerio Publico</w:t>
            </w:r>
          </w:p>
        </w:tc>
        <w:tc>
          <w:tcPr>
            <w:tcW w:w="1560" w:type="dxa"/>
            <w:vMerge/>
            <w:tcBorders>
              <w:top w:val="double" w:sz="6" w:space="0" w:color="1F4E78"/>
              <w:left w:val="nil"/>
              <w:bottom w:val="double" w:sz="6" w:space="0" w:color="1F4E78"/>
              <w:right w:val="double" w:sz="6" w:space="0" w:color="1F4E78"/>
            </w:tcBorders>
            <w:vAlign w:val="center"/>
            <w:hideMark/>
          </w:tcPr>
          <w:p w14:paraId="392D68EA" w14:textId="77777777" w:rsidR="00246644" w:rsidRPr="005149C4" w:rsidRDefault="00246644" w:rsidP="00B857FA">
            <w:pPr>
              <w:spacing w:before="0" w:after="0" w:line="240" w:lineRule="auto"/>
              <w:jc w:val="left"/>
              <w:rPr>
                <w:rFonts w:eastAsia="Times New Roman" w:cs="Calibri"/>
                <w:b/>
                <w:bCs/>
                <w:sz w:val="16"/>
                <w:szCs w:val="16"/>
                <w:lang w:eastAsia="es-CR"/>
              </w:rPr>
            </w:pPr>
          </w:p>
        </w:tc>
      </w:tr>
      <w:tr w:rsidR="00246644" w:rsidRPr="005149C4" w14:paraId="68D36B23" w14:textId="77777777" w:rsidTr="00B857FA">
        <w:trPr>
          <w:trHeight w:val="300"/>
          <w:jc w:val="center"/>
        </w:trPr>
        <w:tc>
          <w:tcPr>
            <w:tcW w:w="2060" w:type="dxa"/>
            <w:vMerge/>
            <w:tcBorders>
              <w:top w:val="double" w:sz="6" w:space="0" w:color="1F4E78"/>
              <w:left w:val="double" w:sz="6" w:space="0" w:color="1F4E78"/>
              <w:bottom w:val="double" w:sz="6" w:space="0" w:color="1F4E78"/>
              <w:right w:val="double" w:sz="6" w:space="0" w:color="1F4E78"/>
            </w:tcBorders>
            <w:vAlign w:val="center"/>
            <w:hideMark/>
          </w:tcPr>
          <w:p w14:paraId="181C7EE6" w14:textId="77777777" w:rsidR="00246644" w:rsidRPr="005149C4" w:rsidRDefault="00246644" w:rsidP="00B857FA">
            <w:pPr>
              <w:spacing w:before="0" w:after="0" w:line="240" w:lineRule="auto"/>
              <w:jc w:val="left"/>
              <w:rPr>
                <w:rFonts w:eastAsia="Times New Roman" w:cs="Calibri"/>
                <w:b/>
                <w:bCs/>
                <w:sz w:val="16"/>
                <w:szCs w:val="16"/>
                <w:lang w:eastAsia="es-CR"/>
              </w:rPr>
            </w:pPr>
          </w:p>
        </w:tc>
        <w:tc>
          <w:tcPr>
            <w:tcW w:w="1640" w:type="dxa"/>
            <w:tcBorders>
              <w:top w:val="nil"/>
              <w:left w:val="nil"/>
              <w:bottom w:val="double" w:sz="6" w:space="0" w:color="1F4E78"/>
              <w:right w:val="double" w:sz="6" w:space="0" w:color="1F4E78"/>
            </w:tcBorders>
            <w:shd w:val="clear" w:color="000000" w:fill="B4C6E7"/>
            <w:vAlign w:val="center"/>
            <w:hideMark/>
          </w:tcPr>
          <w:p w14:paraId="183CF9F3"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926</w:t>
            </w:r>
          </w:p>
        </w:tc>
        <w:tc>
          <w:tcPr>
            <w:tcW w:w="2560" w:type="dxa"/>
            <w:tcBorders>
              <w:top w:val="nil"/>
              <w:left w:val="nil"/>
              <w:bottom w:val="double" w:sz="6" w:space="0" w:color="1F4E78"/>
              <w:right w:val="double" w:sz="6" w:space="0" w:color="1F4E78"/>
            </w:tcBorders>
            <w:shd w:val="clear" w:color="000000" w:fill="B4C6E7"/>
            <w:vAlign w:val="center"/>
            <w:hideMark/>
          </w:tcPr>
          <w:p w14:paraId="764DA22F"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930</w:t>
            </w:r>
          </w:p>
        </w:tc>
        <w:tc>
          <w:tcPr>
            <w:tcW w:w="1420" w:type="dxa"/>
            <w:tcBorders>
              <w:top w:val="nil"/>
              <w:left w:val="nil"/>
              <w:bottom w:val="double" w:sz="6" w:space="0" w:color="1F4E78"/>
              <w:right w:val="double" w:sz="6" w:space="0" w:color="1F4E78"/>
            </w:tcBorders>
            <w:shd w:val="clear" w:color="000000" w:fill="B4C6E7"/>
            <w:vAlign w:val="center"/>
            <w:hideMark/>
          </w:tcPr>
          <w:p w14:paraId="1B53ED26" w14:textId="77777777" w:rsidR="00246644" w:rsidRPr="005149C4" w:rsidRDefault="00246644" w:rsidP="00B857FA">
            <w:pPr>
              <w:spacing w:before="0" w:after="0" w:line="240" w:lineRule="auto"/>
              <w:jc w:val="center"/>
              <w:rPr>
                <w:rFonts w:eastAsia="Times New Roman" w:cs="Calibri"/>
                <w:b/>
                <w:bCs/>
                <w:sz w:val="16"/>
                <w:szCs w:val="16"/>
                <w:lang w:eastAsia="es-CR"/>
              </w:rPr>
            </w:pPr>
            <w:r w:rsidRPr="005149C4">
              <w:rPr>
                <w:rFonts w:eastAsia="Times New Roman" w:cs="Calibri"/>
                <w:b/>
                <w:bCs/>
                <w:sz w:val="16"/>
                <w:szCs w:val="16"/>
                <w:lang w:eastAsia="es-CR"/>
              </w:rPr>
              <w:t>929</w:t>
            </w:r>
          </w:p>
        </w:tc>
        <w:tc>
          <w:tcPr>
            <w:tcW w:w="1560" w:type="dxa"/>
            <w:vMerge/>
            <w:tcBorders>
              <w:top w:val="double" w:sz="6" w:space="0" w:color="1F4E78"/>
              <w:left w:val="nil"/>
              <w:bottom w:val="double" w:sz="6" w:space="0" w:color="1F4E78"/>
              <w:right w:val="double" w:sz="6" w:space="0" w:color="1F4E78"/>
            </w:tcBorders>
            <w:vAlign w:val="center"/>
            <w:hideMark/>
          </w:tcPr>
          <w:p w14:paraId="7DBD78E2" w14:textId="77777777" w:rsidR="00246644" w:rsidRPr="005149C4" w:rsidRDefault="00246644" w:rsidP="00B857FA">
            <w:pPr>
              <w:spacing w:before="0" w:after="0" w:line="240" w:lineRule="auto"/>
              <w:jc w:val="left"/>
              <w:rPr>
                <w:rFonts w:eastAsia="Times New Roman" w:cs="Calibri"/>
                <w:b/>
                <w:bCs/>
                <w:sz w:val="16"/>
                <w:szCs w:val="16"/>
                <w:lang w:eastAsia="es-CR"/>
              </w:rPr>
            </w:pPr>
          </w:p>
        </w:tc>
      </w:tr>
      <w:tr w:rsidR="00246644" w:rsidRPr="005149C4" w14:paraId="44D7A4A9" w14:textId="77777777" w:rsidTr="00B857FA">
        <w:trPr>
          <w:trHeight w:val="285"/>
          <w:jc w:val="center"/>
        </w:trPr>
        <w:tc>
          <w:tcPr>
            <w:tcW w:w="2060" w:type="dxa"/>
            <w:tcBorders>
              <w:top w:val="nil"/>
              <w:left w:val="double" w:sz="6" w:space="0" w:color="1F4E78"/>
              <w:bottom w:val="double" w:sz="6" w:space="0" w:color="1F4E78"/>
              <w:right w:val="double" w:sz="6" w:space="0" w:color="1F4E78"/>
            </w:tcBorders>
            <w:shd w:val="clear" w:color="auto" w:fill="auto"/>
            <w:noWrap/>
            <w:vAlign w:val="bottom"/>
            <w:hideMark/>
          </w:tcPr>
          <w:p w14:paraId="11C2136E" w14:textId="77777777" w:rsidR="00246644" w:rsidRPr="005149C4" w:rsidRDefault="00246644" w:rsidP="00B857FA">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Recurso Humano</w:t>
            </w:r>
          </w:p>
        </w:tc>
        <w:tc>
          <w:tcPr>
            <w:tcW w:w="1640" w:type="dxa"/>
            <w:tcBorders>
              <w:top w:val="nil"/>
              <w:left w:val="nil"/>
              <w:bottom w:val="double" w:sz="6" w:space="0" w:color="1F4E78"/>
              <w:right w:val="double" w:sz="6" w:space="0" w:color="1F4E78"/>
            </w:tcBorders>
            <w:shd w:val="clear" w:color="auto" w:fill="auto"/>
            <w:vAlign w:val="center"/>
            <w:hideMark/>
          </w:tcPr>
          <w:p w14:paraId="5D702426"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ascii="Times New Roman" w:eastAsia="Times New Roman" w:hAnsi="Times New Roman"/>
                <w:sz w:val="16"/>
                <w:szCs w:val="16"/>
                <w:lang w:eastAsia="es-CR"/>
              </w:rPr>
              <w:t>₡</w:t>
            </w:r>
            <w:r w:rsidRPr="005149C4">
              <w:rPr>
                <w:rFonts w:eastAsia="Times New Roman" w:cs="Calibri"/>
                <w:sz w:val="16"/>
                <w:szCs w:val="16"/>
                <w:lang w:eastAsia="es-CR"/>
              </w:rPr>
              <w:t>478 335 000,00</w:t>
            </w:r>
          </w:p>
        </w:tc>
        <w:tc>
          <w:tcPr>
            <w:tcW w:w="2560" w:type="dxa"/>
            <w:tcBorders>
              <w:top w:val="nil"/>
              <w:left w:val="nil"/>
              <w:bottom w:val="double" w:sz="6" w:space="0" w:color="1F4E78"/>
              <w:right w:val="double" w:sz="6" w:space="0" w:color="1F4E78"/>
            </w:tcBorders>
            <w:shd w:val="clear" w:color="auto" w:fill="auto"/>
            <w:vAlign w:val="center"/>
            <w:hideMark/>
          </w:tcPr>
          <w:p w14:paraId="3227A0B2"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ascii="Times New Roman" w:eastAsia="Times New Roman" w:hAnsi="Times New Roman"/>
                <w:sz w:val="16"/>
                <w:szCs w:val="16"/>
                <w:lang w:eastAsia="es-CR"/>
              </w:rPr>
              <w:t>₡</w:t>
            </w:r>
            <w:r w:rsidRPr="005149C4">
              <w:rPr>
                <w:rFonts w:eastAsia="Times New Roman" w:cs="Calibri"/>
                <w:sz w:val="16"/>
                <w:szCs w:val="16"/>
                <w:lang w:eastAsia="es-CR"/>
              </w:rPr>
              <w:t>372 960 000,00</w:t>
            </w:r>
          </w:p>
        </w:tc>
        <w:tc>
          <w:tcPr>
            <w:tcW w:w="1420" w:type="dxa"/>
            <w:tcBorders>
              <w:top w:val="nil"/>
              <w:left w:val="nil"/>
              <w:bottom w:val="double" w:sz="6" w:space="0" w:color="1F4E78"/>
              <w:right w:val="double" w:sz="6" w:space="0" w:color="1F4E78"/>
            </w:tcBorders>
            <w:shd w:val="clear" w:color="auto" w:fill="auto"/>
            <w:vAlign w:val="center"/>
            <w:hideMark/>
          </w:tcPr>
          <w:p w14:paraId="354C8CC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ascii="Times New Roman" w:eastAsia="Times New Roman" w:hAnsi="Times New Roman"/>
                <w:sz w:val="16"/>
                <w:szCs w:val="16"/>
                <w:lang w:eastAsia="es-CR"/>
              </w:rPr>
              <w:t>₡</w:t>
            </w:r>
            <w:r w:rsidRPr="005149C4">
              <w:rPr>
                <w:rFonts w:eastAsia="Times New Roman" w:cs="Calibri"/>
                <w:sz w:val="16"/>
                <w:szCs w:val="16"/>
                <w:lang w:eastAsia="es-CR"/>
              </w:rPr>
              <w:t>508 555 000,00</w:t>
            </w:r>
          </w:p>
        </w:tc>
        <w:tc>
          <w:tcPr>
            <w:tcW w:w="1560" w:type="dxa"/>
            <w:tcBorders>
              <w:top w:val="nil"/>
              <w:left w:val="nil"/>
              <w:bottom w:val="double" w:sz="6" w:space="0" w:color="1F4E78"/>
              <w:right w:val="double" w:sz="6" w:space="0" w:color="1F4E78"/>
            </w:tcBorders>
            <w:shd w:val="clear" w:color="auto" w:fill="auto"/>
            <w:noWrap/>
            <w:vAlign w:val="bottom"/>
            <w:hideMark/>
          </w:tcPr>
          <w:p w14:paraId="54C280E5" w14:textId="77777777" w:rsidR="00246644" w:rsidRPr="005149C4" w:rsidRDefault="00246644" w:rsidP="00B857FA">
            <w:pPr>
              <w:spacing w:before="0" w:after="0" w:line="240" w:lineRule="auto"/>
              <w:jc w:val="center"/>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1 359 850 000,00</w:t>
            </w:r>
          </w:p>
        </w:tc>
      </w:tr>
      <w:tr w:rsidR="00246644" w:rsidRPr="005149C4" w14:paraId="7D232EA3" w14:textId="77777777" w:rsidTr="00B857FA">
        <w:trPr>
          <w:trHeight w:val="285"/>
          <w:jc w:val="center"/>
        </w:trPr>
        <w:tc>
          <w:tcPr>
            <w:tcW w:w="2060" w:type="dxa"/>
            <w:tcBorders>
              <w:top w:val="nil"/>
              <w:left w:val="double" w:sz="6" w:space="0" w:color="1F4E78"/>
              <w:bottom w:val="nil"/>
              <w:right w:val="double" w:sz="6" w:space="0" w:color="1F4E78"/>
            </w:tcBorders>
            <w:shd w:val="clear" w:color="auto" w:fill="auto"/>
            <w:noWrap/>
            <w:vAlign w:val="bottom"/>
            <w:hideMark/>
          </w:tcPr>
          <w:p w14:paraId="1FD4CE93" w14:textId="77777777" w:rsidR="00246644" w:rsidRPr="005149C4" w:rsidRDefault="00246644" w:rsidP="00B857FA">
            <w:pPr>
              <w:spacing w:before="0" w:after="0" w:line="240" w:lineRule="auto"/>
              <w:jc w:val="center"/>
              <w:rPr>
                <w:rFonts w:eastAsia="Times New Roman" w:cs="Calibri"/>
                <w:color w:val="000000"/>
                <w:sz w:val="16"/>
                <w:szCs w:val="16"/>
                <w:lang w:eastAsia="es-CR"/>
              </w:rPr>
            </w:pPr>
            <w:r w:rsidRPr="005149C4">
              <w:rPr>
                <w:rFonts w:eastAsia="Times New Roman" w:cs="Calibri"/>
                <w:color w:val="000000"/>
                <w:sz w:val="16"/>
                <w:szCs w:val="16"/>
                <w:lang w:eastAsia="es-CR"/>
              </w:rPr>
              <w:t>Equipo y mobiliario</w:t>
            </w:r>
          </w:p>
        </w:tc>
        <w:tc>
          <w:tcPr>
            <w:tcW w:w="1640" w:type="dxa"/>
            <w:tcBorders>
              <w:top w:val="nil"/>
              <w:left w:val="nil"/>
              <w:bottom w:val="nil"/>
              <w:right w:val="double" w:sz="6" w:space="0" w:color="1F4E78"/>
            </w:tcBorders>
            <w:shd w:val="clear" w:color="auto" w:fill="auto"/>
            <w:vAlign w:val="center"/>
            <w:hideMark/>
          </w:tcPr>
          <w:p w14:paraId="42059573"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ascii="Times New Roman" w:eastAsia="Times New Roman" w:hAnsi="Times New Roman"/>
                <w:sz w:val="16"/>
                <w:szCs w:val="16"/>
                <w:lang w:eastAsia="es-CR"/>
              </w:rPr>
              <w:t>₡</w:t>
            </w:r>
            <w:r w:rsidRPr="005149C4">
              <w:rPr>
                <w:rFonts w:eastAsia="Times New Roman" w:cs="Calibri"/>
                <w:sz w:val="16"/>
                <w:szCs w:val="16"/>
                <w:lang w:eastAsia="es-CR"/>
              </w:rPr>
              <w:t>20 184 868,73</w:t>
            </w:r>
          </w:p>
        </w:tc>
        <w:tc>
          <w:tcPr>
            <w:tcW w:w="2560" w:type="dxa"/>
            <w:tcBorders>
              <w:top w:val="nil"/>
              <w:left w:val="nil"/>
              <w:bottom w:val="nil"/>
              <w:right w:val="double" w:sz="6" w:space="0" w:color="1F4E78"/>
            </w:tcBorders>
            <w:shd w:val="clear" w:color="auto" w:fill="auto"/>
            <w:vAlign w:val="center"/>
            <w:hideMark/>
          </w:tcPr>
          <w:p w14:paraId="6B433185"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ascii="Times New Roman" w:eastAsia="Times New Roman" w:hAnsi="Times New Roman"/>
                <w:sz w:val="16"/>
                <w:szCs w:val="16"/>
                <w:lang w:eastAsia="es-CR"/>
              </w:rPr>
              <w:t>₡</w:t>
            </w:r>
            <w:r w:rsidRPr="005149C4">
              <w:rPr>
                <w:rFonts w:eastAsia="Times New Roman" w:cs="Calibri"/>
                <w:sz w:val="16"/>
                <w:szCs w:val="16"/>
                <w:lang w:eastAsia="es-CR"/>
              </w:rPr>
              <w:t>10 868 775,47</w:t>
            </w:r>
          </w:p>
        </w:tc>
        <w:tc>
          <w:tcPr>
            <w:tcW w:w="1420" w:type="dxa"/>
            <w:tcBorders>
              <w:top w:val="nil"/>
              <w:left w:val="nil"/>
              <w:bottom w:val="nil"/>
              <w:right w:val="double" w:sz="6" w:space="0" w:color="1F4E78"/>
            </w:tcBorders>
            <w:shd w:val="clear" w:color="auto" w:fill="auto"/>
            <w:vAlign w:val="center"/>
            <w:hideMark/>
          </w:tcPr>
          <w:p w14:paraId="0BCFA5DE" w14:textId="77777777" w:rsidR="00246644" w:rsidRPr="005149C4" w:rsidRDefault="00246644" w:rsidP="00B857FA">
            <w:pPr>
              <w:spacing w:before="0" w:after="0" w:line="240" w:lineRule="auto"/>
              <w:jc w:val="center"/>
              <w:rPr>
                <w:rFonts w:eastAsia="Times New Roman" w:cs="Calibri"/>
                <w:sz w:val="16"/>
                <w:szCs w:val="16"/>
                <w:lang w:eastAsia="es-CR"/>
              </w:rPr>
            </w:pPr>
            <w:r w:rsidRPr="005149C4">
              <w:rPr>
                <w:rFonts w:ascii="Times New Roman" w:eastAsia="Times New Roman" w:hAnsi="Times New Roman"/>
                <w:sz w:val="16"/>
                <w:szCs w:val="16"/>
                <w:lang w:eastAsia="es-CR"/>
              </w:rPr>
              <w:t>₡</w:t>
            </w:r>
            <w:r w:rsidRPr="005149C4">
              <w:rPr>
                <w:rFonts w:eastAsia="Times New Roman" w:cs="Calibri"/>
                <w:sz w:val="16"/>
                <w:szCs w:val="16"/>
                <w:lang w:eastAsia="es-CR"/>
              </w:rPr>
              <w:t>22 588 286,43</w:t>
            </w:r>
          </w:p>
        </w:tc>
        <w:tc>
          <w:tcPr>
            <w:tcW w:w="1560" w:type="dxa"/>
            <w:tcBorders>
              <w:top w:val="nil"/>
              <w:left w:val="nil"/>
              <w:bottom w:val="double" w:sz="6" w:space="0" w:color="1F4E78"/>
              <w:right w:val="double" w:sz="6" w:space="0" w:color="1F4E78"/>
            </w:tcBorders>
            <w:shd w:val="clear" w:color="auto" w:fill="auto"/>
            <w:noWrap/>
            <w:vAlign w:val="center"/>
            <w:hideMark/>
          </w:tcPr>
          <w:p w14:paraId="381AF484" w14:textId="77777777" w:rsidR="00246644" w:rsidRPr="005149C4" w:rsidRDefault="00246644" w:rsidP="00B857FA">
            <w:pPr>
              <w:spacing w:before="0" w:after="0" w:line="240" w:lineRule="auto"/>
              <w:jc w:val="center"/>
              <w:rPr>
                <w:rFonts w:eastAsia="Times New Roman" w:cs="Calibri"/>
                <w:color w:val="000000"/>
                <w:sz w:val="16"/>
                <w:szCs w:val="16"/>
                <w:lang w:eastAsia="es-CR"/>
              </w:rPr>
            </w:pPr>
            <w:r w:rsidRPr="005149C4">
              <w:rPr>
                <w:rFonts w:ascii="Times New Roman" w:eastAsia="Times New Roman" w:hAnsi="Times New Roman"/>
                <w:color w:val="000000"/>
                <w:sz w:val="16"/>
                <w:szCs w:val="16"/>
                <w:lang w:eastAsia="es-CR"/>
              </w:rPr>
              <w:t>₡</w:t>
            </w:r>
            <w:r w:rsidRPr="005149C4">
              <w:rPr>
                <w:rFonts w:eastAsia="Times New Roman" w:cs="Calibri"/>
                <w:color w:val="000000"/>
                <w:sz w:val="16"/>
                <w:szCs w:val="16"/>
                <w:lang w:eastAsia="es-CR"/>
              </w:rPr>
              <w:t>53 641 930,63</w:t>
            </w:r>
          </w:p>
        </w:tc>
      </w:tr>
      <w:tr w:rsidR="00246644" w:rsidRPr="005149C4" w14:paraId="659B41C7" w14:textId="77777777" w:rsidTr="00B857FA">
        <w:trPr>
          <w:trHeight w:val="312"/>
          <w:jc w:val="center"/>
        </w:trPr>
        <w:tc>
          <w:tcPr>
            <w:tcW w:w="7680" w:type="dxa"/>
            <w:gridSpan w:val="4"/>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49C11661"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eastAsia="Times New Roman" w:cs="Calibri"/>
                <w:b/>
                <w:bCs/>
                <w:color w:val="000000"/>
                <w:sz w:val="16"/>
                <w:szCs w:val="16"/>
                <w:lang w:eastAsia="es-CR"/>
              </w:rPr>
              <w:t>Total General</w:t>
            </w:r>
          </w:p>
        </w:tc>
        <w:tc>
          <w:tcPr>
            <w:tcW w:w="1560" w:type="dxa"/>
            <w:tcBorders>
              <w:top w:val="nil"/>
              <w:left w:val="nil"/>
              <w:bottom w:val="double" w:sz="6" w:space="0" w:color="1F4E78"/>
              <w:right w:val="double" w:sz="6" w:space="0" w:color="1F4E78"/>
            </w:tcBorders>
            <w:shd w:val="clear" w:color="auto" w:fill="auto"/>
            <w:noWrap/>
            <w:vAlign w:val="bottom"/>
            <w:hideMark/>
          </w:tcPr>
          <w:p w14:paraId="0F846820" w14:textId="77777777" w:rsidR="00246644" w:rsidRPr="005149C4" w:rsidRDefault="00246644" w:rsidP="00B857FA">
            <w:pPr>
              <w:spacing w:before="0" w:after="0" w:line="240" w:lineRule="auto"/>
              <w:jc w:val="center"/>
              <w:rPr>
                <w:rFonts w:eastAsia="Times New Roman" w:cs="Calibri"/>
                <w:b/>
                <w:bCs/>
                <w:color w:val="000000"/>
                <w:sz w:val="16"/>
                <w:szCs w:val="16"/>
                <w:lang w:eastAsia="es-CR"/>
              </w:rPr>
            </w:pPr>
            <w:r w:rsidRPr="005149C4">
              <w:rPr>
                <w:rFonts w:ascii="Times New Roman" w:eastAsia="Times New Roman" w:hAnsi="Times New Roman"/>
                <w:b/>
                <w:bCs/>
                <w:color w:val="000000"/>
                <w:sz w:val="16"/>
                <w:szCs w:val="16"/>
                <w:lang w:eastAsia="es-CR"/>
              </w:rPr>
              <w:t>₡</w:t>
            </w:r>
            <w:r w:rsidRPr="005149C4">
              <w:rPr>
                <w:rFonts w:eastAsia="Times New Roman" w:cs="Calibri"/>
                <w:b/>
                <w:bCs/>
                <w:color w:val="000000"/>
                <w:sz w:val="16"/>
                <w:szCs w:val="16"/>
                <w:lang w:eastAsia="es-CR"/>
              </w:rPr>
              <w:t>1 413 491 930,63</w:t>
            </w:r>
          </w:p>
        </w:tc>
      </w:tr>
    </w:tbl>
    <w:p w14:paraId="391C340D" w14:textId="77777777" w:rsidR="00246644" w:rsidRPr="005149C4" w:rsidRDefault="00246644" w:rsidP="00983AE0">
      <w:pPr>
        <w:tabs>
          <w:tab w:val="left" w:pos="284"/>
        </w:tabs>
        <w:ind w:right="49"/>
        <w:rPr>
          <w:rFonts w:cs="Calibri"/>
          <w:bCs/>
          <w:color w:val="000000"/>
          <w:sz w:val="16"/>
          <w:szCs w:val="16"/>
          <w:lang w:eastAsia="es-CR"/>
        </w:rPr>
      </w:pPr>
      <w:r w:rsidRPr="005149C4">
        <w:rPr>
          <w:rFonts w:cs="Calibri"/>
          <w:b/>
          <w:color w:val="000000"/>
          <w:sz w:val="16"/>
          <w:szCs w:val="16"/>
          <w:lang w:eastAsia="es-CR"/>
        </w:rPr>
        <w:t xml:space="preserve">Fuente: </w:t>
      </w:r>
      <w:r w:rsidRPr="005149C4">
        <w:rPr>
          <w:rFonts w:cs="Calibri"/>
          <w:bCs/>
          <w:color w:val="000000"/>
          <w:sz w:val="16"/>
          <w:szCs w:val="16"/>
          <w:lang w:eastAsia="es-CR"/>
        </w:rPr>
        <w:t>Modernización Institucional a partir de la información suministrada por el Subproceso de Formulación de Presupuestaria. Nota: En apéndice 9 se presenta el detalle de cada rubro.</w:t>
      </w:r>
    </w:p>
    <w:p w14:paraId="1E5D9C72" w14:textId="1527FEA9" w:rsidR="00246644" w:rsidRPr="007010DD" w:rsidRDefault="00246644" w:rsidP="007010DD">
      <w:pPr>
        <w:tabs>
          <w:tab w:val="left" w:pos="0"/>
        </w:tabs>
      </w:pPr>
      <w:r w:rsidRPr="005149C4">
        <w:t xml:space="preserve">Conforme a los requerimientos solicitados al excluir los equipos especializados </w:t>
      </w:r>
      <w:r w:rsidR="00F101E0">
        <w:t>itinerantes para justicia restaurativa en ejecución de la pena, penal juvenil y del procedimiento de bienestar animal</w:t>
      </w:r>
      <w:r w:rsidRPr="005149C4">
        <w:t xml:space="preserve">, se estima un costo total de </w:t>
      </w:r>
      <w:r w:rsidRPr="005149C4">
        <w:rPr>
          <w:rFonts w:ascii="Times New Roman" w:hAnsi="Times New Roman"/>
        </w:rPr>
        <w:t>₡</w:t>
      </w:r>
      <w:r w:rsidRPr="005149C4">
        <w:t xml:space="preserve">1 413 491 930.63; distribuido en </w:t>
      </w:r>
      <w:r w:rsidRPr="005149C4">
        <w:rPr>
          <w:rFonts w:ascii="Times New Roman" w:hAnsi="Times New Roman"/>
        </w:rPr>
        <w:t>₡</w:t>
      </w:r>
      <w:r w:rsidRPr="005149C4">
        <w:t xml:space="preserve">1 359 850 000.00 correspondientes al costo del recurso humano, </w:t>
      </w:r>
      <w:r w:rsidRPr="005149C4">
        <w:rPr>
          <w:rFonts w:ascii="Times New Roman" w:hAnsi="Times New Roman"/>
        </w:rPr>
        <w:t>₡</w:t>
      </w:r>
      <w:r w:rsidRPr="005149C4">
        <w:t>53 641 930.63 necesario para cubrir las necesidades de equipo y mobiliario del recurso humano.</w:t>
      </w:r>
    </w:p>
    <w:p w14:paraId="632A0095" w14:textId="286DB9B4" w:rsidR="00F101E0" w:rsidRDefault="0029649D" w:rsidP="00F101E0">
      <w:pPr>
        <w:pStyle w:val="Prrafodelista"/>
        <w:numPr>
          <w:ilvl w:val="1"/>
          <w:numId w:val="28"/>
        </w:numPr>
        <w:tabs>
          <w:tab w:val="left" w:pos="0"/>
        </w:tabs>
      </w:pPr>
      <w:r>
        <w:t xml:space="preserve">Desde que se aprobó la legislación para la aplicación de Justicia Restaurativa en los diferentes procesos el Poder Judicial con los mismos recursos internos a maximizado los recursos y extendiendo los servicios hasta donde ha sido posible a la fecha, monitoreando las diferentes zonas del país para dar acceso a este servicio. </w:t>
      </w:r>
      <w:r w:rsidR="002D74EB">
        <w:t>Debido a</w:t>
      </w:r>
      <w:r>
        <w:t xml:space="preserve"> las limitaciones presupuestarias impuestas al Poder Judicial y en el tanto, </w:t>
      </w:r>
      <w:r w:rsidR="00F101E0" w:rsidRPr="00983AE0">
        <w:t xml:space="preserve">se logran obtener los recursos económicos adicionales sugeridos en la propuesta de fortalecimiento de justicia restaurativa, se considera que el programa </w:t>
      </w:r>
      <w:r>
        <w:t xml:space="preserve">siga impulsando la mejora continua y con su capacidad instalada </w:t>
      </w:r>
      <w:r w:rsidR="00F101E0" w:rsidRPr="00983AE0">
        <w:t>actual</w:t>
      </w:r>
      <w:r>
        <w:t xml:space="preserve"> pueda </w:t>
      </w:r>
      <w:r w:rsidR="00F101E0" w:rsidRPr="00983AE0">
        <w:rPr>
          <w:rFonts w:cs="Times New Roman"/>
          <w:szCs w:val="22"/>
          <w:lang w:eastAsia="en-US"/>
        </w:rPr>
        <w:t xml:space="preserve">continuar </w:t>
      </w:r>
      <w:r w:rsidR="00F101E0" w:rsidRPr="00983AE0">
        <w:t>extendiéndose</w:t>
      </w:r>
      <w:r>
        <w:t xml:space="preserve"> y maximizando la prestación de su servicio con el recurso interno</w:t>
      </w:r>
      <w:r w:rsidR="00F101E0" w:rsidRPr="00983AE0">
        <w:t xml:space="preserve">. </w:t>
      </w:r>
    </w:p>
    <w:p w14:paraId="5759071C" w14:textId="772AF297" w:rsidR="00F101E0" w:rsidRDefault="00F101E0" w:rsidP="00F101E0">
      <w:pPr>
        <w:pStyle w:val="Prrafodelista"/>
        <w:numPr>
          <w:ilvl w:val="1"/>
          <w:numId w:val="28"/>
        </w:numPr>
        <w:tabs>
          <w:tab w:val="left" w:pos="0"/>
        </w:tabs>
      </w:pPr>
      <w:r>
        <w:t xml:space="preserve">Las plazas nuevas solicitadas con respecto al escenario aprobado por la Corte Plena en la sesión </w:t>
      </w:r>
      <w:r w:rsidRPr="00983AE0">
        <w:t>27-2022 del 01 de junio del 2022, artículo II</w:t>
      </w:r>
      <w:r>
        <w:t xml:space="preserve"> </w:t>
      </w:r>
      <w:r w:rsidRPr="000E22E8">
        <w:t>(Ver apéndice 12)</w:t>
      </w:r>
      <w:r>
        <w:t>,</w:t>
      </w:r>
      <w:r w:rsidRPr="00983AE0">
        <w:t xml:space="preserve"> </w:t>
      </w:r>
      <w:r>
        <w:t>r</w:t>
      </w:r>
      <w:r w:rsidRPr="00983AE0">
        <w:t>elacionado con Impacto organizacional y presupuestario en el Poder Judicial, partir de la promulgación de la Ley 9582 Justicia Restaurativa</w:t>
      </w:r>
      <w:r>
        <w:t>, se considera no inclui</w:t>
      </w:r>
      <w:r w:rsidR="0029649D">
        <w:t>r</w:t>
      </w:r>
      <w:r>
        <w:t xml:space="preserve"> en esta formulación presupuestaria,</w:t>
      </w:r>
      <w:r w:rsidR="0029649D">
        <w:t xml:space="preserve"> en su defecto se propone que la Dirección del Programa de Justicia Restaurativa coordine con las Jefaturas de la Defensa Pública y Ministerio Público de tal forma que en la materia Ejecución de la Pena se implemente el procedimiento de Justicia Restaurativa como parte de una forma alternativa de resolver el conflicto, sin duplicar las estructuras, ya que por las limitaciones económicas informadas por el Ministerio de Hacienda no hay posibilidad de crear recursos ordinarios nuevos. </w:t>
      </w:r>
      <w:r>
        <w:t xml:space="preserve"> </w:t>
      </w:r>
      <w:r w:rsidR="0029649D">
        <w:t>Los recursos adicionales fueron</w:t>
      </w:r>
      <w:r>
        <w:t xml:space="preserve"> solicitados</w:t>
      </w:r>
      <w:r w:rsidR="0029649D">
        <w:t xml:space="preserve"> para incluir en esta formulación se realizaron mediante el</w:t>
      </w:r>
      <w:r>
        <w:t xml:space="preserve"> oficio 038-ORJR-2023, del 6 de febrero de 2023.</w:t>
      </w:r>
    </w:p>
    <w:p w14:paraId="2DBAFC11" w14:textId="45A992A0" w:rsidR="00F101E0" w:rsidRPr="00983AE0" w:rsidRDefault="002D74EB" w:rsidP="00F101E0">
      <w:pPr>
        <w:pStyle w:val="Prrafodelista"/>
        <w:tabs>
          <w:tab w:val="left" w:pos="0"/>
        </w:tabs>
        <w:ind w:left="360"/>
      </w:pPr>
      <w:r w:rsidRPr="00F101E0">
        <w:rPr>
          <w:noProof/>
        </w:rPr>
        <w:drawing>
          <wp:anchor distT="0" distB="0" distL="114300" distR="114300" simplePos="0" relativeHeight="251659264" behindDoc="0" locked="0" layoutInCell="1" allowOverlap="1" wp14:anchorId="04A64783" wp14:editId="156AE310">
            <wp:simplePos x="0" y="0"/>
            <wp:positionH relativeFrom="margin">
              <wp:align>center</wp:align>
            </wp:positionH>
            <wp:positionV relativeFrom="paragraph">
              <wp:posOffset>32099</wp:posOffset>
            </wp:positionV>
            <wp:extent cx="1886585" cy="3129280"/>
            <wp:effectExtent l="0" t="0" r="0" b="0"/>
            <wp:wrapThrough wrapText="bothSides">
              <wp:wrapPolygon edited="0">
                <wp:start x="0" y="0"/>
                <wp:lineTo x="0" y="21433"/>
                <wp:lineTo x="21375" y="21433"/>
                <wp:lineTo x="21375" y="0"/>
                <wp:lineTo x="0" y="0"/>
              </wp:wrapPolygon>
            </wp:wrapThrough>
            <wp:docPr id="4" name="Imagen 4"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Word&#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1886585" cy="3129280"/>
                    </a:xfrm>
                    <a:prstGeom prst="rect">
                      <a:avLst/>
                    </a:prstGeom>
                  </pic:spPr>
                </pic:pic>
              </a:graphicData>
            </a:graphic>
            <wp14:sizeRelH relativeFrom="page">
              <wp14:pctWidth>0</wp14:pctWidth>
            </wp14:sizeRelH>
            <wp14:sizeRelV relativeFrom="page">
              <wp14:pctHeight>0</wp14:pctHeight>
            </wp14:sizeRelV>
          </wp:anchor>
        </w:drawing>
      </w:r>
    </w:p>
    <w:p w14:paraId="18BE358E" w14:textId="5D654DD0" w:rsidR="00F101E0" w:rsidRDefault="00F101E0" w:rsidP="000D2A18">
      <w:pPr>
        <w:rPr>
          <w:b/>
          <w:bCs/>
          <w:sz w:val="20"/>
          <w:szCs w:val="20"/>
        </w:rPr>
      </w:pPr>
    </w:p>
    <w:p w14:paraId="2C0C5CC6" w14:textId="77777777" w:rsidR="00E33A80" w:rsidRPr="005149C4" w:rsidRDefault="00E33A80" w:rsidP="003828F1">
      <w:pPr>
        <w:tabs>
          <w:tab w:val="left" w:pos="0"/>
        </w:tabs>
        <w:sectPr w:rsidR="00E33A80" w:rsidRPr="005149C4" w:rsidSect="008E0DFA">
          <w:headerReference w:type="default" r:id="rId19"/>
          <w:footerReference w:type="default" r:id="rId20"/>
          <w:pgSz w:w="12240" w:h="15840"/>
          <w:pgMar w:top="1417" w:right="1701" w:bottom="1417" w:left="1701" w:header="709" w:footer="709" w:gutter="0"/>
          <w:cols w:space="708"/>
          <w:docGrid w:linePitch="360"/>
        </w:sectPr>
      </w:pPr>
    </w:p>
    <w:p w14:paraId="0C65B185" w14:textId="7A4F8B4F" w:rsidR="006520C1" w:rsidRPr="005149C4" w:rsidRDefault="006520C1" w:rsidP="002D74EB">
      <w:pPr>
        <w:tabs>
          <w:tab w:val="left" w:pos="0"/>
        </w:tabs>
        <w:rPr>
          <w:b/>
          <w:bCs/>
        </w:rPr>
      </w:pPr>
    </w:p>
    <w:p w14:paraId="48C6AE38" w14:textId="54827462" w:rsidR="00B97719" w:rsidRPr="005149C4" w:rsidRDefault="00410F64" w:rsidP="00AA10C8">
      <w:pPr>
        <w:pStyle w:val="Ttulo1"/>
      </w:pPr>
      <w:r w:rsidRPr="005149C4">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6"/>
        <w:gridCol w:w="4692"/>
        <w:gridCol w:w="2594"/>
      </w:tblGrid>
      <w:tr w:rsidR="007957CC" w:rsidRPr="005149C4" w14:paraId="79274CBA" w14:textId="77777777" w:rsidTr="00B331E3">
        <w:trPr>
          <w:tblCellSpacing w:w="1440" w:type="nil"/>
        </w:trPr>
        <w:tc>
          <w:tcPr>
            <w:tcW w:w="871" w:type="pct"/>
            <w:shd w:val="clear" w:color="auto" w:fill="1F3864" w:themeFill="accent1" w:themeFillShade="80"/>
            <w:vAlign w:val="center"/>
          </w:tcPr>
          <w:p w14:paraId="681C2F70" w14:textId="77777777" w:rsidR="007957CC" w:rsidRPr="005149C4" w:rsidRDefault="007957CC" w:rsidP="00055CFC">
            <w:pPr>
              <w:spacing w:before="0" w:after="0"/>
              <w:jc w:val="center"/>
              <w:rPr>
                <w:rFonts w:cs="Arial"/>
                <w:b/>
                <w:color w:val="FFFFFF"/>
              </w:rPr>
            </w:pPr>
            <w:r w:rsidRPr="005149C4">
              <w:rPr>
                <w:rFonts w:cs="Arial"/>
                <w:b/>
                <w:color w:val="FFFFFF"/>
              </w:rPr>
              <w:t>Apéndice</w:t>
            </w:r>
          </w:p>
        </w:tc>
        <w:tc>
          <w:tcPr>
            <w:tcW w:w="2659" w:type="pct"/>
            <w:shd w:val="clear" w:color="auto" w:fill="1F3864" w:themeFill="accent1" w:themeFillShade="80"/>
            <w:vAlign w:val="center"/>
          </w:tcPr>
          <w:p w14:paraId="1C54D526" w14:textId="77777777" w:rsidR="007957CC" w:rsidRPr="005149C4" w:rsidRDefault="007957CC" w:rsidP="00055CFC">
            <w:pPr>
              <w:spacing w:before="0" w:after="0"/>
              <w:jc w:val="center"/>
              <w:rPr>
                <w:rFonts w:cs="Arial"/>
                <w:b/>
                <w:color w:val="FFFFFF"/>
              </w:rPr>
            </w:pPr>
            <w:r w:rsidRPr="005149C4">
              <w:rPr>
                <w:rFonts w:cs="Arial"/>
                <w:b/>
                <w:color w:val="FFFFFF"/>
              </w:rPr>
              <w:t>Nombre</w:t>
            </w:r>
          </w:p>
        </w:tc>
        <w:tc>
          <w:tcPr>
            <w:tcW w:w="1470" w:type="pct"/>
            <w:shd w:val="clear" w:color="auto" w:fill="1F3864" w:themeFill="accent1" w:themeFillShade="80"/>
            <w:vAlign w:val="center"/>
          </w:tcPr>
          <w:p w14:paraId="7D81D723" w14:textId="77777777" w:rsidR="007957CC" w:rsidRPr="005149C4" w:rsidRDefault="007957CC" w:rsidP="00055CFC">
            <w:pPr>
              <w:spacing w:before="0" w:after="0"/>
              <w:jc w:val="center"/>
              <w:rPr>
                <w:rFonts w:cs="Arial"/>
                <w:b/>
                <w:color w:val="FFFFFF"/>
              </w:rPr>
            </w:pPr>
            <w:r w:rsidRPr="005149C4">
              <w:rPr>
                <w:rFonts w:cs="Arial"/>
                <w:b/>
                <w:color w:val="FFFFFF"/>
              </w:rPr>
              <w:t>Documento</w:t>
            </w:r>
          </w:p>
        </w:tc>
      </w:tr>
      <w:tr w:rsidR="00453861" w:rsidRPr="005149C4" w14:paraId="311CA180" w14:textId="77777777" w:rsidTr="00B331E3">
        <w:trPr>
          <w:tblCellSpacing w:w="1440" w:type="nil"/>
        </w:trPr>
        <w:tc>
          <w:tcPr>
            <w:tcW w:w="871" w:type="pct"/>
            <w:shd w:val="clear" w:color="auto" w:fill="auto"/>
            <w:vAlign w:val="center"/>
          </w:tcPr>
          <w:p w14:paraId="38CD83D8" w14:textId="52E6D582" w:rsidR="00453861" w:rsidRPr="005149C4" w:rsidRDefault="00453861" w:rsidP="00453861">
            <w:pPr>
              <w:spacing w:before="0" w:after="0"/>
              <w:jc w:val="center"/>
              <w:rPr>
                <w:rFonts w:cs="Arial"/>
                <w:b/>
                <w:i/>
                <w:color w:val="000000"/>
              </w:rPr>
            </w:pPr>
            <w:r w:rsidRPr="005149C4">
              <w:rPr>
                <w:rFonts w:cs="Arial"/>
                <w:b/>
                <w:i/>
                <w:color w:val="000000"/>
              </w:rPr>
              <w:t>Apéndice 1</w:t>
            </w:r>
          </w:p>
        </w:tc>
        <w:tc>
          <w:tcPr>
            <w:tcW w:w="2659" w:type="pct"/>
            <w:shd w:val="clear" w:color="auto" w:fill="auto"/>
            <w:vAlign w:val="center"/>
          </w:tcPr>
          <w:p w14:paraId="3F47B4DC" w14:textId="49D8B7A6" w:rsidR="00453861" w:rsidRPr="005149C4" w:rsidRDefault="00776684" w:rsidP="00453861">
            <w:pPr>
              <w:spacing w:before="0" w:after="0"/>
              <w:jc w:val="center"/>
              <w:rPr>
                <w:rFonts w:cs="Arial"/>
              </w:rPr>
            </w:pPr>
            <w:r w:rsidRPr="005149C4">
              <w:rPr>
                <w:rFonts w:cs="Arial"/>
              </w:rPr>
              <w:t>Oficio 538-22 de la Secretaria General de la Corte</w:t>
            </w:r>
          </w:p>
        </w:tc>
        <w:bookmarkStart w:id="30" w:name="_MON_1707890771"/>
        <w:bookmarkEnd w:id="30"/>
        <w:tc>
          <w:tcPr>
            <w:tcW w:w="1470" w:type="pct"/>
            <w:shd w:val="clear" w:color="auto" w:fill="auto"/>
            <w:vAlign w:val="center"/>
          </w:tcPr>
          <w:p w14:paraId="3CF22906" w14:textId="139ED7E8" w:rsidR="00453861" w:rsidRPr="005149C4" w:rsidRDefault="00453861" w:rsidP="00453861">
            <w:pPr>
              <w:spacing w:before="0" w:after="0"/>
              <w:jc w:val="center"/>
              <w:rPr>
                <w:rFonts w:cs="Arial"/>
              </w:rPr>
            </w:pPr>
            <w:r w:rsidRPr="005149C4">
              <w:rPr>
                <w:rFonts w:cs="Arial"/>
              </w:rPr>
              <w:object w:dxaOrig="1508" w:dyaOrig="983" w14:anchorId="0AFFD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6.8pt" o:ole="">
                  <v:imagedata r:id="rId21" o:title=""/>
                </v:shape>
                <o:OLEObject Type="Embed" ProgID="Word.Document.12" ShapeID="_x0000_i1025" DrawAspect="Icon" ObjectID="_1745989530" r:id="rId22">
                  <o:FieldCodes>\s</o:FieldCodes>
                </o:OLEObject>
              </w:object>
            </w:r>
          </w:p>
        </w:tc>
      </w:tr>
      <w:tr w:rsidR="00453861" w:rsidRPr="005149C4" w14:paraId="42D89EEC" w14:textId="77777777" w:rsidTr="00B331E3">
        <w:trPr>
          <w:tblCellSpacing w:w="1440" w:type="nil"/>
        </w:trPr>
        <w:tc>
          <w:tcPr>
            <w:tcW w:w="871" w:type="pct"/>
            <w:shd w:val="clear" w:color="auto" w:fill="auto"/>
            <w:vAlign w:val="center"/>
          </w:tcPr>
          <w:p w14:paraId="47318E3F" w14:textId="7C99BD8E" w:rsidR="00453861" w:rsidRPr="005149C4" w:rsidRDefault="00453861" w:rsidP="00453861">
            <w:pPr>
              <w:spacing w:before="0" w:after="0"/>
              <w:jc w:val="center"/>
              <w:rPr>
                <w:rFonts w:cs="Arial"/>
                <w:b/>
                <w:i/>
                <w:color w:val="000000"/>
              </w:rPr>
            </w:pPr>
            <w:r w:rsidRPr="005149C4">
              <w:rPr>
                <w:rFonts w:cs="Arial"/>
                <w:b/>
                <w:i/>
                <w:color w:val="000000"/>
              </w:rPr>
              <w:t>Apéndice 2</w:t>
            </w:r>
          </w:p>
        </w:tc>
        <w:tc>
          <w:tcPr>
            <w:tcW w:w="2659" w:type="pct"/>
            <w:shd w:val="clear" w:color="auto" w:fill="auto"/>
            <w:vAlign w:val="center"/>
          </w:tcPr>
          <w:p w14:paraId="532AD303" w14:textId="6F756094" w:rsidR="00453861" w:rsidRPr="005149C4" w:rsidRDefault="00453861" w:rsidP="00453861">
            <w:pPr>
              <w:spacing w:before="0" w:after="0"/>
              <w:jc w:val="center"/>
              <w:rPr>
                <w:rFonts w:cs="Arial"/>
              </w:rPr>
            </w:pPr>
            <w:r w:rsidRPr="005149C4">
              <w:rPr>
                <w:rFonts w:cs="Arial"/>
              </w:rPr>
              <w:t>Ofi</w:t>
            </w:r>
            <w:r w:rsidR="00C3620F" w:rsidRPr="005149C4">
              <w:rPr>
                <w:rFonts w:cs="Arial"/>
              </w:rPr>
              <w:t>ci</w:t>
            </w:r>
            <w:r w:rsidRPr="005149C4">
              <w:rPr>
                <w:rFonts w:cs="Arial"/>
              </w:rPr>
              <w:t>o</w:t>
            </w:r>
            <w:r w:rsidR="00C3620F" w:rsidRPr="005149C4">
              <w:rPr>
                <w:rFonts w:cs="Arial"/>
              </w:rPr>
              <w:t xml:space="preserve"> </w:t>
            </w:r>
            <w:r w:rsidR="00BC21EE" w:rsidRPr="00773FAC">
              <w:t>038</w:t>
            </w:r>
            <w:r w:rsidR="00BC21EE">
              <w:t>-</w:t>
            </w:r>
            <w:r w:rsidR="00BC21EE" w:rsidRPr="00773FAC">
              <w:t>ORJR</w:t>
            </w:r>
            <w:r w:rsidR="00BC21EE">
              <w:t>-</w:t>
            </w:r>
            <w:r w:rsidR="00BC21EE" w:rsidRPr="00773FAC">
              <w:t>2023</w:t>
            </w:r>
            <w:r w:rsidR="00BC21EE">
              <w:t xml:space="preserve"> </w:t>
            </w:r>
            <w:r w:rsidR="0022048F" w:rsidRPr="005149C4">
              <w:rPr>
                <w:rFonts w:cs="Arial"/>
              </w:rPr>
              <w:t>Requerimientos Presupuestario Justicia Restaurativa 202</w:t>
            </w:r>
            <w:r w:rsidR="00551DD7" w:rsidRPr="005149C4">
              <w:rPr>
                <w:rFonts w:cs="Arial"/>
              </w:rPr>
              <w:t>4</w:t>
            </w:r>
          </w:p>
        </w:tc>
        <w:tc>
          <w:tcPr>
            <w:tcW w:w="1470" w:type="pct"/>
            <w:shd w:val="clear" w:color="auto" w:fill="auto"/>
            <w:vAlign w:val="center"/>
          </w:tcPr>
          <w:p w14:paraId="2CEE08E9" w14:textId="28748D6C" w:rsidR="00453861" w:rsidRPr="005149C4" w:rsidRDefault="007010DD" w:rsidP="00453861">
            <w:pPr>
              <w:spacing w:before="0" w:after="0"/>
              <w:jc w:val="center"/>
              <w:rPr>
                <w:rFonts w:cs="Arial"/>
              </w:rPr>
            </w:pPr>
            <w:r>
              <w:rPr>
                <w:rFonts w:cs="Arial"/>
              </w:rPr>
              <w:object w:dxaOrig="1537" w:dyaOrig="997" w14:anchorId="7E3CBE1B">
                <v:shape id="_x0000_i1026" type="#_x0000_t75" style="width:75.6pt;height:49.2pt" o:ole="">
                  <v:imagedata r:id="rId23" o:title=""/>
                </v:shape>
                <o:OLEObject Type="Embed" ProgID="Acrobat.Document.DC" ShapeID="_x0000_i1026" DrawAspect="Icon" ObjectID="_1745989531" r:id="rId24"/>
              </w:object>
            </w:r>
          </w:p>
        </w:tc>
      </w:tr>
      <w:tr w:rsidR="00453861" w:rsidRPr="005149C4" w14:paraId="484EB6AD" w14:textId="77777777" w:rsidTr="00B331E3">
        <w:trPr>
          <w:tblCellSpacing w:w="1440" w:type="nil"/>
        </w:trPr>
        <w:tc>
          <w:tcPr>
            <w:tcW w:w="871" w:type="pct"/>
            <w:shd w:val="clear" w:color="auto" w:fill="auto"/>
            <w:vAlign w:val="center"/>
          </w:tcPr>
          <w:p w14:paraId="6772597D" w14:textId="3109EEEB" w:rsidR="00453861" w:rsidRPr="005149C4" w:rsidRDefault="00453861" w:rsidP="00453861">
            <w:pPr>
              <w:spacing w:before="0" w:after="0"/>
              <w:jc w:val="center"/>
              <w:rPr>
                <w:rFonts w:cs="Arial"/>
                <w:b/>
                <w:i/>
                <w:color w:val="000000"/>
              </w:rPr>
            </w:pPr>
            <w:r w:rsidRPr="005149C4">
              <w:rPr>
                <w:rFonts w:cs="Arial"/>
                <w:b/>
                <w:i/>
                <w:color w:val="000000"/>
              </w:rPr>
              <w:t>Apéndice 3</w:t>
            </w:r>
          </w:p>
        </w:tc>
        <w:tc>
          <w:tcPr>
            <w:tcW w:w="2659" w:type="pct"/>
            <w:shd w:val="clear" w:color="auto" w:fill="auto"/>
            <w:vAlign w:val="center"/>
          </w:tcPr>
          <w:p w14:paraId="28E00F91" w14:textId="2E028C2C" w:rsidR="00453861" w:rsidRPr="005149C4" w:rsidRDefault="00453861" w:rsidP="00453861">
            <w:pPr>
              <w:spacing w:before="0" w:after="0"/>
              <w:jc w:val="center"/>
              <w:rPr>
                <w:rFonts w:cs="Arial"/>
              </w:rPr>
            </w:pPr>
            <w:r w:rsidRPr="005149C4">
              <w:rPr>
                <w:rFonts w:cs="Arial"/>
              </w:rPr>
              <w:t>Informe de labores de la Oficina Rectora de Justicia Restaurativa año 202</w:t>
            </w:r>
            <w:r w:rsidR="00F72216" w:rsidRPr="005149C4">
              <w:rPr>
                <w:rFonts w:cs="Arial"/>
              </w:rPr>
              <w:t>2</w:t>
            </w:r>
          </w:p>
        </w:tc>
        <w:tc>
          <w:tcPr>
            <w:tcW w:w="1470" w:type="pct"/>
            <w:shd w:val="clear" w:color="auto" w:fill="auto"/>
            <w:vAlign w:val="center"/>
          </w:tcPr>
          <w:p w14:paraId="36C1EA85" w14:textId="3AEEA3A8" w:rsidR="00453861" w:rsidRPr="005149C4" w:rsidRDefault="007010DD" w:rsidP="00453861">
            <w:pPr>
              <w:spacing w:before="0" w:after="0"/>
              <w:jc w:val="center"/>
              <w:rPr>
                <w:rFonts w:cs="Arial"/>
              </w:rPr>
            </w:pPr>
            <w:r>
              <w:rPr>
                <w:rFonts w:cs="Arial"/>
              </w:rPr>
              <w:object w:dxaOrig="1537" w:dyaOrig="997" w14:anchorId="7C73D9C2">
                <v:shape id="_x0000_i1027" type="#_x0000_t75" style="width:75.6pt;height:49.2pt" o:ole="">
                  <v:imagedata r:id="rId25" o:title=""/>
                </v:shape>
                <o:OLEObject Type="Embed" ProgID="Acrobat.Document.DC" ShapeID="_x0000_i1027" DrawAspect="Icon" ObjectID="_1745989532" r:id="rId26"/>
              </w:object>
            </w:r>
          </w:p>
        </w:tc>
      </w:tr>
      <w:tr w:rsidR="00453861" w:rsidRPr="005149C4" w14:paraId="39A2B56A" w14:textId="77777777" w:rsidTr="00B331E3">
        <w:trPr>
          <w:tblCellSpacing w:w="1440" w:type="nil"/>
        </w:trPr>
        <w:tc>
          <w:tcPr>
            <w:tcW w:w="871" w:type="pct"/>
            <w:shd w:val="clear" w:color="auto" w:fill="auto"/>
            <w:vAlign w:val="center"/>
          </w:tcPr>
          <w:p w14:paraId="0EC2D3D5" w14:textId="651F6A70" w:rsidR="00453861" w:rsidRPr="005149C4" w:rsidRDefault="00453861" w:rsidP="00453861">
            <w:pPr>
              <w:spacing w:before="0" w:after="0"/>
              <w:jc w:val="center"/>
              <w:rPr>
                <w:rFonts w:cs="Arial"/>
                <w:b/>
                <w:i/>
                <w:color w:val="000000"/>
              </w:rPr>
            </w:pPr>
            <w:r w:rsidRPr="005149C4">
              <w:rPr>
                <w:rFonts w:cs="Arial"/>
                <w:b/>
                <w:i/>
                <w:color w:val="000000"/>
              </w:rPr>
              <w:t>Apéndice 4</w:t>
            </w:r>
          </w:p>
        </w:tc>
        <w:tc>
          <w:tcPr>
            <w:tcW w:w="2659" w:type="pct"/>
            <w:shd w:val="clear" w:color="auto" w:fill="auto"/>
            <w:vAlign w:val="center"/>
          </w:tcPr>
          <w:p w14:paraId="634542B5" w14:textId="5A93EEFF" w:rsidR="00453861" w:rsidRPr="005149C4" w:rsidRDefault="00453861" w:rsidP="00453861">
            <w:pPr>
              <w:spacing w:before="0" w:after="0"/>
              <w:jc w:val="center"/>
              <w:rPr>
                <w:rFonts w:cs="Arial"/>
              </w:rPr>
            </w:pPr>
            <w:r w:rsidRPr="005149C4">
              <w:rPr>
                <w:rFonts w:cs="Arial"/>
              </w:rPr>
              <w:t>Anuarios Judiciales Justicia Restaurativa Penal Adulto 202</w:t>
            </w:r>
            <w:r w:rsidR="00A04106">
              <w:rPr>
                <w:rFonts w:cs="Arial"/>
              </w:rPr>
              <w:t>2</w:t>
            </w:r>
          </w:p>
        </w:tc>
        <w:tc>
          <w:tcPr>
            <w:tcW w:w="1470" w:type="pct"/>
            <w:shd w:val="clear" w:color="auto" w:fill="auto"/>
            <w:vAlign w:val="center"/>
          </w:tcPr>
          <w:p w14:paraId="731CF9A9" w14:textId="2E5088D0" w:rsidR="00453861" w:rsidRPr="005149C4" w:rsidRDefault="00A04106" w:rsidP="00453861">
            <w:pPr>
              <w:spacing w:before="0" w:after="0"/>
              <w:jc w:val="center"/>
              <w:rPr>
                <w:rFonts w:cs="Arial"/>
              </w:rPr>
            </w:pPr>
            <w:r>
              <w:rPr>
                <w:rFonts w:cs="Arial"/>
              </w:rPr>
              <w:object w:dxaOrig="1537" w:dyaOrig="997" w14:anchorId="629D5054">
                <v:shape id="_x0000_i1028" type="#_x0000_t75" style="width:75.6pt;height:49.2pt" o:ole="">
                  <v:imagedata r:id="rId27" o:title=""/>
                </v:shape>
                <o:OLEObject Type="Embed" ProgID="Excel.Sheet.12" ShapeID="_x0000_i1028" DrawAspect="Icon" ObjectID="_1745989533" r:id="rId28"/>
              </w:object>
            </w:r>
          </w:p>
        </w:tc>
      </w:tr>
      <w:tr w:rsidR="00453861" w:rsidRPr="005149C4" w14:paraId="05B1FEA6" w14:textId="77777777" w:rsidTr="00B331E3">
        <w:trPr>
          <w:tblCellSpacing w:w="1440" w:type="nil"/>
        </w:trPr>
        <w:tc>
          <w:tcPr>
            <w:tcW w:w="871" w:type="pct"/>
            <w:shd w:val="clear" w:color="auto" w:fill="auto"/>
            <w:vAlign w:val="center"/>
          </w:tcPr>
          <w:p w14:paraId="2495D09F" w14:textId="0813BE43" w:rsidR="00453861" w:rsidRPr="005149C4" w:rsidRDefault="00453861" w:rsidP="00453861">
            <w:pPr>
              <w:spacing w:before="0" w:after="0"/>
              <w:jc w:val="center"/>
              <w:rPr>
                <w:rFonts w:cs="Arial"/>
                <w:b/>
                <w:i/>
                <w:color w:val="000000"/>
              </w:rPr>
            </w:pPr>
            <w:r w:rsidRPr="005149C4">
              <w:rPr>
                <w:rFonts w:cs="Arial"/>
                <w:b/>
                <w:i/>
                <w:color w:val="000000"/>
              </w:rPr>
              <w:t>Apéndice 7</w:t>
            </w:r>
          </w:p>
        </w:tc>
        <w:tc>
          <w:tcPr>
            <w:tcW w:w="2659" w:type="pct"/>
            <w:shd w:val="clear" w:color="auto" w:fill="auto"/>
            <w:vAlign w:val="center"/>
          </w:tcPr>
          <w:p w14:paraId="22711B70" w14:textId="78F86900" w:rsidR="00453861" w:rsidRPr="005149C4" w:rsidRDefault="00453861" w:rsidP="00453861">
            <w:pPr>
              <w:spacing w:before="0" w:after="0"/>
              <w:jc w:val="center"/>
              <w:rPr>
                <w:rFonts w:cs="Arial"/>
              </w:rPr>
            </w:pPr>
            <w:r w:rsidRPr="005149C4">
              <w:rPr>
                <w:rFonts w:cs="Arial"/>
              </w:rPr>
              <w:t>Anuarios Judiciales Justicia Restaurativa 2020</w:t>
            </w:r>
          </w:p>
        </w:tc>
        <w:tc>
          <w:tcPr>
            <w:tcW w:w="1470" w:type="pct"/>
            <w:shd w:val="clear" w:color="auto" w:fill="auto"/>
            <w:vAlign w:val="center"/>
          </w:tcPr>
          <w:p w14:paraId="68364996" w14:textId="10ED9BE2" w:rsidR="00453861" w:rsidRPr="005149C4" w:rsidRDefault="009F3802" w:rsidP="00453861">
            <w:pPr>
              <w:spacing w:before="0" w:after="0"/>
              <w:jc w:val="center"/>
              <w:rPr>
                <w:rFonts w:cs="Arial"/>
              </w:rPr>
            </w:pPr>
            <w:r w:rsidRPr="005149C4">
              <w:rPr>
                <w:color w:val="000000" w:themeColor="text1"/>
              </w:rPr>
              <w:object w:dxaOrig="1508" w:dyaOrig="983" w14:anchorId="6CE12D24">
                <v:shape id="_x0000_i1029" type="#_x0000_t75" style="width:75.6pt;height:52.2pt" o:ole="">
                  <v:imagedata r:id="rId29" o:title=""/>
                </v:shape>
                <o:OLEObject Type="Embed" ProgID="Package" ShapeID="_x0000_i1029" DrawAspect="Icon" ObjectID="_1745989534" r:id="rId30"/>
              </w:object>
            </w:r>
          </w:p>
        </w:tc>
      </w:tr>
      <w:tr w:rsidR="00CB762C" w:rsidRPr="005149C4" w14:paraId="5BE3F6D5" w14:textId="77777777" w:rsidTr="00872657">
        <w:trPr>
          <w:trHeight w:val="928"/>
          <w:tblCellSpacing w:w="1440" w:type="nil"/>
        </w:trPr>
        <w:tc>
          <w:tcPr>
            <w:tcW w:w="871" w:type="pct"/>
            <w:shd w:val="clear" w:color="auto" w:fill="auto"/>
            <w:vAlign w:val="center"/>
          </w:tcPr>
          <w:p w14:paraId="32082814" w14:textId="3BB8628B" w:rsidR="00CB762C" w:rsidRPr="005149C4" w:rsidRDefault="00CB762C" w:rsidP="00CB762C">
            <w:pPr>
              <w:spacing w:before="0" w:after="0"/>
              <w:jc w:val="center"/>
              <w:rPr>
                <w:rFonts w:cs="Arial"/>
                <w:b/>
                <w:i/>
                <w:color w:val="000000"/>
              </w:rPr>
            </w:pPr>
            <w:r w:rsidRPr="005149C4">
              <w:rPr>
                <w:rFonts w:cs="Arial"/>
                <w:b/>
                <w:i/>
                <w:color w:val="000000"/>
              </w:rPr>
              <w:t>Apéndice 9</w:t>
            </w:r>
          </w:p>
        </w:tc>
        <w:tc>
          <w:tcPr>
            <w:tcW w:w="2659" w:type="pct"/>
            <w:shd w:val="clear" w:color="auto" w:fill="auto"/>
            <w:vAlign w:val="center"/>
          </w:tcPr>
          <w:p w14:paraId="7DF64288" w14:textId="1C739E2B" w:rsidR="00CB762C" w:rsidRPr="005149C4" w:rsidRDefault="00CB762C" w:rsidP="00CB762C">
            <w:pPr>
              <w:spacing w:before="0" w:after="0"/>
              <w:jc w:val="center"/>
              <w:rPr>
                <w:rFonts w:cs="Arial"/>
              </w:rPr>
            </w:pPr>
            <w:r w:rsidRPr="005149C4">
              <w:rPr>
                <w:rFonts w:cs="Arial"/>
              </w:rPr>
              <w:t>Estimación costos Recurso Humano y Mobiliario Equipo solicitud para el 202</w:t>
            </w:r>
            <w:r w:rsidR="00F72216" w:rsidRPr="005149C4">
              <w:rPr>
                <w:rFonts w:cs="Arial"/>
              </w:rPr>
              <w:t>4</w:t>
            </w:r>
            <w:r w:rsidRPr="005149C4">
              <w:rPr>
                <w:rFonts w:cs="Arial"/>
              </w:rPr>
              <w:t>.</w:t>
            </w:r>
            <w:r w:rsidR="002827BA" w:rsidRPr="005149C4">
              <w:rPr>
                <w:rFonts w:cs="Arial"/>
              </w:rPr>
              <w:t xml:space="preserve"> </w:t>
            </w:r>
          </w:p>
        </w:tc>
        <w:tc>
          <w:tcPr>
            <w:tcW w:w="1470" w:type="pct"/>
            <w:shd w:val="clear" w:color="auto" w:fill="auto"/>
            <w:vAlign w:val="center"/>
          </w:tcPr>
          <w:p w14:paraId="6B634F3E" w14:textId="0E1400D6" w:rsidR="00CB762C" w:rsidRPr="005149C4" w:rsidRDefault="007010DD" w:rsidP="00CB762C">
            <w:pPr>
              <w:spacing w:before="0" w:after="0"/>
              <w:jc w:val="center"/>
              <w:rPr>
                <w:rFonts w:cs="Arial"/>
              </w:rPr>
            </w:pPr>
            <w:r>
              <w:rPr>
                <w:rFonts w:cs="Arial"/>
              </w:rPr>
              <w:object w:dxaOrig="1537" w:dyaOrig="997" w14:anchorId="2DADAE2E">
                <v:shape id="_x0000_i1030" type="#_x0000_t75" style="width:75.6pt;height:49.2pt" o:ole="">
                  <v:imagedata r:id="rId31" o:title=""/>
                </v:shape>
                <o:OLEObject Type="Embed" ProgID="Excel.Sheet.8" ShapeID="_x0000_i1030" DrawAspect="Icon" ObjectID="_1745989535" r:id="rId32"/>
              </w:object>
            </w:r>
          </w:p>
        </w:tc>
      </w:tr>
      <w:tr w:rsidR="00EB3322" w:rsidRPr="005149C4" w14:paraId="2DD64424" w14:textId="77777777" w:rsidTr="00872657">
        <w:trPr>
          <w:trHeight w:val="928"/>
          <w:tblCellSpacing w:w="1440" w:type="nil"/>
        </w:trPr>
        <w:tc>
          <w:tcPr>
            <w:tcW w:w="871" w:type="pct"/>
            <w:shd w:val="clear" w:color="auto" w:fill="auto"/>
            <w:vAlign w:val="center"/>
          </w:tcPr>
          <w:p w14:paraId="18E7CA3E" w14:textId="76562643" w:rsidR="00EB3322" w:rsidRPr="005149C4" w:rsidRDefault="00EB3322" w:rsidP="00CB762C">
            <w:pPr>
              <w:spacing w:before="0" w:after="0"/>
              <w:jc w:val="center"/>
              <w:rPr>
                <w:rFonts w:cs="Arial"/>
                <w:b/>
                <w:i/>
                <w:color w:val="000000"/>
              </w:rPr>
            </w:pPr>
            <w:r w:rsidRPr="005149C4">
              <w:rPr>
                <w:rFonts w:cs="Arial"/>
                <w:b/>
                <w:i/>
                <w:color w:val="000000"/>
              </w:rPr>
              <w:t>Apéndice 10</w:t>
            </w:r>
          </w:p>
        </w:tc>
        <w:tc>
          <w:tcPr>
            <w:tcW w:w="2659" w:type="pct"/>
            <w:shd w:val="clear" w:color="auto" w:fill="auto"/>
            <w:vAlign w:val="center"/>
          </w:tcPr>
          <w:p w14:paraId="0F4661E0" w14:textId="6A4EC5A1" w:rsidR="00EB3322" w:rsidRPr="005149C4" w:rsidRDefault="00EB3322" w:rsidP="00CB762C">
            <w:pPr>
              <w:spacing w:before="0" w:after="0"/>
              <w:jc w:val="center"/>
              <w:rPr>
                <w:rFonts w:cs="Arial"/>
              </w:rPr>
            </w:pPr>
            <w:r w:rsidRPr="005149C4">
              <w:rPr>
                <w:rFonts w:cs="Arial"/>
              </w:rPr>
              <w:t xml:space="preserve">Minuta </w:t>
            </w:r>
            <w:r w:rsidR="00F3045B" w:rsidRPr="005149C4">
              <w:rPr>
                <w:rFonts w:cs="Arial"/>
              </w:rPr>
              <w:t>Reunión de Jerarcas con Planificación:  humanización de indicadores</w:t>
            </w:r>
          </w:p>
        </w:tc>
        <w:bookmarkStart w:id="31" w:name="_MON_1708835261"/>
        <w:bookmarkEnd w:id="31"/>
        <w:tc>
          <w:tcPr>
            <w:tcW w:w="1470" w:type="pct"/>
            <w:shd w:val="clear" w:color="auto" w:fill="auto"/>
            <w:vAlign w:val="center"/>
          </w:tcPr>
          <w:p w14:paraId="1A258E71" w14:textId="68C02173" w:rsidR="00EB3322" w:rsidRPr="005149C4" w:rsidRDefault="008B3EB0" w:rsidP="00CB762C">
            <w:pPr>
              <w:spacing w:before="0" w:after="0"/>
              <w:jc w:val="center"/>
              <w:rPr>
                <w:rFonts w:cs="Arial"/>
              </w:rPr>
            </w:pPr>
            <w:r w:rsidRPr="005149C4">
              <w:rPr>
                <w:rFonts w:cs="Arial"/>
              </w:rPr>
              <w:object w:dxaOrig="1508" w:dyaOrig="983" w14:anchorId="2DD01EE8">
                <v:shape id="_x0000_i1031" type="#_x0000_t75" style="width:75.6pt;height:46.8pt" o:ole="">
                  <v:imagedata r:id="rId33" o:title=""/>
                </v:shape>
                <o:OLEObject Type="Embed" ProgID="Word.Document.12" ShapeID="_x0000_i1031" DrawAspect="Icon" ObjectID="_1745989536" r:id="rId34">
                  <o:FieldCodes>\s</o:FieldCodes>
                </o:OLEObject>
              </w:object>
            </w:r>
          </w:p>
        </w:tc>
      </w:tr>
      <w:tr w:rsidR="00F72216" w:rsidRPr="005149C4" w14:paraId="4C60A36E" w14:textId="77777777" w:rsidTr="00872657">
        <w:trPr>
          <w:trHeight w:val="928"/>
          <w:tblCellSpacing w:w="1440" w:type="nil"/>
        </w:trPr>
        <w:tc>
          <w:tcPr>
            <w:tcW w:w="871" w:type="pct"/>
            <w:shd w:val="clear" w:color="auto" w:fill="auto"/>
            <w:vAlign w:val="center"/>
          </w:tcPr>
          <w:p w14:paraId="517DF766" w14:textId="77B7DECA" w:rsidR="00F72216" w:rsidRPr="005149C4" w:rsidRDefault="00F72216" w:rsidP="00CB762C">
            <w:pPr>
              <w:spacing w:before="0" w:after="0"/>
              <w:jc w:val="center"/>
              <w:rPr>
                <w:rFonts w:cs="Arial"/>
                <w:b/>
                <w:i/>
                <w:color w:val="000000"/>
              </w:rPr>
            </w:pPr>
            <w:r w:rsidRPr="005149C4">
              <w:rPr>
                <w:rFonts w:cs="Arial"/>
                <w:b/>
                <w:i/>
                <w:color w:val="000000"/>
              </w:rPr>
              <w:t>Apéndice 11</w:t>
            </w:r>
          </w:p>
        </w:tc>
        <w:tc>
          <w:tcPr>
            <w:tcW w:w="2659" w:type="pct"/>
            <w:shd w:val="clear" w:color="auto" w:fill="auto"/>
            <w:vAlign w:val="center"/>
          </w:tcPr>
          <w:p w14:paraId="6888EB14" w14:textId="4B6CD944" w:rsidR="00F72216" w:rsidRPr="005149C4" w:rsidRDefault="00F72216" w:rsidP="00CB762C">
            <w:pPr>
              <w:spacing w:before="0" w:after="0"/>
              <w:jc w:val="center"/>
              <w:rPr>
                <w:rFonts w:cs="Arial"/>
              </w:rPr>
            </w:pPr>
            <w:r w:rsidRPr="005149C4">
              <w:rPr>
                <w:rFonts w:cs="Arial"/>
              </w:rPr>
              <w:t xml:space="preserve">Anuarios Judiciales Justicia Restaurativa Penal </w:t>
            </w:r>
            <w:r w:rsidR="00A04106">
              <w:rPr>
                <w:rFonts w:cs="Arial"/>
              </w:rPr>
              <w:t xml:space="preserve">Juvenil </w:t>
            </w:r>
            <w:r w:rsidRPr="005149C4">
              <w:rPr>
                <w:rFonts w:cs="Arial"/>
              </w:rPr>
              <w:t>2022</w:t>
            </w:r>
          </w:p>
        </w:tc>
        <w:tc>
          <w:tcPr>
            <w:tcW w:w="1470" w:type="pct"/>
            <w:shd w:val="clear" w:color="auto" w:fill="auto"/>
            <w:vAlign w:val="center"/>
          </w:tcPr>
          <w:p w14:paraId="67AF551A" w14:textId="1CB82172" w:rsidR="00F72216" w:rsidRPr="005149C4" w:rsidRDefault="007010DD" w:rsidP="00CB762C">
            <w:pPr>
              <w:spacing w:before="0" w:after="0"/>
              <w:jc w:val="center"/>
              <w:rPr>
                <w:rFonts w:cs="Arial"/>
              </w:rPr>
            </w:pPr>
            <w:r>
              <w:rPr>
                <w:rFonts w:cs="Arial"/>
              </w:rPr>
              <w:object w:dxaOrig="1537" w:dyaOrig="997" w14:anchorId="72E28388">
                <v:shape id="_x0000_i1032" type="#_x0000_t75" style="width:75.6pt;height:49.2pt" o:ole="">
                  <v:imagedata r:id="rId35" o:title=""/>
                </v:shape>
                <o:OLEObject Type="Embed" ProgID="Excel.Sheet.12" ShapeID="_x0000_i1032" DrawAspect="Icon" ObjectID="_1745989537" r:id="rId36"/>
              </w:object>
            </w:r>
          </w:p>
        </w:tc>
      </w:tr>
      <w:tr w:rsidR="00DB10A5" w:rsidRPr="005149C4" w14:paraId="6F629108" w14:textId="77777777" w:rsidTr="00872657">
        <w:trPr>
          <w:trHeight w:val="928"/>
          <w:tblCellSpacing w:w="1440" w:type="nil"/>
        </w:trPr>
        <w:tc>
          <w:tcPr>
            <w:tcW w:w="871" w:type="pct"/>
            <w:shd w:val="clear" w:color="auto" w:fill="auto"/>
            <w:vAlign w:val="center"/>
          </w:tcPr>
          <w:p w14:paraId="0F324FDF" w14:textId="078B77C4" w:rsidR="00DB10A5" w:rsidRPr="005149C4" w:rsidRDefault="00DB10A5" w:rsidP="00CB762C">
            <w:pPr>
              <w:spacing w:before="0" w:after="0"/>
              <w:jc w:val="center"/>
              <w:rPr>
                <w:rFonts w:cs="Arial"/>
                <w:b/>
                <w:i/>
                <w:color w:val="000000"/>
              </w:rPr>
            </w:pPr>
            <w:r w:rsidRPr="005149C4">
              <w:rPr>
                <w:rFonts w:cs="Arial"/>
                <w:b/>
                <w:i/>
                <w:color w:val="000000"/>
              </w:rPr>
              <w:t>Apéndice 1</w:t>
            </w:r>
            <w:r>
              <w:rPr>
                <w:rFonts w:cs="Arial"/>
                <w:b/>
                <w:i/>
                <w:color w:val="000000"/>
              </w:rPr>
              <w:t>2</w:t>
            </w:r>
          </w:p>
        </w:tc>
        <w:tc>
          <w:tcPr>
            <w:tcW w:w="2659" w:type="pct"/>
            <w:shd w:val="clear" w:color="auto" w:fill="auto"/>
            <w:vAlign w:val="center"/>
          </w:tcPr>
          <w:p w14:paraId="182ECD5F" w14:textId="12D46232" w:rsidR="00DB10A5" w:rsidRPr="005149C4" w:rsidRDefault="00DB10A5" w:rsidP="00CB762C">
            <w:pPr>
              <w:spacing w:before="0" w:after="0"/>
              <w:jc w:val="center"/>
              <w:rPr>
                <w:rFonts w:cs="Arial"/>
              </w:rPr>
            </w:pPr>
            <w:r w:rsidRPr="00983AE0">
              <w:rPr>
                <w:rFonts w:cs="Arial"/>
              </w:rPr>
              <w:t xml:space="preserve"> </w:t>
            </w:r>
            <w:r>
              <w:rPr>
                <w:rFonts w:cs="Arial"/>
              </w:rPr>
              <w:t>Acuerdo de</w:t>
            </w:r>
            <w:r w:rsidRPr="00983AE0">
              <w:rPr>
                <w:rFonts w:cs="Arial"/>
              </w:rPr>
              <w:t xml:space="preserve"> Corte Plena en sesión 27-2022 del 01 de junio del 2022, artículo II.</w:t>
            </w:r>
            <w:r>
              <w:rPr>
                <w:rFonts w:cs="Arial"/>
              </w:rPr>
              <w:t xml:space="preserve"> </w:t>
            </w:r>
            <w:r w:rsidRPr="00983AE0">
              <w:rPr>
                <w:rFonts w:cs="Arial"/>
              </w:rPr>
              <w:t>Relacionado con Impacto organizacional y presupuestario en el Poder Judicial, a partir de la promulgación de la Ley 9582 Justicia Restaurativa.</w:t>
            </w:r>
            <w:r>
              <w:rPr>
                <w:rFonts w:eastAsia="Book Antiqua" w:cs="Book Antiqua"/>
                <w:sz w:val="20"/>
                <w:szCs w:val="20"/>
                <w:lang w:val="es-ES"/>
              </w:rPr>
              <w:t xml:space="preserve"> </w:t>
            </w:r>
          </w:p>
        </w:tc>
        <w:tc>
          <w:tcPr>
            <w:tcW w:w="1470" w:type="pct"/>
            <w:shd w:val="clear" w:color="auto" w:fill="auto"/>
            <w:vAlign w:val="center"/>
          </w:tcPr>
          <w:p w14:paraId="56896132" w14:textId="22C7F012" w:rsidR="00DB10A5" w:rsidRDefault="007010DD" w:rsidP="00CB762C">
            <w:pPr>
              <w:spacing w:before="0" w:after="0"/>
              <w:jc w:val="center"/>
              <w:rPr>
                <w:rFonts w:cs="Arial"/>
              </w:rPr>
            </w:pPr>
            <w:r>
              <w:rPr>
                <w:rFonts w:cs="Arial"/>
              </w:rPr>
              <w:object w:dxaOrig="1537" w:dyaOrig="997" w14:anchorId="583329FA">
                <v:shape id="_x0000_i1033" type="#_x0000_t75" style="width:76.2pt;height:49.8pt" o:ole="">
                  <v:imagedata r:id="rId37" o:title=""/>
                </v:shape>
                <o:OLEObject Type="Embed" ProgID="Acrobat.Document.DC" ShapeID="_x0000_i1033" DrawAspect="Icon" ObjectID="_1745989538" r:id="rId38"/>
              </w:object>
            </w:r>
          </w:p>
        </w:tc>
      </w:tr>
    </w:tbl>
    <w:p w14:paraId="10A4B1F3" w14:textId="206CF315" w:rsidR="00A21331" w:rsidRPr="005149C4" w:rsidRDefault="00A21331" w:rsidP="00055CFC">
      <w:pPr>
        <w:spacing w:before="0" w:after="0"/>
        <w:rPr>
          <w:rFonts w:cs="Arial"/>
        </w:rPr>
      </w:pPr>
    </w:p>
    <w:p w14:paraId="3B2E45FB" w14:textId="77777777" w:rsidR="00F75D4C" w:rsidRPr="005149C4" w:rsidRDefault="00F75D4C" w:rsidP="00055CFC">
      <w:pPr>
        <w:spacing w:before="0" w:after="0"/>
        <w:rPr>
          <w:rFonts w:cs="Arial"/>
        </w:rPr>
      </w:pPr>
    </w:p>
    <w:tbl>
      <w:tblPr>
        <w:tblW w:w="9918" w:type="dxa"/>
        <w:jc w:val="center"/>
        <w:tblLayout w:type="fixed"/>
        <w:tblCellMar>
          <w:left w:w="70" w:type="dxa"/>
          <w:right w:w="70" w:type="dxa"/>
        </w:tblCellMar>
        <w:tblLook w:val="0000" w:firstRow="0" w:lastRow="0" w:firstColumn="0" w:lastColumn="0" w:noHBand="0" w:noVBand="0"/>
      </w:tblPr>
      <w:tblGrid>
        <w:gridCol w:w="2016"/>
        <w:gridCol w:w="7902"/>
      </w:tblGrid>
      <w:tr w:rsidR="00A21331" w:rsidRPr="005149C4" w14:paraId="7442586F" w14:textId="77777777" w:rsidTr="00FF38E3">
        <w:trPr>
          <w:trHeight w:val="105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648D5918" w14:textId="77777777" w:rsidR="00A21331" w:rsidRPr="005149C4" w:rsidRDefault="00A21331" w:rsidP="00FF38E3">
            <w:pPr>
              <w:ind w:right="74"/>
              <w:rPr>
                <w:rFonts w:cs="Calibri"/>
                <w:b/>
                <w:szCs w:val="24"/>
              </w:rPr>
            </w:pPr>
            <w:r w:rsidRPr="005149C4">
              <w:rPr>
                <w:rFonts w:cs="Calibri"/>
                <w:b/>
                <w:szCs w:val="24"/>
              </w:rPr>
              <w:t>Realizado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D13DF3" w14:textId="75ED5B38" w:rsidR="00A21331" w:rsidRPr="005149C4" w:rsidRDefault="00F72216" w:rsidP="00FF38E3">
            <w:pPr>
              <w:ind w:right="74"/>
              <w:rPr>
                <w:rFonts w:cs="Calibri"/>
                <w:bCs/>
                <w:szCs w:val="24"/>
              </w:rPr>
            </w:pPr>
            <w:r w:rsidRPr="005149C4">
              <w:rPr>
                <w:rFonts w:cs="Calibri"/>
                <w:bCs/>
                <w:szCs w:val="24"/>
              </w:rPr>
              <w:t>Licda</w:t>
            </w:r>
            <w:r w:rsidR="00A21331" w:rsidRPr="005149C4">
              <w:rPr>
                <w:rFonts w:cs="Calibri"/>
                <w:bCs/>
                <w:szCs w:val="24"/>
              </w:rPr>
              <w:t>,</w:t>
            </w:r>
            <w:r w:rsidRPr="005149C4">
              <w:rPr>
                <w:rFonts w:cs="Calibri"/>
                <w:bCs/>
                <w:szCs w:val="24"/>
              </w:rPr>
              <w:t xml:space="preserve"> Leda Arias Jiménez,</w:t>
            </w:r>
            <w:r w:rsidR="00A21331" w:rsidRPr="005149C4">
              <w:rPr>
                <w:rFonts w:cs="Calibri"/>
                <w:bCs/>
                <w:szCs w:val="24"/>
              </w:rPr>
              <w:t xml:space="preserve"> Profesional 2</w:t>
            </w:r>
            <w:r w:rsidR="008E31E7" w:rsidRPr="005149C4">
              <w:rPr>
                <w:rFonts w:cs="Calibri"/>
                <w:bCs/>
                <w:szCs w:val="24"/>
              </w:rPr>
              <w:t xml:space="preserve"> del Subproceso de Modernización Institucional</w:t>
            </w:r>
            <w:r w:rsidRPr="005149C4">
              <w:rPr>
                <w:rFonts w:cs="Calibri"/>
                <w:bCs/>
                <w:szCs w:val="24"/>
              </w:rPr>
              <w:t>, Penal.</w:t>
            </w:r>
          </w:p>
        </w:tc>
      </w:tr>
      <w:tr w:rsidR="00A21331" w:rsidRPr="005149C4" w14:paraId="4A3214F7" w14:textId="77777777" w:rsidTr="00FF38E3">
        <w:trPr>
          <w:trHeight w:val="31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30478D44" w14:textId="77777777" w:rsidR="00A21331" w:rsidRPr="005149C4" w:rsidRDefault="00A21331" w:rsidP="00FF38E3">
            <w:pPr>
              <w:ind w:right="74"/>
              <w:rPr>
                <w:rFonts w:cs="Calibri"/>
                <w:b/>
                <w:szCs w:val="24"/>
              </w:rPr>
            </w:pPr>
            <w:r w:rsidRPr="005149C4">
              <w:rPr>
                <w:rFonts w:cs="Calibri"/>
                <w:b/>
                <w:szCs w:val="24"/>
              </w:rPr>
              <w:t>Revisado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0335C1" w14:textId="3456A4BB" w:rsidR="00A21331" w:rsidRPr="005149C4" w:rsidRDefault="00A21331" w:rsidP="00FF38E3">
            <w:pPr>
              <w:ind w:right="74"/>
              <w:rPr>
                <w:rFonts w:cs="Calibri"/>
                <w:bCs/>
                <w:szCs w:val="24"/>
              </w:rPr>
            </w:pPr>
            <w:r w:rsidRPr="005149C4">
              <w:rPr>
                <w:rFonts w:cs="Calibri"/>
                <w:bCs/>
                <w:szCs w:val="24"/>
              </w:rPr>
              <w:t>Ing.</w:t>
            </w:r>
            <w:r w:rsidR="00F75D4C" w:rsidRPr="005149C4">
              <w:rPr>
                <w:rFonts w:cs="Calibri"/>
                <w:bCs/>
                <w:szCs w:val="24"/>
              </w:rPr>
              <w:t xml:space="preserve"> Jorge Fernando Rodríguez Salazar</w:t>
            </w:r>
            <w:r w:rsidR="008E31E7" w:rsidRPr="005149C4">
              <w:rPr>
                <w:rFonts w:cs="Calibri"/>
                <w:bCs/>
                <w:szCs w:val="24"/>
              </w:rPr>
              <w:t>, Jefe a.</w:t>
            </w:r>
            <w:r w:rsidR="007010DD">
              <w:rPr>
                <w:rFonts w:cs="Calibri"/>
                <w:bCs/>
                <w:szCs w:val="24"/>
              </w:rPr>
              <w:t>í</w:t>
            </w:r>
            <w:r w:rsidR="008E31E7" w:rsidRPr="005149C4">
              <w:rPr>
                <w:rFonts w:cs="Calibri"/>
                <w:bCs/>
                <w:szCs w:val="24"/>
              </w:rPr>
              <w:t>. Subproceso de Modernización Institucional</w:t>
            </w:r>
          </w:p>
        </w:tc>
      </w:tr>
      <w:tr w:rsidR="00A21331" w:rsidRPr="005149C4" w14:paraId="72709448" w14:textId="77777777" w:rsidTr="00FF38E3">
        <w:trPr>
          <w:trHeight w:val="51"/>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7E5B1820" w14:textId="77777777" w:rsidR="00A21331" w:rsidRPr="005149C4" w:rsidRDefault="00A21331" w:rsidP="00FF38E3">
            <w:pPr>
              <w:ind w:right="74"/>
              <w:rPr>
                <w:rFonts w:cs="Calibri"/>
                <w:b/>
                <w:szCs w:val="24"/>
              </w:rPr>
            </w:pPr>
            <w:r w:rsidRPr="005149C4">
              <w:rPr>
                <w:rFonts w:cs="Calibri"/>
                <w:b/>
                <w:szCs w:val="24"/>
              </w:rPr>
              <w:t>Aprobado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B98002" w14:textId="7166F092" w:rsidR="00A21331" w:rsidRPr="005149C4" w:rsidRDefault="00A21331" w:rsidP="00FF38E3">
            <w:pPr>
              <w:keepNext/>
              <w:ind w:right="74"/>
              <w:rPr>
                <w:rFonts w:cs="Calibri"/>
                <w:bCs/>
                <w:szCs w:val="24"/>
              </w:rPr>
            </w:pPr>
            <w:r w:rsidRPr="005149C4">
              <w:rPr>
                <w:rFonts w:cs="Calibri"/>
                <w:bCs/>
                <w:szCs w:val="24"/>
              </w:rPr>
              <w:t>Lic. Nacira Valverde Bermúdez, Directora a.</w:t>
            </w:r>
            <w:r w:rsidR="007010DD">
              <w:rPr>
                <w:rFonts w:cs="Calibri"/>
                <w:bCs/>
                <w:szCs w:val="24"/>
              </w:rPr>
              <w:t>í</w:t>
            </w:r>
            <w:r w:rsidRPr="005149C4">
              <w:rPr>
                <w:rFonts w:cs="Calibri"/>
                <w:bCs/>
                <w:szCs w:val="24"/>
              </w:rPr>
              <w:t>. de Planificación</w:t>
            </w:r>
          </w:p>
        </w:tc>
      </w:tr>
    </w:tbl>
    <w:p w14:paraId="1F91930D" w14:textId="77777777" w:rsidR="005A08E1" w:rsidRPr="005149C4" w:rsidRDefault="005A08E1" w:rsidP="005A08E1">
      <w:pPr>
        <w:spacing w:before="0" w:after="0" w:line="240" w:lineRule="auto"/>
        <w:rPr>
          <w:rFonts w:cs="Arial"/>
        </w:rPr>
      </w:pPr>
    </w:p>
    <w:bookmarkEnd w:id="0"/>
    <w:p w14:paraId="109C0DAC" w14:textId="35E54808" w:rsidR="005A08E1" w:rsidRPr="005149C4" w:rsidRDefault="00500A7B" w:rsidP="005A08E1">
      <w:pPr>
        <w:spacing w:before="0" w:after="0" w:line="240" w:lineRule="auto"/>
        <w:rPr>
          <w:rFonts w:cs="Arial"/>
        </w:rPr>
      </w:pPr>
      <w:r>
        <w:rPr>
          <w:rFonts w:cs="Arial"/>
        </w:rPr>
        <w:t>hca</w:t>
      </w:r>
    </w:p>
    <w:sectPr w:rsidR="005A08E1" w:rsidRPr="005149C4" w:rsidSect="008E0DFA">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F51A" w14:textId="77777777" w:rsidR="00381905" w:rsidRDefault="00381905" w:rsidP="00F45BAC">
      <w:pPr>
        <w:spacing w:after="0" w:line="240" w:lineRule="auto"/>
      </w:pPr>
      <w:r>
        <w:separator/>
      </w:r>
    </w:p>
  </w:endnote>
  <w:endnote w:type="continuationSeparator" w:id="0">
    <w:p w14:paraId="06A6E18C" w14:textId="77777777" w:rsidR="00381905" w:rsidRDefault="00381905" w:rsidP="00F45BAC">
      <w:pPr>
        <w:spacing w:after="0" w:line="240" w:lineRule="auto"/>
      </w:pPr>
      <w:r>
        <w:continuationSeparator/>
      </w:r>
    </w:p>
  </w:endnote>
  <w:endnote w:type="continuationNotice" w:id="1">
    <w:p w14:paraId="44E5960A" w14:textId="77777777" w:rsidR="00381905" w:rsidRDefault="003819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lang w:val="x-none"/>
      </w:rPr>
      <w:id w:val="-242569291"/>
      <w:docPartObj>
        <w:docPartGallery w:val="Page Numbers (Bottom of Page)"/>
        <w:docPartUnique/>
      </w:docPartObj>
    </w:sdtPr>
    <w:sdtContent>
      <w:p w14:paraId="23364B6B" w14:textId="77777777" w:rsidR="00E22248" w:rsidRPr="006E3B21" w:rsidRDefault="00E22248" w:rsidP="006E3B21">
        <w:pPr>
          <w:pBdr>
            <w:top w:val="single" w:sz="4" w:space="1" w:color="auto"/>
          </w:pBdr>
          <w:spacing w:before="0" w:after="0" w:line="240" w:lineRule="auto"/>
          <w:ind w:right="360"/>
          <w:jc w:val="center"/>
          <w:rPr>
            <w:rFonts w:eastAsia="Times New Roman"/>
            <w:b/>
            <w:bCs/>
            <w:color w:val="000000"/>
            <w:szCs w:val="24"/>
            <w:lang w:eastAsia="es-ES"/>
          </w:rPr>
        </w:pPr>
        <w:r w:rsidRPr="006E3B21">
          <w:rPr>
            <w:rFonts w:eastAsia="Times New Roman"/>
            <w:b/>
            <w:bCs/>
            <w:color w:val="000000"/>
            <w:szCs w:val="24"/>
            <w:lang w:eastAsia="es-ES"/>
          </w:rPr>
          <w:t>Trabajamos por el desarrollo de la administración de justicia                               con proyección e innovación</w:t>
        </w:r>
      </w:p>
      <w:p w14:paraId="24E0895A" w14:textId="74F80982" w:rsidR="00E22248" w:rsidRDefault="00E22248" w:rsidP="006E3B21">
        <w:pPr>
          <w:pStyle w:val="Piedepgina"/>
          <w:spacing w:before="0" w:after="0" w:line="240" w:lineRule="auto"/>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D7561" w14:textId="77777777" w:rsidR="00381905" w:rsidRDefault="00381905" w:rsidP="00F45BAC">
      <w:pPr>
        <w:spacing w:after="0" w:line="240" w:lineRule="auto"/>
      </w:pPr>
      <w:r>
        <w:separator/>
      </w:r>
    </w:p>
  </w:footnote>
  <w:footnote w:type="continuationSeparator" w:id="0">
    <w:p w14:paraId="27498AF6" w14:textId="77777777" w:rsidR="00381905" w:rsidRDefault="00381905" w:rsidP="00F45BAC">
      <w:pPr>
        <w:spacing w:after="0" w:line="240" w:lineRule="auto"/>
      </w:pPr>
      <w:r>
        <w:continuationSeparator/>
      </w:r>
    </w:p>
  </w:footnote>
  <w:footnote w:type="continuationNotice" w:id="1">
    <w:p w14:paraId="74753460" w14:textId="77777777" w:rsidR="00381905" w:rsidRDefault="00381905">
      <w:pPr>
        <w:spacing w:before="0" w:after="0" w:line="240" w:lineRule="auto"/>
      </w:pPr>
    </w:p>
  </w:footnote>
  <w:footnote w:id="2">
    <w:p w14:paraId="40465E9F" w14:textId="77777777" w:rsidR="00E22248" w:rsidRPr="00D00E25" w:rsidRDefault="00E22248" w:rsidP="00AC6D47">
      <w:pPr>
        <w:pStyle w:val="Textonotapie"/>
        <w:rPr>
          <w:rFonts w:ascii="Book Antiqua" w:hAnsi="Book Antiqua"/>
          <w:lang w:val="es-MX"/>
        </w:rPr>
      </w:pPr>
      <w:r w:rsidRPr="00D00E25">
        <w:rPr>
          <w:rStyle w:val="Refdenotaalpie"/>
          <w:rFonts w:ascii="Book Antiqua" w:hAnsi="Book Antiqua"/>
          <w:sz w:val="18"/>
          <w:szCs w:val="18"/>
        </w:rPr>
        <w:footnoteRef/>
      </w:r>
      <w:r w:rsidRPr="00D00E25">
        <w:rPr>
          <w:rFonts w:ascii="Book Antiqua" w:hAnsi="Book Antiqua"/>
          <w:sz w:val="18"/>
          <w:szCs w:val="18"/>
        </w:rPr>
        <w:t xml:space="preserve"> </w:t>
      </w:r>
      <w:r w:rsidRPr="00D00E25">
        <w:rPr>
          <w:rFonts w:ascii="Book Antiqua" w:hAnsi="Book Antiqua"/>
          <w:b/>
          <w:bCs/>
          <w:sz w:val="18"/>
          <w:szCs w:val="18"/>
          <w:lang w:val="es-MX"/>
        </w:rPr>
        <w:t>Simbología:</w:t>
      </w:r>
      <w:r w:rsidRPr="00D00E25">
        <w:rPr>
          <w:rFonts w:ascii="Book Antiqua" w:hAnsi="Book Antiqua"/>
          <w:sz w:val="18"/>
          <w:szCs w:val="18"/>
          <w:lang w:val="es-MX"/>
        </w:rPr>
        <w:t xml:space="preserve"> Léase con código de colores los Circuitos Judiciales en los que se cuenta con atención de Justicia Restaurativa en cualquiera de las materias. En columnas se muestra el código de las plazas y las cantidades asignadas. Adicionalmente, entiéndase que, las celdas que cuentan con código de color pero no con numeración implica la atención por parte de la plaza asignada al circuito, de acuerdo a la materia en la que han sido marcada.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B42A" w14:textId="3E44A210" w:rsidR="00E22248" w:rsidRPr="00CB2B4D" w:rsidRDefault="00E22248" w:rsidP="00CB2B4D">
    <w:pPr>
      <w:tabs>
        <w:tab w:val="center" w:pos="8804"/>
        <w:tab w:val="right" w:pos="8875"/>
      </w:tabs>
      <w:spacing w:before="0" w:after="0" w:line="240" w:lineRule="auto"/>
      <w:jc w:val="center"/>
      <w:rPr>
        <w:rFonts w:eastAsia="Times New Roman" w:cs="Book Antiqua"/>
        <w:i/>
        <w:iCs/>
        <w:sz w:val="18"/>
        <w:szCs w:val="18"/>
        <w:lang w:eastAsia="es-ES"/>
      </w:rPr>
    </w:pPr>
    <w:bookmarkStart w:id="28" w:name="_Hlk4660870"/>
    <w:bookmarkStart w:id="29" w:name="_Hlk4660871"/>
    <w:r w:rsidRPr="2FF0FB19">
      <w:rPr>
        <w:rFonts w:eastAsia="Times New Roman" w:cs="Book Antiqua"/>
        <w:i/>
        <w:iCs/>
        <w:sz w:val="18"/>
        <w:szCs w:val="18"/>
        <w:lang w:eastAsia="es-ES"/>
      </w:rPr>
      <w:t xml:space="preserve">                Poder Judicial – Dirección de Planificación</w:t>
    </w:r>
    <w:r>
      <w:rPr>
        <w:noProof/>
      </w:rPr>
      <w:drawing>
        <wp:inline distT="0" distB="0" distL="0" distR="0" wp14:anchorId="207C1849" wp14:editId="34478CF1">
          <wp:extent cx="320675" cy="403860"/>
          <wp:effectExtent l="0" t="0" r="0" b="0"/>
          <wp:docPr id="18" name="Imagen 1293284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93284483"/>
                  <pic:cNvPicPr/>
                </pic:nvPicPr>
                <pic:blipFill>
                  <a:blip r:embed="rId1">
                    <a:extLst>
                      <a:ext uri="{28A0092B-C50C-407E-A947-70E740481C1C}">
                        <a14:useLocalDpi xmlns:a14="http://schemas.microsoft.com/office/drawing/2010/main" val="0"/>
                      </a:ext>
                    </a:extLst>
                  </a:blip>
                  <a:stretch>
                    <a:fillRect/>
                  </a:stretch>
                </pic:blipFill>
                <pic:spPr>
                  <a:xfrm>
                    <a:off x="0" y="0"/>
                    <a:ext cx="320675" cy="403860"/>
                  </a:xfrm>
                  <a:prstGeom prst="rect">
                    <a:avLst/>
                  </a:prstGeom>
                </pic:spPr>
              </pic:pic>
            </a:graphicData>
          </a:graphic>
        </wp:inline>
      </w:drawing>
    </w:r>
  </w:p>
  <w:p w14:paraId="42926655" w14:textId="77777777" w:rsidR="00E22248" w:rsidRPr="00CB2B4D" w:rsidRDefault="00E22248" w:rsidP="00CB2B4D">
    <w:pPr>
      <w:tabs>
        <w:tab w:val="center" w:pos="4252"/>
        <w:tab w:val="right" w:pos="8875"/>
      </w:tabs>
      <w:spacing w:before="0" w:after="0" w:line="240" w:lineRule="auto"/>
      <w:jc w:val="center"/>
      <w:rPr>
        <w:rFonts w:eastAsia="Times New Roman" w:cs="Book Antiqua"/>
        <w:i/>
        <w:iCs/>
        <w:sz w:val="18"/>
        <w:szCs w:val="18"/>
        <w:lang w:eastAsia="es-ES"/>
      </w:rPr>
    </w:pPr>
    <w:r w:rsidRPr="00CB2B4D">
      <w:rPr>
        <w:rFonts w:eastAsia="Times New Roman" w:cs="Book Antiqua"/>
        <w:i/>
        <w:iCs/>
        <w:sz w:val="18"/>
        <w:szCs w:val="18"/>
        <w:lang w:eastAsia="es-ES"/>
      </w:rPr>
      <w:t>San José - Costa Rica</w:t>
    </w:r>
  </w:p>
  <w:p w14:paraId="056C91C4" w14:textId="77777777" w:rsidR="00E22248" w:rsidRPr="00CB2B4D" w:rsidRDefault="00E22248" w:rsidP="00CB2B4D">
    <w:pPr>
      <w:tabs>
        <w:tab w:val="center" w:pos="4252"/>
        <w:tab w:val="right" w:pos="8504"/>
      </w:tabs>
      <w:spacing w:before="0" w:after="0" w:line="240" w:lineRule="auto"/>
      <w:jc w:val="center"/>
      <w:rPr>
        <w:rFonts w:ascii="Times New Roman" w:eastAsia="Times New Roman" w:hAnsi="Times New Roman"/>
        <w:sz w:val="20"/>
        <w:szCs w:val="20"/>
        <w:lang w:val="en-US" w:eastAsia="es-ES"/>
      </w:rPr>
    </w:pPr>
    <w:r w:rsidRPr="00CB2B4D">
      <w:rPr>
        <w:rFonts w:eastAsia="Times New Roman" w:cs="Book Antiqua"/>
        <w:i/>
        <w:iCs/>
        <w:sz w:val="18"/>
        <w:szCs w:val="18"/>
        <w:lang w:val="es-ES" w:eastAsia="es-ES"/>
      </w:rPr>
      <w:t xml:space="preserve">Telf.   </w:t>
    </w:r>
    <w:r w:rsidRPr="00CB2B4D">
      <w:rPr>
        <w:rFonts w:eastAsia="Times New Roman" w:cs="Book Antiqua"/>
        <w:i/>
        <w:iCs/>
        <w:sz w:val="18"/>
        <w:szCs w:val="18"/>
        <w:lang w:val="en-US" w:eastAsia="es-ES"/>
      </w:rPr>
      <w:t>2295-3600 / 3599 Fax. 2257-5633   / Apdo.  95-1003 / planificacion@poder-judicial.go.cr</w:t>
    </w:r>
  </w:p>
  <w:bookmarkEnd w:id="28"/>
  <w:bookmarkEnd w:id="29"/>
  <w:p w14:paraId="3120B93C" w14:textId="77777777" w:rsidR="00E22248" w:rsidRPr="00CB2B4D" w:rsidRDefault="00E22248" w:rsidP="00CB2B4D">
    <w:pPr>
      <w:pBdr>
        <w:bottom w:val="single" w:sz="6" w:space="0" w:color="auto"/>
      </w:pBdr>
      <w:spacing w:before="0" w:after="20" w:line="240" w:lineRule="auto"/>
      <w:jc w:val="center"/>
      <w:rPr>
        <w:rFonts w:ascii="Times New Roman" w:eastAsia="Times New Roman" w:hAnsi="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7D0"/>
    <w:multiLevelType w:val="hybridMultilevel"/>
    <w:tmpl w:val="517445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C7748C"/>
    <w:multiLevelType w:val="multilevel"/>
    <w:tmpl w:val="FF528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00CD9"/>
    <w:multiLevelType w:val="hybridMultilevel"/>
    <w:tmpl w:val="3E386C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490CDA"/>
    <w:multiLevelType w:val="hybridMultilevel"/>
    <w:tmpl w:val="811C7F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6416336"/>
    <w:multiLevelType w:val="multilevel"/>
    <w:tmpl w:val="0A44174A"/>
    <w:lvl w:ilvl="0">
      <w:start w:val="1"/>
      <w:numFmt w:val="upperRoman"/>
      <w:pStyle w:val="Ttulo1"/>
      <w:lvlText w:val="%1."/>
      <w:lvlJc w:val="left"/>
      <w:pPr>
        <w:ind w:left="0" w:firstLine="0"/>
      </w:pPr>
    </w:lvl>
    <w:lvl w:ilvl="1">
      <w:start w:val="1"/>
      <w:numFmt w:val="lowerLetter"/>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5" w15:restartNumberingAfterBreak="0">
    <w:nsid w:val="17247B93"/>
    <w:multiLevelType w:val="hybridMultilevel"/>
    <w:tmpl w:val="6D5A8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750053E"/>
    <w:multiLevelType w:val="multilevel"/>
    <w:tmpl w:val="9872E6D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AF7281"/>
    <w:multiLevelType w:val="multilevel"/>
    <w:tmpl w:val="0B58AC72"/>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C178D6"/>
    <w:multiLevelType w:val="hybridMultilevel"/>
    <w:tmpl w:val="87D804A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8CE29F3"/>
    <w:multiLevelType w:val="multilevel"/>
    <w:tmpl w:val="F98874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A12F8F"/>
    <w:multiLevelType w:val="hybridMultilevel"/>
    <w:tmpl w:val="7E502B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E2215AC"/>
    <w:multiLevelType w:val="hybridMultilevel"/>
    <w:tmpl w:val="7BD88F5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0480372"/>
    <w:multiLevelType w:val="hybridMultilevel"/>
    <w:tmpl w:val="FAC85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3922F24"/>
    <w:multiLevelType w:val="multilevel"/>
    <w:tmpl w:val="654CAC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C97D7E"/>
    <w:multiLevelType w:val="hybridMultilevel"/>
    <w:tmpl w:val="1D468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AD83E58"/>
    <w:multiLevelType w:val="multilevel"/>
    <w:tmpl w:val="EEBC223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CBA5A1D"/>
    <w:multiLevelType w:val="multilevel"/>
    <w:tmpl w:val="1152DA6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6C2055"/>
    <w:multiLevelType w:val="hybridMultilevel"/>
    <w:tmpl w:val="0EF29B3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E514B12"/>
    <w:multiLevelType w:val="multilevel"/>
    <w:tmpl w:val="5B900822"/>
    <w:lvl w:ilvl="0">
      <w:start w:val="7"/>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4307723"/>
    <w:multiLevelType w:val="hybridMultilevel"/>
    <w:tmpl w:val="876A5D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4B154F8"/>
    <w:multiLevelType w:val="multilevel"/>
    <w:tmpl w:val="C8FE6164"/>
    <w:lvl w:ilvl="0">
      <w:start w:val="7"/>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21" w15:restartNumberingAfterBreak="0">
    <w:nsid w:val="57FB7CE5"/>
    <w:multiLevelType w:val="hybridMultilevel"/>
    <w:tmpl w:val="C4CC5480"/>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A496F6B"/>
    <w:multiLevelType w:val="hybridMultilevel"/>
    <w:tmpl w:val="48CE647A"/>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23" w15:restartNumberingAfterBreak="0">
    <w:nsid w:val="638F3BB8"/>
    <w:multiLevelType w:val="hybridMultilevel"/>
    <w:tmpl w:val="73609D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5B87EDF"/>
    <w:multiLevelType w:val="hybridMultilevel"/>
    <w:tmpl w:val="0D2CAC12"/>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B126848"/>
    <w:multiLevelType w:val="multilevel"/>
    <w:tmpl w:val="386E59B6"/>
    <w:lvl w:ilvl="0">
      <w:start w:val="1"/>
      <w:numFmt w:val="decimal"/>
      <w:lvlText w:val="%1"/>
      <w:lvlJc w:val="left"/>
      <w:pPr>
        <w:ind w:left="710" w:hanging="710"/>
      </w:pPr>
      <w:rPr>
        <w:rFonts w:hint="default"/>
      </w:rPr>
    </w:lvl>
    <w:lvl w:ilvl="1">
      <w:start w:val="1"/>
      <w:numFmt w:val="decimal"/>
      <w:lvlText w:val="%1.%2"/>
      <w:lvlJc w:val="left"/>
      <w:pPr>
        <w:ind w:left="710" w:hanging="710"/>
      </w:pPr>
      <w:rPr>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CD6E51"/>
    <w:multiLevelType w:val="multilevel"/>
    <w:tmpl w:val="386E59B6"/>
    <w:lvl w:ilvl="0">
      <w:start w:val="1"/>
      <w:numFmt w:val="decimal"/>
      <w:lvlText w:val="%1"/>
      <w:lvlJc w:val="left"/>
      <w:pPr>
        <w:ind w:left="710" w:hanging="710"/>
      </w:pPr>
      <w:rPr>
        <w:rFonts w:hint="default"/>
      </w:rPr>
    </w:lvl>
    <w:lvl w:ilvl="1">
      <w:start w:val="1"/>
      <w:numFmt w:val="decimal"/>
      <w:lvlText w:val="%1.%2"/>
      <w:lvlJc w:val="left"/>
      <w:pPr>
        <w:ind w:left="710" w:hanging="710"/>
      </w:pPr>
      <w:rPr>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201F4E"/>
    <w:multiLevelType w:val="multilevel"/>
    <w:tmpl w:val="FF528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F37BBD"/>
    <w:multiLevelType w:val="multilevel"/>
    <w:tmpl w:val="1152DA6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65701220">
    <w:abstractNumId w:val="4"/>
  </w:num>
  <w:num w:numId="2" w16cid:durableId="188225258">
    <w:abstractNumId w:val="26"/>
  </w:num>
  <w:num w:numId="3" w16cid:durableId="453401528">
    <w:abstractNumId w:val="23"/>
  </w:num>
  <w:num w:numId="4" w16cid:durableId="226769321">
    <w:abstractNumId w:val="19"/>
  </w:num>
  <w:num w:numId="5" w16cid:durableId="1152524361">
    <w:abstractNumId w:val="10"/>
  </w:num>
  <w:num w:numId="6" w16cid:durableId="871377142">
    <w:abstractNumId w:val="8"/>
  </w:num>
  <w:num w:numId="7" w16cid:durableId="461264147">
    <w:abstractNumId w:val="22"/>
  </w:num>
  <w:num w:numId="8" w16cid:durableId="269778048">
    <w:abstractNumId w:val="12"/>
  </w:num>
  <w:num w:numId="9" w16cid:durableId="615410892">
    <w:abstractNumId w:val="28"/>
  </w:num>
  <w:num w:numId="10" w16cid:durableId="1823428831">
    <w:abstractNumId w:val="7"/>
  </w:num>
  <w:num w:numId="11" w16cid:durableId="1098867587">
    <w:abstractNumId w:val="1"/>
  </w:num>
  <w:num w:numId="12" w16cid:durableId="1096562284">
    <w:abstractNumId w:val="27"/>
  </w:num>
  <w:num w:numId="13" w16cid:durableId="1245383341">
    <w:abstractNumId w:val="24"/>
  </w:num>
  <w:num w:numId="14" w16cid:durableId="41834592">
    <w:abstractNumId w:val="13"/>
  </w:num>
  <w:num w:numId="15" w16cid:durableId="417798771">
    <w:abstractNumId w:val="9"/>
  </w:num>
  <w:num w:numId="16" w16cid:durableId="487326181">
    <w:abstractNumId w:val="5"/>
  </w:num>
  <w:num w:numId="17" w16cid:durableId="953250904">
    <w:abstractNumId w:val="3"/>
  </w:num>
  <w:num w:numId="18" w16cid:durableId="730348470">
    <w:abstractNumId w:val="21"/>
  </w:num>
  <w:num w:numId="19" w16cid:durableId="25762786">
    <w:abstractNumId w:val="14"/>
  </w:num>
  <w:num w:numId="20" w16cid:durableId="2054650805">
    <w:abstractNumId w:val="0"/>
  </w:num>
  <w:num w:numId="21" w16cid:durableId="1190873430">
    <w:abstractNumId w:val="2"/>
  </w:num>
  <w:num w:numId="22" w16cid:durableId="255209700">
    <w:abstractNumId w:val="11"/>
  </w:num>
  <w:num w:numId="23" w16cid:durableId="976758943">
    <w:abstractNumId w:val="17"/>
  </w:num>
  <w:num w:numId="24" w16cid:durableId="717171443">
    <w:abstractNumId w:val="18"/>
  </w:num>
  <w:num w:numId="25" w16cid:durableId="1357004980">
    <w:abstractNumId w:val="25"/>
  </w:num>
  <w:num w:numId="26" w16cid:durableId="1637955901">
    <w:abstractNumId w:val="4"/>
  </w:num>
  <w:num w:numId="27" w16cid:durableId="1727099426">
    <w:abstractNumId w:val="20"/>
  </w:num>
  <w:num w:numId="28" w16cid:durableId="1374842496">
    <w:abstractNumId w:val="16"/>
  </w:num>
  <w:num w:numId="29" w16cid:durableId="1499732110">
    <w:abstractNumId w:val="15"/>
  </w:num>
  <w:num w:numId="30" w16cid:durableId="149619135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0D08"/>
    <w:rsid w:val="00001730"/>
    <w:rsid w:val="000024AD"/>
    <w:rsid w:val="00003D8B"/>
    <w:rsid w:val="000045CF"/>
    <w:rsid w:val="000047D3"/>
    <w:rsid w:val="00004EA0"/>
    <w:rsid w:val="00005767"/>
    <w:rsid w:val="00006001"/>
    <w:rsid w:val="00007055"/>
    <w:rsid w:val="00010187"/>
    <w:rsid w:val="000105DC"/>
    <w:rsid w:val="00010832"/>
    <w:rsid w:val="00010B7D"/>
    <w:rsid w:val="00010DDE"/>
    <w:rsid w:val="00011B33"/>
    <w:rsid w:val="000123D3"/>
    <w:rsid w:val="00012CC5"/>
    <w:rsid w:val="00013096"/>
    <w:rsid w:val="00013165"/>
    <w:rsid w:val="000131E6"/>
    <w:rsid w:val="0001357A"/>
    <w:rsid w:val="000136EB"/>
    <w:rsid w:val="0001394F"/>
    <w:rsid w:val="00014029"/>
    <w:rsid w:val="0001405A"/>
    <w:rsid w:val="00014B46"/>
    <w:rsid w:val="00015764"/>
    <w:rsid w:val="0001590A"/>
    <w:rsid w:val="00016E15"/>
    <w:rsid w:val="00016F2F"/>
    <w:rsid w:val="00017278"/>
    <w:rsid w:val="00017404"/>
    <w:rsid w:val="00017E43"/>
    <w:rsid w:val="00017FB0"/>
    <w:rsid w:val="00020C6A"/>
    <w:rsid w:val="00021B4B"/>
    <w:rsid w:val="000220B3"/>
    <w:rsid w:val="00023B95"/>
    <w:rsid w:val="000246E6"/>
    <w:rsid w:val="00024AAF"/>
    <w:rsid w:val="00024D21"/>
    <w:rsid w:val="00025183"/>
    <w:rsid w:val="000251F9"/>
    <w:rsid w:val="000259F2"/>
    <w:rsid w:val="00025C5A"/>
    <w:rsid w:val="00026476"/>
    <w:rsid w:val="00027BCA"/>
    <w:rsid w:val="00031689"/>
    <w:rsid w:val="00031897"/>
    <w:rsid w:val="00032368"/>
    <w:rsid w:val="000325AC"/>
    <w:rsid w:val="0003295A"/>
    <w:rsid w:val="00032FCF"/>
    <w:rsid w:val="000331A9"/>
    <w:rsid w:val="000336D0"/>
    <w:rsid w:val="000342AA"/>
    <w:rsid w:val="00034E06"/>
    <w:rsid w:val="000358BC"/>
    <w:rsid w:val="00036676"/>
    <w:rsid w:val="000379E7"/>
    <w:rsid w:val="00037FEE"/>
    <w:rsid w:val="000403A0"/>
    <w:rsid w:val="00040A1F"/>
    <w:rsid w:val="00040D59"/>
    <w:rsid w:val="00041537"/>
    <w:rsid w:val="00042843"/>
    <w:rsid w:val="00045720"/>
    <w:rsid w:val="00045A76"/>
    <w:rsid w:val="00045B8E"/>
    <w:rsid w:val="00045BD7"/>
    <w:rsid w:val="0004633B"/>
    <w:rsid w:val="000471B0"/>
    <w:rsid w:val="00047780"/>
    <w:rsid w:val="00050861"/>
    <w:rsid w:val="00051132"/>
    <w:rsid w:val="00051A68"/>
    <w:rsid w:val="00053DC9"/>
    <w:rsid w:val="00055CFC"/>
    <w:rsid w:val="0005643F"/>
    <w:rsid w:val="00056CDC"/>
    <w:rsid w:val="0005701C"/>
    <w:rsid w:val="0006095C"/>
    <w:rsid w:val="00061992"/>
    <w:rsid w:val="0006369E"/>
    <w:rsid w:val="00063831"/>
    <w:rsid w:val="00063BCD"/>
    <w:rsid w:val="00065F57"/>
    <w:rsid w:val="00065F65"/>
    <w:rsid w:val="00066067"/>
    <w:rsid w:val="00066C0C"/>
    <w:rsid w:val="00067366"/>
    <w:rsid w:val="0006792D"/>
    <w:rsid w:val="00070DFD"/>
    <w:rsid w:val="000713BF"/>
    <w:rsid w:val="00071C68"/>
    <w:rsid w:val="00071CA3"/>
    <w:rsid w:val="00072164"/>
    <w:rsid w:val="00073624"/>
    <w:rsid w:val="000770CE"/>
    <w:rsid w:val="000772BC"/>
    <w:rsid w:val="000802D9"/>
    <w:rsid w:val="0008129F"/>
    <w:rsid w:val="00082AA1"/>
    <w:rsid w:val="00084406"/>
    <w:rsid w:val="00084714"/>
    <w:rsid w:val="000847A5"/>
    <w:rsid w:val="00084B73"/>
    <w:rsid w:val="00084D8E"/>
    <w:rsid w:val="00084F64"/>
    <w:rsid w:val="00085151"/>
    <w:rsid w:val="0008587E"/>
    <w:rsid w:val="00085C18"/>
    <w:rsid w:val="000874D1"/>
    <w:rsid w:val="00087C0F"/>
    <w:rsid w:val="00090620"/>
    <w:rsid w:val="00091DF4"/>
    <w:rsid w:val="00091E3D"/>
    <w:rsid w:val="00091E80"/>
    <w:rsid w:val="000925B0"/>
    <w:rsid w:val="00092D40"/>
    <w:rsid w:val="00093185"/>
    <w:rsid w:val="0009337F"/>
    <w:rsid w:val="00093434"/>
    <w:rsid w:val="000937D8"/>
    <w:rsid w:val="00093B96"/>
    <w:rsid w:val="00094793"/>
    <w:rsid w:val="00094914"/>
    <w:rsid w:val="00094E63"/>
    <w:rsid w:val="00095290"/>
    <w:rsid w:val="0009616B"/>
    <w:rsid w:val="000972AC"/>
    <w:rsid w:val="000975AB"/>
    <w:rsid w:val="00097F47"/>
    <w:rsid w:val="000A04FE"/>
    <w:rsid w:val="000A09F4"/>
    <w:rsid w:val="000A0C10"/>
    <w:rsid w:val="000A201E"/>
    <w:rsid w:val="000A21D6"/>
    <w:rsid w:val="000A2AAD"/>
    <w:rsid w:val="000A2B4A"/>
    <w:rsid w:val="000A2DB8"/>
    <w:rsid w:val="000A2DD3"/>
    <w:rsid w:val="000A4421"/>
    <w:rsid w:val="000A4BBC"/>
    <w:rsid w:val="000A4FF6"/>
    <w:rsid w:val="000A5B77"/>
    <w:rsid w:val="000A64A3"/>
    <w:rsid w:val="000A6E20"/>
    <w:rsid w:val="000A732C"/>
    <w:rsid w:val="000A755A"/>
    <w:rsid w:val="000B14A5"/>
    <w:rsid w:val="000B1EC3"/>
    <w:rsid w:val="000B1F92"/>
    <w:rsid w:val="000B210B"/>
    <w:rsid w:val="000B2515"/>
    <w:rsid w:val="000B4308"/>
    <w:rsid w:val="000B493F"/>
    <w:rsid w:val="000B4995"/>
    <w:rsid w:val="000B4D60"/>
    <w:rsid w:val="000B53FC"/>
    <w:rsid w:val="000B5C94"/>
    <w:rsid w:val="000B6387"/>
    <w:rsid w:val="000B6640"/>
    <w:rsid w:val="000B7237"/>
    <w:rsid w:val="000C0591"/>
    <w:rsid w:val="000C086E"/>
    <w:rsid w:val="000C0893"/>
    <w:rsid w:val="000C093A"/>
    <w:rsid w:val="000C0C0F"/>
    <w:rsid w:val="000C0CA5"/>
    <w:rsid w:val="000C1274"/>
    <w:rsid w:val="000C2363"/>
    <w:rsid w:val="000C367B"/>
    <w:rsid w:val="000C3982"/>
    <w:rsid w:val="000C3E37"/>
    <w:rsid w:val="000C42D7"/>
    <w:rsid w:val="000C43A1"/>
    <w:rsid w:val="000C4595"/>
    <w:rsid w:val="000C4CC3"/>
    <w:rsid w:val="000C4CF3"/>
    <w:rsid w:val="000C4E49"/>
    <w:rsid w:val="000C5B53"/>
    <w:rsid w:val="000C5C8D"/>
    <w:rsid w:val="000C5D38"/>
    <w:rsid w:val="000C5F7A"/>
    <w:rsid w:val="000C67B0"/>
    <w:rsid w:val="000C6980"/>
    <w:rsid w:val="000C7936"/>
    <w:rsid w:val="000D07E2"/>
    <w:rsid w:val="000D1C5A"/>
    <w:rsid w:val="000D234B"/>
    <w:rsid w:val="000D2939"/>
    <w:rsid w:val="000D2A18"/>
    <w:rsid w:val="000D3237"/>
    <w:rsid w:val="000D41F4"/>
    <w:rsid w:val="000D4BB1"/>
    <w:rsid w:val="000D4C06"/>
    <w:rsid w:val="000D58FB"/>
    <w:rsid w:val="000D5C9A"/>
    <w:rsid w:val="000D6611"/>
    <w:rsid w:val="000D6A90"/>
    <w:rsid w:val="000D6C70"/>
    <w:rsid w:val="000E0A2A"/>
    <w:rsid w:val="000E20FB"/>
    <w:rsid w:val="000E3156"/>
    <w:rsid w:val="000E3C90"/>
    <w:rsid w:val="000E3E9D"/>
    <w:rsid w:val="000E4668"/>
    <w:rsid w:val="000E514F"/>
    <w:rsid w:val="000E556F"/>
    <w:rsid w:val="000E56D0"/>
    <w:rsid w:val="000E575A"/>
    <w:rsid w:val="000E6752"/>
    <w:rsid w:val="000E6BF6"/>
    <w:rsid w:val="000E6D3A"/>
    <w:rsid w:val="000E6F3F"/>
    <w:rsid w:val="000E71EF"/>
    <w:rsid w:val="000F03FB"/>
    <w:rsid w:val="000F0909"/>
    <w:rsid w:val="000F0A87"/>
    <w:rsid w:val="000F0F04"/>
    <w:rsid w:val="000F1498"/>
    <w:rsid w:val="000F15EC"/>
    <w:rsid w:val="000F177C"/>
    <w:rsid w:val="000F3047"/>
    <w:rsid w:val="000F3405"/>
    <w:rsid w:val="000F3596"/>
    <w:rsid w:val="000F374D"/>
    <w:rsid w:val="000F3C03"/>
    <w:rsid w:val="000F4520"/>
    <w:rsid w:val="000F4FFD"/>
    <w:rsid w:val="000F661B"/>
    <w:rsid w:val="00100695"/>
    <w:rsid w:val="00103568"/>
    <w:rsid w:val="001035EB"/>
    <w:rsid w:val="0010384E"/>
    <w:rsid w:val="00104FDD"/>
    <w:rsid w:val="001070E1"/>
    <w:rsid w:val="0010763B"/>
    <w:rsid w:val="00107B8C"/>
    <w:rsid w:val="00107BA2"/>
    <w:rsid w:val="00107BD2"/>
    <w:rsid w:val="0011017A"/>
    <w:rsid w:val="001104F9"/>
    <w:rsid w:val="00110BD1"/>
    <w:rsid w:val="00111F28"/>
    <w:rsid w:val="001123BD"/>
    <w:rsid w:val="00112875"/>
    <w:rsid w:val="00112A93"/>
    <w:rsid w:val="00112AAF"/>
    <w:rsid w:val="001148C6"/>
    <w:rsid w:val="00115C17"/>
    <w:rsid w:val="00116289"/>
    <w:rsid w:val="00117C2C"/>
    <w:rsid w:val="00120333"/>
    <w:rsid w:val="00120634"/>
    <w:rsid w:val="001215F7"/>
    <w:rsid w:val="00121D30"/>
    <w:rsid w:val="001220B0"/>
    <w:rsid w:val="00122794"/>
    <w:rsid w:val="00122A66"/>
    <w:rsid w:val="00124403"/>
    <w:rsid w:val="00124700"/>
    <w:rsid w:val="00124AAC"/>
    <w:rsid w:val="00124BE7"/>
    <w:rsid w:val="00125F76"/>
    <w:rsid w:val="00126136"/>
    <w:rsid w:val="0012750A"/>
    <w:rsid w:val="00127AAE"/>
    <w:rsid w:val="00127C7D"/>
    <w:rsid w:val="00127E8E"/>
    <w:rsid w:val="00127EAC"/>
    <w:rsid w:val="00130C1A"/>
    <w:rsid w:val="0013144B"/>
    <w:rsid w:val="0013169E"/>
    <w:rsid w:val="001318E8"/>
    <w:rsid w:val="00131992"/>
    <w:rsid w:val="00131A7E"/>
    <w:rsid w:val="0013251A"/>
    <w:rsid w:val="00132713"/>
    <w:rsid w:val="00134815"/>
    <w:rsid w:val="001352C7"/>
    <w:rsid w:val="001354F1"/>
    <w:rsid w:val="001359B5"/>
    <w:rsid w:val="001364F8"/>
    <w:rsid w:val="00136D58"/>
    <w:rsid w:val="00137977"/>
    <w:rsid w:val="00137AE7"/>
    <w:rsid w:val="0014007B"/>
    <w:rsid w:val="0014027C"/>
    <w:rsid w:val="00140EA9"/>
    <w:rsid w:val="001412DC"/>
    <w:rsid w:val="001421C6"/>
    <w:rsid w:val="0014264F"/>
    <w:rsid w:val="00142C6F"/>
    <w:rsid w:val="00143008"/>
    <w:rsid w:val="0014301C"/>
    <w:rsid w:val="00143D43"/>
    <w:rsid w:val="00145D3F"/>
    <w:rsid w:val="00145F65"/>
    <w:rsid w:val="001463CA"/>
    <w:rsid w:val="00146602"/>
    <w:rsid w:val="00146947"/>
    <w:rsid w:val="001469EB"/>
    <w:rsid w:val="00146E20"/>
    <w:rsid w:val="00147705"/>
    <w:rsid w:val="00147EB3"/>
    <w:rsid w:val="00150375"/>
    <w:rsid w:val="00150607"/>
    <w:rsid w:val="001519FD"/>
    <w:rsid w:val="00152524"/>
    <w:rsid w:val="001527ED"/>
    <w:rsid w:val="001530C0"/>
    <w:rsid w:val="001533AE"/>
    <w:rsid w:val="00153D96"/>
    <w:rsid w:val="00153E54"/>
    <w:rsid w:val="0015429E"/>
    <w:rsid w:val="00154A67"/>
    <w:rsid w:val="00155BFC"/>
    <w:rsid w:val="00156955"/>
    <w:rsid w:val="00156DA6"/>
    <w:rsid w:val="0015710C"/>
    <w:rsid w:val="001574B2"/>
    <w:rsid w:val="00157817"/>
    <w:rsid w:val="0016046B"/>
    <w:rsid w:val="00160C81"/>
    <w:rsid w:val="00162195"/>
    <w:rsid w:val="00163514"/>
    <w:rsid w:val="00163C4E"/>
    <w:rsid w:val="00164E40"/>
    <w:rsid w:val="001659A0"/>
    <w:rsid w:val="00166B2E"/>
    <w:rsid w:val="00166D02"/>
    <w:rsid w:val="00167A6A"/>
    <w:rsid w:val="00167FC7"/>
    <w:rsid w:val="00170A6A"/>
    <w:rsid w:val="00170C8A"/>
    <w:rsid w:val="00170C9C"/>
    <w:rsid w:val="001726E9"/>
    <w:rsid w:val="001728C3"/>
    <w:rsid w:val="00172D4E"/>
    <w:rsid w:val="00173E40"/>
    <w:rsid w:val="00173EF7"/>
    <w:rsid w:val="00173FC7"/>
    <w:rsid w:val="00174D78"/>
    <w:rsid w:val="001750EE"/>
    <w:rsid w:val="0017528B"/>
    <w:rsid w:val="00175422"/>
    <w:rsid w:val="00175A32"/>
    <w:rsid w:val="001772FB"/>
    <w:rsid w:val="001775E5"/>
    <w:rsid w:val="001777FF"/>
    <w:rsid w:val="00177805"/>
    <w:rsid w:val="00177CC3"/>
    <w:rsid w:val="001813D3"/>
    <w:rsid w:val="00181E3A"/>
    <w:rsid w:val="0018259E"/>
    <w:rsid w:val="00182871"/>
    <w:rsid w:val="00182DDF"/>
    <w:rsid w:val="0018372A"/>
    <w:rsid w:val="0018602F"/>
    <w:rsid w:val="001868FA"/>
    <w:rsid w:val="00186916"/>
    <w:rsid w:val="00186B27"/>
    <w:rsid w:val="0018730E"/>
    <w:rsid w:val="0018744C"/>
    <w:rsid w:val="001901AA"/>
    <w:rsid w:val="00190E76"/>
    <w:rsid w:val="00190FAE"/>
    <w:rsid w:val="001912F8"/>
    <w:rsid w:val="001917CC"/>
    <w:rsid w:val="00192AF1"/>
    <w:rsid w:val="001938CD"/>
    <w:rsid w:val="00194B44"/>
    <w:rsid w:val="00195029"/>
    <w:rsid w:val="00195081"/>
    <w:rsid w:val="00195708"/>
    <w:rsid w:val="00195824"/>
    <w:rsid w:val="001961F1"/>
    <w:rsid w:val="00196E83"/>
    <w:rsid w:val="001971DC"/>
    <w:rsid w:val="00197D58"/>
    <w:rsid w:val="001A0F13"/>
    <w:rsid w:val="001A3BEC"/>
    <w:rsid w:val="001A4042"/>
    <w:rsid w:val="001A4410"/>
    <w:rsid w:val="001A48A4"/>
    <w:rsid w:val="001A5575"/>
    <w:rsid w:val="001A5897"/>
    <w:rsid w:val="001A7514"/>
    <w:rsid w:val="001A78A6"/>
    <w:rsid w:val="001A7BDA"/>
    <w:rsid w:val="001B140B"/>
    <w:rsid w:val="001B1416"/>
    <w:rsid w:val="001B198C"/>
    <w:rsid w:val="001B25EF"/>
    <w:rsid w:val="001B2904"/>
    <w:rsid w:val="001B2DFA"/>
    <w:rsid w:val="001B2FEA"/>
    <w:rsid w:val="001B3201"/>
    <w:rsid w:val="001B32BD"/>
    <w:rsid w:val="001B380D"/>
    <w:rsid w:val="001B4437"/>
    <w:rsid w:val="001B4C2B"/>
    <w:rsid w:val="001B5EA0"/>
    <w:rsid w:val="001B6DD1"/>
    <w:rsid w:val="001B7049"/>
    <w:rsid w:val="001B785F"/>
    <w:rsid w:val="001C13F1"/>
    <w:rsid w:val="001C1DC7"/>
    <w:rsid w:val="001C2CF0"/>
    <w:rsid w:val="001C2D3E"/>
    <w:rsid w:val="001C3732"/>
    <w:rsid w:val="001C614C"/>
    <w:rsid w:val="001C6A25"/>
    <w:rsid w:val="001C78E0"/>
    <w:rsid w:val="001C7B6A"/>
    <w:rsid w:val="001C7D9D"/>
    <w:rsid w:val="001D077D"/>
    <w:rsid w:val="001D0E1B"/>
    <w:rsid w:val="001D1403"/>
    <w:rsid w:val="001D24F5"/>
    <w:rsid w:val="001D2D29"/>
    <w:rsid w:val="001D2D36"/>
    <w:rsid w:val="001D32B9"/>
    <w:rsid w:val="001D43D4"/>
    <w:rsid w:val="001D54A7"/>
    <w:rsid w:val="001D561F"/>
    <w:rsid w:val="001D57D6"/>
    <w:rsid w:val="001D58AE"/>
    <w:rsid w:val="001D5C01"/>
    <w:rsid w:val="001D6DDD"/>
    <w:rsid w:val="001D6FD8"/>
    <w:rsid w:val="001D7A15"/>
    <w:rsid w:val="001D7ABE"/>
    <w:rsid w:val="001D7BEB"/>
    <w:rsid w:val="001D7C7B"/>
    <w:rsid w:val="001E036D"/>
    <w:rsid w:val="001E039D"/>
    <w:rsid w:val="001E15B8"/>
    <w:rsid w:val="001E2FD2"/>
    <w:rsid w:val="001E34A7"/>
    <w:rsid w:val="001E3F85"/>
    <w:rsid w:val="001E43F8"/>
    <w:rsid w:val="001E55E8"/>
    <w:rsid w:val="001E66DC"/>
    <w:rsid w:val="001E673C"/>
    <w:rsid w:val="001E70D6"/>
    <w:rsid w:val="001F01EE"/>
    <w:rsid w:val="001F0AA4"/>
    <w:rsid w:val="001F0CA0"/>
    <w:rsid w:val="001F2222"/>
    <w:rsid w:val="001F22D9"/>
    <w:rsid w:val="001F2D08"/>
    <w:rsid w:val="001F2D44"/>
    <w:rsid w:val="001F3380"/>
    <w:rsid w:val="001F402B"/>
    <w:rsid w:val="001F493E"/>
    <w:rsid w:val="001F4970"/>
    <w:rsid w:val="001F59A8"/>
    <w:rsid w:val="001F6D57"/>
    <w:rsid w:val="001F6DE0"/>
    <w:rsid w:val="001F71AB"/>
    <w:rsid w:val="001F7620"/>
    <w:rsid w:val="001F7A67"/>
    <w:rsid w:val="002005E6"/>
    <w:rsid w:val="00201304"/>
    <w:rsid w:val="00201B0A"/>
    <w:rsid w:val="002039C5"/>
    <w:rsid w:val="00203D99"/>
    <w:rsid w:val="00203EA6"/>
    <w:rsid w:val="00204054"/>
    <w:rsid w:val="00204575"/>
    <w:rsid w:val="002048FD"/>
    <w:rsid w:val="00204C10"/>
    <w:rsid w:val="00204D48"/>
    <w:rsid w:val="00204E69"/>
    <w:rsid w:val="002053BC"/>
    <w:rsid w:val="00205B90"/>
    <w:rsid w:val="002063D1"/>
    <w:rsid w:val="002066DB"/>
    <w:rsid w:val="002069A7"/>
    <w:rsid w:val="00206D03"/>
    <w:rsid w:val="002074B7"/>
    <w:rsid w:val="00207FBB"/>
    <w:rsid w:val="0021089B"/>
    <w:rsid w:val="00210FB4"/>
    <w:rsid w:val="00210FD1"/>
    <w:rsid w:val="00212554"/>
    <w:rsid w:val="0021258C"/>
    <w:rsid w:val="00213CB3"/>
    <w:rsid w:val="0021470E"/>
    <w:rsid w:val="00214F66"/>
    <w:rsid w:val="00216A01"/>
    <w:rsid w:val="002173E3"/>
    <w:rsid w:val="0022048F"/>
    <w:rsid w:val="00220E5A"/>
    <w:rsid w:val="002210ED"/>
    <w:rsid w:val="0022114F"/>
    <w:rsid w:val="002214BE"/>
    <w:rsid w:val="00221C4A"/>
    <w:rsid w:val="00222C03"/>
    <w:rsid w:val="00223A79"/>
    <w:rsid w:val="00224BCE"/>
    <w:rsid w:val="00224FEB"/>
    <w:rsid w:val="0022540E"/>
    <w:rsid w:val="00225642"/>
    <w:rsid w:val="002260A2"/>
    <w:rsid w:val="0022631E"/>
    <w:rsid w:val="00226F76"/>
    <w:rsid w:val="00230B42"/>
    <w:rsid w:val="002315AF"/>
    <w:rsid w:val="002321C6"/>
    <w:rsid w:val="0023274B"/>
    <w:rsid w:val="002328BC"/>
    <w:rsid w:val="00233029"/>
    <w:rsid w:val="0023381A"/>
    <w:rsid w:val="00233B0B"/>
    <w:rsid w:val="00233B8D"/>
    <w:rsid w:val="002342CB"/>
    <w:rsid w:val="002349A1"/>
    <w:rsid w:val="00234E71"/>
    <w:rsid w:val="00235537"/>
    <w:rsid w:val="002356CD"/>
    <w:rsid w:val="00236CD7"/>
    <w:rsid w:val="00236D8D"/>
    <w:rsid w:val="0023732B"/>
    <w:rsid w:val="00237B4E"/>
    <w:rsid w:val="002400FD"/>
    <w:rsid w:val="00240FC5"/>
    <w:rsid w:val="00241E52"/>
    <w:rsid w:val="002431F0"/>
    <w:rsid w:val="00243538"/>
    <w:rsid w:val="00243F06"/>
    <w:rsid w:val="002440F3"/>
    <w:rsid w:val="00244158"/>
    <w:rsid w:val="002443F5"/>
    <w:rsid w:val="00244B6A"/>
    <w:rsid w:val="00244ED4"/>
    <w:rsid w:val="00245952"/>
    <w:rsid w:val="00245967"/>
    <w:rsid w:val="00245A14"/>
    <w:rsid w:val="00246345"/>
    <w:rsid w:val="00246644"/>
    <w:rsid w:val="00246AF2"/>
    <w:rsid w:val="00246CAB"/>
    <w:rsid w:val="0024B769"/>
    <w:rsid w:val="00251A3F"/>
    <w:rsid w:val="002522AC"/>
    <w:rsid w:val="00252486"/>
    <w:rsid w:val="00252C76"/>
    <w:rsid w:val="00253EF8"/>
    <w:rsid w:val="0025460E"/>
    <w:rsid w:val="00254E48"/>
    <w:rsid w:val="00255628"/>
    <w:rsid w:val="00256F62"/>
    <w:rsid w:val="00260438"/>
    <w:rsid w:val="002606DE"/>
    <w:rsid w:val="00260F7A"/>
    <w:rsid w:val="002617A4"/>
    <w:rsid w:val="0026214E"/>
    <w:rsid w:val="0026334F"/>
    <w:rsid w:val="002635C8"/>
    <w:rsid w:val="00263FB8"/>
    <w:rsid w:val="00264542"/>
    <w:rsid w:val="0026493A"/>
    <w:rsid w:val="0026553A"/>
    <w:rsid w:val="00265BEA"/>
    <w:rsid w:val="002666BC"/>
    <w:rsid w:val="00266847"/>
    <w:rsid w:val="00266EF4"/>
    <w:rsid w:val="002673D3"/>
    <w:rsid w:val="00267463"/>
    <w:rsid w:val="00267800"/>
    <w:rsid w:val="002678C9"/>
    <w:rsid w:val="0027027A"/>
    <w:rsid w:val="00271427"/>
    <w:rsid w:val="002718F6"/>
    <w:rsid w:val="00271CEF"/>
    <w:rsid w:val="00272376"/>
    <w:rsid w:val="002734CE"/>
    <w:rsid w:val="00273583"/>
    <w:rsid w:val="00273775"/>
    <w:rsid w:val="00273E53"/>
    <w:rsid w:val="00273E62"/>
    <w:rsid w:val="0027450C"/>
    <w:rsid w:val="00274CC6"/>
    <w:rsid w:val="00275A01"/>
    <w:rsid w:val="00276324"/>
    <w:rsid w:val="002769E3"/>
    <w:rsid w:val="00276C54"/>
    <w:rsid w:val="00276DED"/>
    <w:rsid w:val="0028012E"/>
    <w:rsid w:val="00280491"/>
    <w:rsid w:val="00280529"/>
    <w:rsid w:val="00280B29"/>
    <w:rsid w:val="00280D78"/>
    <w:rsid w:val="00280F7E"/>
    <w:rsid w:val="00281162"/>
    <w:rsid w:val="002818F6"/>
    <w:rsid w:val="00282675"/>
    <w:rsid w:val="002827BA"/>
    <w:rsid w:val="00282EBF"/>
    <w:rsid w:val="0028306F"/>
    <w:rsid w:val="00284069"/>
    <w:rsid w:val="0028416C"/>
    <w:rsid w:val="00284181"/>
    <w:rsid w:val="00284C83"/>
    <w:rsid w:val="00285238"/>
    <w:rsid w:val="0028616D"/>
    <w:rsid w:val="00286863"/>
    <w:rsid w:val="00286C12"/>
    <w:rsid w:val="002876D8"/>
    <w:rsid w:val="00290031"/>
    <w:rsid w:val="002906DB"/>
    <w:rsid w:val="00290A53"/>
    <w:rsid w:val="00291B1F"/>
    <w:rsid w:val="00291CD2"/>
    <w:rsid w:val="00291FD6"/>
    <w:rsid w:val="0029205B"/>
    <w:rsid w:val="0029213D"/>
    <w:rsid w:val="002921D5"/>
    <w:rsid w:val="00292980"/>
    <w:rsid w:val="00292B2C"/>
    <w:rsid w:val="00293B98"/>
    <w:rsid w:val="002947CB"/>
    <w:rsid w:val="00294ABC"/>
    <w:rsid w:val="002958CC"/>
    <w:rsid w:val="002962A4"/>
    <w:rsid w:val="0029649D"/>
    <w:rsid w:val="002967E6"/>
    <w:rsid w:val="00296971"/>
    <w:rsid w:val="00296D5B"/>
    <w:rsid w:val="00297348"/>
    <w:rsid w:val="002A0037"/>
    <w:rsid w:val="002A0896"/>
    <w:rsid w:val="002A15B9"/>
    <w:rsid w:val="002A167D"/>
    <w:rsid w:val="002A1F48"/>
    <w:rsid w:val="002A2791"/>
    <w:rsid w:val="002A2E02"/>
    <w:rsid w:val="002A3080"/>
    <w:rsid w:val="002A32AA"/>
    <w:rsid w:val="002A3705"/>
    <w:rsid w:val="002A404C"/>
    <w:rsid w:val="002A4F6F"/>
    <w:rsid w:val="002A50CA"/>
    <w:rsid w:val="002A596D"/>
    <w:rsid w:val="002A74E3"/>
    <w:rsid w:val="002A7DD1"/>
    <w:rsid w:val="002B05A2"/>
    <w:rsid w:val="002B0A31"/>
    <w:rsid w:val="002B1B0B"/>
    <w:rsid w:val="002B1E8A"/>
    <w:rsid w:val="002B2435"/>
    <w:rsid w:val="002B243A"/>
    <w:rsid w:val="002B30C5"/>
    <w:rsid w:val="002B3C6C"/>
    <w:rsid w:val="002B4723"/>
    <w:rsid w:val="002B50B9"/>
    <w:rsid w:val="002B57B7"/>
    <w:rsid w:val="002B5FCB"/>
    <w:rsid w:val="002B631A"/>
    <w:rsid w:val="002B638A"/>
    <w:rsid w:val="002C028F"/>
    <w:rsid w:val="002C05AF"/>
    <w:rsid w:val="002C0CBB"/>
    <w:rsid w:val="002C0F86"/>
    <w:rsid w:val="002C176B"/>
    <w:rsid w:val="002C197A"/>
    <w:rsid w:val="002C19AF"/>
    <w:rsid w:val="002C1B93"/>
    <w:rsid w:val="002C1D89"/>
    <w:rsid w:val="002C28AA"/>
    <w:rsid w:val="002C379C"/>
    <w:rsid w:val="002C3D67"/>
    <w:rsid w:val="002C3E00"/>
    <w:rsid w:val="002C4026"/>
    <w:rsid w:val="002C48AE"/>
    <w:rsid w:val="002C51A7"/>
    <w:rsid w:val="002C604A"/>
    <w:rsid w:val="002C61F6"/>
    <w:rsid w:val="002C70DD"/>
    <w:rsid w:val="002C773B"/>
    <w:rsid w:val="002C78CA"/>
    <w:rsid w:val="002C7952"/>
    <w:rsid w:val="002D0E0A"/>
    <w:rsid w:val="002D1D9C"/>
    <w:rsid w:val="002D2DAE"/>
    <w:rsid w:val="002D3F23"/>
    <w:rsid w:val="002D4318"/>
    <w:rsid w:val="002D470F"/>
    <w:rsid w:val="002D4B08"/>
    <w:rsid w:val="002D4D0C"/>
    <w:rsid w:val="002D535B"/>
    <w:rsid w:val="002D6410"/>
    <w:rsid w:val="002D66CB"/>
    <w:rsid w:val="002D74EB"/>
    <w:rsid w:val="002D7808"/>
    <w:rsid w:val="002D7994"/>
    <w:rsid w:val="002E04C6"/>
    <w:rsid w:val="002E09E9"/>
    <w:rsid w:val="002E1447"/>
    <w:rsid w:val="002E1508"/>
    <w:rsid w:val="002E2A65"/>
    <w:rsid w:val="002E3402"/>
    <w:rsid w:val="002E3864"/>
    <w:rsid w:val="002E390A"/>
    <w:rsid w:val="002E3A23"/>
    <w:rsid w:val="002E5FD3"/>
    <w:rsid w:val="002E610C"/>
    <w:rsid w:val="002E62B6"/>
    <w:rsid w:val="002E6D12"/>
    <w:rsid w:val="002E7F89"/>
    <w:rsid w:val="002F021C"/>
    <w:rsid w:val="002F0C23"/>
    <w:rsid w:val="002F114E"/>
    <w:rsid w:val="002F1AEC"/>
    <w:rsid w:val="002F1ED4"/>
    <w:rsid w:val="002F2308"/>
    <w:rsid w:val="002F267E"/>
    <w:rsid w:val="002F2EDF"/>
    <w:rsid w:val="002F31FB"/>
    <w:rsid w:val="002F37F6"/>
    <w:rsid w:val="002F4339"/>
    <w:rsid w:val="002F460A"/>
    <w:rsid w:val="002F4A09"/>
    <w:rsid w:val="002F4B7E"/>
    <w:rsid w:val="002F54F6"/>
    <w:rsid w:val="002F64BD"/>
    <w:rsid w:val="002F6EBD"/>
    <w:rsid w:val="002F7B77"/>
    <w:rsid w:val="002F7F71"/>
    <w:rsid w:val="003006B9"/>
    <w:rsid w:val="003007C0"/>
    <w:rsid w:val="0030094B"/>
    <w:rsid w:val="00300FC2"/>
    <w:rsid w:val="00301156"/>
    <w:rsid w:val="0030164A"/>
    <w:rsid w:val="003017D4"/>
    <w:rsid w:val="00301F98"/>
    <w:rsid w:val="003020BC"/>
    <w:rsid w:val="00302B50"/>
    <w:rsid w:val="003039D3"/>
    <w:rsid w:val="00303ABE"/>
    <w:rsid w:val="00303F3E"/>
    <w:rsid w:val="00307214"/>
    <w:rsid w:val="00307CCA"/>
    <w:rsid w:val="00310603"/>
    <w:rsid w:val="003115C2"/>
    <w:rsid w:val="00311FFA"/>
    <w:rsid w:val="003123C5"/>
    <w:rsid w:val="00312A9A"/>
    <w:rsid w:val="00312B7B"/>
    <w:rsid w:val="003141FF"/>
    <w:rsid w:val="003143C2"/>
    <w:rsid w:val="0031532E"/>
    <w:rsid w:val="003159B9"/>
    <w:rsid w:val="003159DB"/>
    <w:rsid w:val="00315F04"/>
    <w:rsid w:val="00317824"/>
    <w:rsid w:val="00317C5D"/>
    <w:rsid w:val="00317D11"/>
    <w:rsid w:val="00317D1F"/>
    <w:rsid w:val="0032044F"/>
    <w:rsid w:val="003204A4"/>
    <w:rsid w:val="00320529"/>
    <w:rsid w:val="00320802"/>
    <w:rsid w:val="00320D9A"/>
    <w:rsid w:val="00320F65"/>
    <w:rsid w:val="0032152E"/>
    <w:rsid w:val="003219AC"/>
    <w:rsid w:val="00321DBF"/>
    <w:rsid w:val="00321FB3"/>
    <w:rsid w:val="0032339B"/>
    <w:rsid w:val="00323B46"/>
    <w:rsid w:val="00324480"/>
    <w:rsid w:val="00324654"/>
    <w:rsid w:val="00324CA3"/>
    <w:rsid w:val="00325301"/>
    <w:rsid w:val="0032568D"/>
    <w:rsid w:val="00327075"/>
    <w:rsid w:val="003275C0"/>
    <w:rsid w:val="00327AE6"/>
    <w:rsid w:val="00330C4D"/>
    <w:rsid w:val="00331180"/>
    <w:rsid w:val="00331229"/>
    <w:rsid w:val="00331A4D"/>
    <w:rsid w:val="003326B8"/>
    <w:rsid w:val="00332B6A"/>
    <w:rsid w:val="00332F1D"/>
    <w:rsid w:val="00333113"/>
    <w:rsid w:val="003333A2"/>
    <w:rsid w:val="003334A0"/>
    <w:rsid w:val="0033412A"/>
    <w:rsid w:val="0033481D"/>
    <w:rsid w:val="00334FC4"/>
    <w:rsid w:val="003351D8"/>
    <w:rsid w:val="003355AF"/>
    <w:rsid w:val="0033653A"/>
    <w:rsid w:val="00336DC6"/>
    <w:rsid w:val="0033705C"/>
    <w:rsid w:val="00337091"/>
    <w:rsid w:val="0033789B"/>
    <w:rsid w:val="00337EE1"/>
    <w:rsid w:val="003406CD"/>
    <w:rsid w:val="00340A61"/>
    <w:rsid w:val="00341D7A"/>
    <w:rsid w:val="0034205F"/>
    <w:rsid w:val="0034342A"/>
    <w:rsid w:val="00343ACB"/>
    <w:rsid w:val="00343D6F"/>
    <w:rsid w:val="003446E2"/>
    <w:rsid w:val="00344A10"/>
    <w:rsid w:val="00344EEF"/>
    <w:rsid w:val="00345AC9"/>
    <w:rsid w:val="00346A30"/>
    <w:rsid w:val="00346B1F"/>
    <w:rsid w:val="00346DA1"/>
    <w:rsid w:val="00346F69"/>
    <w:rsid w:val="00347D15"/>
    <w:rsid w:val="00350101"/>
    <w:rsid w:val="00350416"/>
    <w:rsid w:val="0035045F"/>
    <w:rsid w:val="003518B6"/>
    <w:rsid w:val="003518C9"/>
    <w:rsid w:val="00351912"/>
    <w:rsid w:val="003524D6"/>
    <w:rsid w:val="00352791"/>
    <w:rsid w:val="003528CD"/>
    <w:rsid w:val="00352983"/>
    <w:rsid w:val="00352C05"/>
    <w:rsid w:val="00353415"/>
    <w:rsid w:val="00353828"/>
    <w:rsid w:val="00353CC4"/>
    <w:rsid w:val="00354F19"/>
    <w:rsid w:val="0035504B"/>
    <w:rsid w:val="003554BA"/>
    <w:rsid w:val="00355688"/>
    <w:rsid w:val="00355B40"/>
    <w:rsid w:val="00355D2B"/>
    <w:rsid w:val="00356405"/>
    <w:rsid w:val="003571A8"/>
    <w:rsid w:val="00357621"/>
    <w:rsid w:val="0035791A"/>
    <w:rsid w:val="00357FB7"/>
    <w:rsid w:val="0035BD83"/>
    <w:rsid w:val="003602FE"/>
    <w:rsid w:val="00360AEF"/>
    <w:rsid w:val="00361048"/>
    <w:rsid w:val="0036245C"/>
    <w:rsid w:val="00362743"/>
    <w:rsid w:val="00363123"/>
    <w:rsid w:val="003631E8"/>
    <w:rsid w:val="0036346B"/>
    <w:rsid w:val="003634BD"/>
    <w:rsid w:val="00364D2E"/>
    <w:rsid w:val="003657A6"/>
    <w:rsid w:val="00366557"/>
    <w:rsid w:val="003666AD"/>
    <w:rsid w:val="003668C7"/>
    <w:rsid w:val="00367FC3"/>
    <w:rsid w:val="003708F2"/>
    <w:rsid w:val="003709D0"/>
    <w:rsid w:val="00370C48"/>
    <w:rsid w:val="0037252E"/>
    <w:rsid w:val="00374E61"/>
    <w:rsid w:val="00375023"/>
    <w:rsid w:val="00375437"/>
    <w:rsid w:val="003758CD"/>
    <w:rsid w:val="00376B25"/>
    <w:rsid w:val="00376BF8"/>
    <w:rsid w:val="00377337"/>
    <w:rsid w:val="00377565"/>
    <w:rsid w:val="00377E2E"/>
    <w:rsid w:val="00381905"/>
    <w:rsid w:val="00381A4B"/>
    <w:rsid w:val="0038273C"/>
    <w:rsid w:val="003828F1"/>
    <w:rsid w:val="00383E59"/>
    <w:rsid w:val="00383F86"/>
    <w:rsid w:val="003848C2"/>
    <w:rsid w:val="00384914"/>
    <w:rsid w:val="003852BB"/>
    <w:rsid w:val="003855D6"/>
    <w:rsid w:val="0038574B"/>
    <w:rsid w:val="00385E05"/>
    <w:rsid w:val="00385F7F"/>
    <w:rsid w:val="00386D34"/>
    <w:rsid w:val="00386E9A"/>
    <w:rsid w:val="00386FA2"/>
    <w:rsid w:val="0038718A"/>
    <w:rsid w:val="00387348"/>
    <w:rsid w:val="00387E88"/>
    <w:rsid w:val="00391748"/>
    <w:rsid w:val="00391928"/>
    <w:rsid w:val="00391DB8"/>
    <w:rsid w:val="00392731"/>
    <w:rsid w:val="00392AAA"/>
    <w:rsid w:val="00394299"/>
    <w:rsid w:val="003950DA"/>
    <w:rsid w:val="00397DBB"/>
    <w:rsid w:val="003A0243"/>
    <w:rsid w:val="003A16E0"/>
    <w:rsid w:val="003A260D"/>
    <w:rsid w:val="003A3327"/>
    <w:rsid w:val="003A3963"/>
    <w:rsid w:val="003A3B3F"/>
    <w:rsid w:val="003A3E7D"/>
    <w:rsid w:val="003A48EF"/>
    <w:rsid w:val="003A490C"/>
    <w:rsid w:val="003A6386"/>
    <w:rsid w:val="003A70D9"/>
    <w:rsid w:val="003A7735"/>
    <w:rsid w:val="003B0767"/>
    <w:rsid w:val="003B08D7"/>
    <w:rsid w:val="003B0A6A"/>
    <w:rsid w:val="003B100D"/>
    <w:rsid w:val="003B162E"/>
    <w:rsid w:val="003B1940"/>
    <w:rsid w:val="003B2B1A"/>
    <w:rsid w:val="003B3763"/>
    <w:rsid w:val="003B4CC6"/>
    <w:rsid w:val="003B5173"/>
    <w:rsid w:val="003B6ADE"/>
    <w:rsid w:val="003C00CE"/>
    <w:rsid w:val="003C0227"/>
    <w:rsid w:val="003C0B3C"/>
    <w:rsid w:val="003C1061"/>
    <w:rsid w:val="003C1258"/>
    <w:rsid w:val="003C1E30"/>
    <w:rsid w:val="003C1EEC"/>
    <w:rsid w:val="003C2344"/>
    <w:rsid w:val="003C260F"/>
    <w:rsid w:val="003C2EF9"/>
    <w:rsid w:val="003C2F65"/>
    <w:rsid w:val="003C3040"/>
    <w:rsid w:val="003C367E"/>
    <w:rsid w:val="003C44D7"/>
    <w:rsid w:val="003C4BE2"/>
    <w:rsid w:val="003C54E8"/>
    <w:rsid w:val="003C5863"/>
    <w:rsid w:val="003C5978"/>
    <w:rsid w:val="003C5AC9"/>
    <w:rsid w:val="003C665F"/>
    <w:rsid w:val="003C6834"/>
    <w:rsid w:val="003C68C5"/>
    <w:rsid w:val="003C6C1E"/>
    <w:rsid w:val="003C6F1D"/>
    <w:rsid w:val="003C730C"/>
    <w:rsid w:val="003C7EF1"/>
    <w:rsid w:val="003D01C4"/>
    <w:rsid w:val="003D0AD0"/>
    <w:rsid w:val="003D27FA"/>
    <w:rsid w:val="003D2B86"/>
    <w:rsid w:val="003D2F29"/>
    <w:rsid w:val="003D4BCF"/>
    <w:rsid w:val="003D4C3F"/>
    <w:rsid w:val="003D4F52"/>
    <w:rsid w:val="003D65F1"/>
    <w:rsid w:val="003D7B10"/>
    <w:rsid w:val="003D7EC5"/>
    <w:rsid w:val="003E10D7"/>
    <w:rsid w:val="003E2E06"/>
    <w:rsid w:val="003E488E"/>
    <w:rsid w:val="003E4BB7"/>
    <w:rsid w:val="003E5119"/>
    <w:rsid w:val="003E6A06"/>
    <w:rsid w:val="003E6DC8"/>
    <w:rsid w:val="003E6E9E"/>
    <w:rsid w:val="003E7214"/>
    <w:rsid w:val="003F06F8"/>
    <w:rsid w:val="003F1666"/>
    <w:rsid w:val="003F1961"/>
    <w:rsid w:val="003F1F0D"/>
    <w:rsid w:val="003F30AE"/>
    <w:rsid w:val="003F34E0"/>
    <w:rsid w:val="003F3CBE"/>
    <w:rsid w:val="003F3FAA"/>
    <w:rsid w:val="003F4704"/>
    <w:rsid w:val="003F509D"/>
    <w:rsid w:val="003F6426"/>
    <w:rsid w:val="003F685C"/>
    <w:rsid w:val="003F759A"/>
    <w:rsid w:val="003F7E42"/>
    <w:rsid w:val="003FAE5C"/>
    <w:rsid w:val="0040026A"/>
    <w:rsid w:val="00400696"/>
    <w:rsid w:val="00402255"/>
    <w:rsid w:val="00403160"/>
    <w:rsid w:val="004033FB"/>
    <w:rsid w:val="00403A23"/>
    <w:rsid w:val="00403E87"/>
    <w:rsid w:val="0040421A"/>
    <w:rsid w:val="004049E4"/>
    <w:rsid w:val="00404D4A"/>
    <w:rsid w:val="00406538"/>
    <w:rsid w:val="004072A6"/>
    <w:rsid w:val="00407338"/>
    <w:rsid w:val="00407B6D"/>
    <w:rsid w:val="00410B51"/>
    <w:rsid w:val="00410D09"/>
    <w:rsid w:val="00410F64"/>
    <w:rsid w:val="00413BBA"/>
    <w:rsid w:val="00413D4B"/>
    <w:rsid w:val="004145DC"/>
    <w:rsid w:val="004152B9"/>
    <w:rsid w:val="004158F5"/>
    <w:rsid w:val="0041595E"/>
    <w:rsid w:val="00415D59"/>
    <w:rsid w:val="0041746A"/>
    <w:rsid w:val="004178BA"/>
    <w:rsid w:val="00417DC3"/>
    <w:rsid w:val="004200C9"/>
    <w:rsid w:val="0042018C"/>
    <w:rsid w:val="00421685"/>
    <w:rsid w:val="004216A7"/>
    <w:rsid w:val="00421A4E"/>
    <w:rsid w:val="004229BF"/>
    <w:rsid w:val="00422C40"/>
    <w:rsid w:val="00423D29"/>
    <w:rsid w:val="00424224"/>
    <w:rsid w:val="0042448D"/>
    <w:rsid w:val="0042569F"/>
    <w:rsid w:val="004256A0"/>
    <w:rsid w:val="0042585D"/>
    <w:rsid w:val="00425A11"/>
    <w:rsid w:val="00425E29"/>
    <w:rsid w:val="00425F9D"/>
    <w:rsid w:val="004264CC"/>
    <w:rsid w:val="0042709D"/>
    <w:rsid w:val="00427483"/>
    <w:rsid w:val="004310FA"/>
    <w:rsid w:val="004312E1"/>
    <w:rsid w:val="00431DEE"/>
    <w:rsid w:val="00432653"/>
    <w:rsid w:val="004328A4"/>
    <w:rsid w:val="00432B70"/>
    <w:rsid w:val="00432D7F"/>
    <w:rsid w:val="00433349"/>
    <w:rsid w:val="00433434"/>
    <w:rsid w:val="00433724"/>
    <w:rsid w:val="004342B0"/>
    <w:rsid w:val="00434F71"/>
    <w:rsid w:val="004358F7"/>
    <w:rsid w:val="004362A0"/>
    <w:rsid w:val="00436C73"/>
    <w:rsid w:val="00436E9D"/>
    <w:rsid w:val="0043760E"/>
    <w:rsid w:val="00437803"/>
    <w:rsid w:val="00440263"/>
    <w:rsid w:val="004403E9"/>
    <w:rsid w:val="004411AB"/>
    <w:rsid w:val="00441741"/>
    <w:rsid w:val="0044174C"/>
    <w:rsid w:val="004419AE"/>
    <w:rsid w:val="004420F5"/>
    <w:rsid w:val="004421C2"/>
    <w:rsid w:val="004447E9"/>
    <w:rsid w:val="00444E76"/>
    <w:rsid w:val="00445419"/>
    <w:rsid w:val="00445DB7"/>
    <w:rsid w:val="00445DD0"/>
    <w:rsid w:val="004463DA"/>
    <w:rsid w:val="00446835"/>
    <w:rsid w:val="004478B6"/>
    <w:rsid w:val="00447D7E"/>
    <w:rsid w:val="00447FC3"/>
    <w:rsid w:val="00450063"/>
    <w:rsid w:val="00450E42"/>
    <w:rsid w:val="00451C45"/>
    <w:rsid w:val="004523CD"/>
    <w:rsid w:val="0045244B"/>
    <w:rsid w:val="004525E2"/>
    <w:rsid w:val="00453392"/>
    <w:rsid w:val="00453861"/>
    <w:rsid w:val="00454F82"/>
    <w:rsid w:val="00456208"/>
    <w:rsid w:val="004572AB"/>
    <w:rsid w:val="00457692"/>
    <w:rsid w:val="00460679"/>
    <w:rsid w:val="00460945"/>
    <w:rsid w:val="00461EEE"/>
    <w:rsid w:val="00462483"/>
    <w:rsid w:val="00463369"/>
    <w:rsid w:val="0046343A"/>
    <w:rsid w:val="00463529"/>
    <w:rsid w:val="00463547"/>
    <w:rsid w:val="00464330"/>
    <w:rsid w:val="0046496D"/>
    <w:rsid w:val="00464A4C"/>
    <w:rsid w:val="0046514E"/>
    <w:rsid w:val="004653C4"/>
    <w:rsid w:val="00465789"/>
    <w:rsid w:val="004659DF"/>
    <w:rsid w:val="004676AF"/>
    <w:rsid w:val="00467C8B"/>
    <w:rsid w:val="0046F034"/>
    <w:rsid w:val="00470277"/>
    <w:rsid w:val="00470F5A"/>
    <w:rsid w:val="004710AE"/>
    <w:rsid w:val="00471DDE"/>
    <w:rsid w:val="00471FDC"/>
    <w:rsid w:val="00472092"/>
    <w:rsid w:val="004725BF"/>
    <w:rsid w:val="0047472F"/>
    <w:rsid w:val="00474991"/>
    <w:rsid w:val="00475029"/>
    <w:rsid w:val="00476927"/>
    <w:rsid w:val="00476BA7"/>
    <w:rsid w:val="0047708D"/>
    <w:rsid w:val="00480177"/>
    <w:rsid w:val="00480462"/>
    <w:rsid w:val="00480DF4"/>
    <w:rsid w:val="00480EC6"/>
    <w:rsid w:val="00481012"/>
    <w:rsid w:val="004810EA"/>
    <w:rsid w:val="004811F2"/>
    <w:rsid w:val="0048125F"/>
    <w:rsid w:val="00482198"/>
    <w:rsid w:val="0048269B"/>
    <w:rsid w:val="00482D8C"/>
    <w:rsid w:val="00482ED9"/>
    <w:rsid w:val="0048329C"/>
    <w:rsid w:val="004834EE"/>
    <w:rsid w:val="00483C00"/>
    <w:rsid w:val="00484E00"/>
    <w:rsid w:val="00485080"/>
    <w:rsid w:val="004850B0"/>
    <w:rsid w:val="00485531"/>
    <w:rsid w:val="004855FE"/>
    <w:rsid w:val="0048576D"/>
    <w:rsid w:val="00485E87"/>
    <w:rsid w:val="00485EE9"/>
    <w:rsid w:val="0048761B"/>
    <w:rsid w:val="00487CA6"/>
    <w:rsid w:val="00490131"/>
    <w:rsid w:val="00490B9A"/>
    <w:rsid w:val="00491083"/>
    <w:rsid w:val="00491E7D"/>
    <w:rsid w:val="00492544"/>
    <w:rsid w:val="00492F3B"/>
    <w:rsid w:val="00492F7D"/>
    <w:rsid w:val="004939B9"/>
    <w:rsid w:val="00495535"/>
    <w:rsid w:val="00495C74"/>
    <w:rsid w:val="00495D6E"/>
    <w:rsid w:val="00495D84"/>
    <w:rsid w:val="004970A6"/>
    <w:rsid w:val="004A0D9E"/>
    <w:rsid w:val="004A15C5"/>
    <w:rsid w:val="004A2DAE"/>
    <w:rsid w:val="004A3CDA"/>
    <w:rsid w:val="004A3FAD"/>
    <w:rsid w:val="004A435F"/>
    <w:rsid w:val="004A4679"/>
    <w:rsid w:val="004A4E03"/>
    <w:rsid w:val="004A5EC9"/>
    <w:rsid w:val="004A653B"/>
    <w:rsid w:val="004A665B"/>
    <w:rsid w:val="004B019C"/>
    <w:rsid w:val="004B02B1"/>
    <w:rsid w:val="004B03E4"/>
    <w:rsid w:val="004B22D7"/>
    <w:rsid w:val="004B238D"/>
    <w:rsid w:val="004B279F"/>
    <w:rsid w:val="004B33DF"/>
    <w:rsid w:val="004B3537"/>
    <w:rsid w:val="004B3EC0"/>
    <w:rsid w:val="004B3F2E"/>
    <w:rsid w:val="004B411C"/>
    <w:rsid w:val="004B4173"/>
    <w:rsid w:val="004B41BC"/>
    <w:rsid w:val="004B473E"/>
    <w:rsid w:val="004B50B8"/>
    <w:rsid w:val="004B5831"/>
    <w:rsid w:val="004B5A7E"/>
    <w:rsid w:val="004B5B4D"/>
    <w:rsid w:val="004B5F7E"/>
    <w:rsid w:val="004B6360"/>
    <w:rsid w:val="004B7297"/>
    <w:rsid w:val="004B7EDD"/>
    <w:rsid w:val="004C069B"/>
    <w:rsid w:val="004C0844"/>
    <w:rsid w:val="004C0FD3"/>
    <w:rsid w:val="004C1304"/>
    <w:rsid w:val="004C2547"/>
    <w:rsid w:val="004C2AC6"/>
    <w:rsid w:val="004C3A6D"/>
    <w:rsid w:val="004C40DB"/>
    <w:rsid w:val="004C4E3C"/>
    <w:rsid w:val="004C594C"/>
    <w:rsid w:val="004C5B84"/>
    <w:rsid w:val="004C5F31"/>
    <w:rsid w:val="004C6109"/>
    <w:rsid w:val="004C6921"/>
    <w:rsid w:val="004C7A97"/>
    <w:rsid w:val="004D0BCE"/>
    <w:rsid w:val="004D1424"/>
    <w:rsid w:val="004D1562"/>
    <w:rsid w:val="004D1942"/>
    <w:rsid w:val="004D25AC"/>
    <w:rsid w:val="004D3990"/>
    <w:rsid w:val="004D4842"/>
    <w:rsid w:val="004D4BAC"/>
    <w:rsid w:val="004D5630"/>
    <w:rsid w:val="004D584A"/>
    <w:rsid w:val="004D5B14"/>
    <w:rsid w:val="004D5C65"/>
    <w:rsid w:val="004D5C87"/>
    <w:rsid w:val="004D60E8"/>
    <w:rsid w:val="004D61E0"/>
    <w:rsid w:val="004D674F"/>
    <w:rsid w:val="004E0E9E"/>
    <w:rsid w:val="004E1E73"/>
    <w:rsid w:val="004E20A2"/>
    <w:rsid w:val="004E3265"/>
    <w:rsid w:val="004E33E0"/>
    <w:rsid w:val="004E4915"/>
    <w:rsid w:val="004E49A8"/>
    <w:rsid w:val="004E4B6B"/>
    <w:rsid w:val="004E4FA2"/>
    <w:rsid w:val="004E5299"/>
    <w:rsid w:val="004E5511"/>
    <w:rsid w:val="004E5B11"/>
    <w:rsid w:val="004E5CC1"/>
    <w:rsid w:val="004E5D66"/>
    <w:rsid w:val="004E5F15"/>
    <w:rsid w:val="004E6296"/>
    <w:rsid w:val="004E65B3"/>
    <w:rsid w:val="004E7147"/>
    <w:rsid w:val="004E7BEE"/>
    <w:rsid w:val="004F0041"/>
    <w:rsid w:val="004F19A8"/>
    <w:rsid w:val="004F1E4E"/>
    <w:rsid w:val="004F456E"/>
    <w:rsid w:val="004F5BD3"/>
    <w:rsid w:val="004F5F0F"/>
    <w:rsid w:val="004F6525"/>
    <w:rsid w:val="004F6E1F"/>
    <w:rsid w:val="004F6E6A"/>
    <w:rsid w:val="004F76C0"/>
    <w:rsid w:val="004F7858"/>
    <w:rsid w:val="004F7EAF"/>
    <w:rsid w:val="00500A7B"/>
    <w:rsid w:val="005011A1"/>
    <w:rsid w:val="0050126C"/>
    <w:rsid w:val="00501617"/>
    <w:rsid w:val="005016A2"/>
    <w:rsid w:val="0050239C"/>
    <w:rsid w:val="0050335A"/>
    <w:rsid w:val="0050340F"/>
    <w:rsid w:val="0050369F"/>
    <w:rsid w:val="0050426F"/>
    <w:rsid w:val="0050530D"/>
    <w:rsid w:val="00505518"/>
    <w:rsid w:val="00505E3D"/>
    <w:rsid w:val="0050658F"/>
    <w:rsid w:val="005078FF"/>
    <w:rsid w:val="00507AA3"/>
    <w:rsid w:val="00507E13"/>
    <w:rsid w:val="005100CA"/>
    <w:rsid w:val="005100E1"/>
    <w:rsid w:val="0051112B"/>
    <w:rsid w:val="00511459"/>
    <w:rsid w:val="0051274D"/>
    <w:rsid w:val="00512C78"/>
    <w:rsid w:val="00512F77"/>
    <w:rsid w:val="0051318B"/>
    <w:rsid w:val="00513A0B"/>
    <w:rsid w:val="00513FC0"/>
    <w:rsid w:val="00514017"/>
    <w:rsid w:val="0051456B"/>
    <w:rsid w:val="005148D8"/>
    <w:rsid w:val="005149C4"/>
    <w:rsid w:val="00514C64"/>
    <w:rsid w:val="00514E38"/>
    <w:rsid w:val="0051612C"/>
    <w:rsid w:val="00516382"/>
    <w:rsid w:val="00516435"/>
    <w:rsid w:val="00516451"/>
    <w:rsid w:val="00516B22"/>
    <w:rsid w:val="005173EF"/>
    <w:rsid w:val="005177EE"/>
    <w:rsid w:val="005218C7"/>
    <w:rsid w:val="00521CB3"/>
    <w:rsid w:val="00521DC7"/>
    <w:rsid w:val="00522AD5"/>
    <w:rsid w:val="0052325D"/>
    <w:rsid w:val="005237B6"/>
    <w:rsid w:val="005239A6"/>
    <w:rsid w:val="00523A62"/>
    <w:rsid w:val="00523E06"/>
    <w:rsid w:val="00524458"/>
    <w:rsid w:val="00524B26"/>
    <w:rsid w:val="0052591A"/>
    <w:rsid w:val="00525AE7"/>
    <w:rsid w:val="00525B9E"/>
    <w:rsid w:val="0052740A"/>
    <w:rsid w:val="00527D20"/>
    <w:rsid w:val="00530499"/>
    <w:rsid w:val="0053097E"/>
    <w:rsid w:val="005327B2"/>
    <w:rsid w:val="00532BE9"/>
    <w:rsid w:val="0053334B"/>
    <w:rsid w:val="00533B3E"/>
    <w:rsid w:val="00534A7C"/>
    <w:rsid w:val="00534DAF"/>
    <w:rsid w:val="00534EB3"/>
    <w:rsid w:val="00535E7B"/>
    <w:rsid w:val="00536058"/>
    <w:rsid w:val="005375F2"/>
    <w:rsid w:val="00537980"/>
    <w:rsid w:val="00537D01"/>
    <w:rsid w:val="00537FA4"/>
    <w:rsid w:val="0054032A"/>
    <w:rsid w:val="0054091E"/>
    <w:rsid w:val="005419B4"/>
    <w:rsid w:val="00542222"/>
    <w:rsid w:val="005433CF"/>
    <w:rsid w:val="005435FD"/>
    <w:rsid w:val="00543C14"/>
    <w:rsid w:val="00543F0E"/>
    <w:rsid w:val="00545784"/>
    <w:rsid w:val="0054586D"/>
    <w:rsid w:val="00545A5F"/>
    <w:rsid w:val="00545D90"/>
    <w:rsid w:val="005503A0"/>
    <w:rsid w:val="005514A4"/>
    <w:rsid w:val="005515E0"/>
    <w:rsid w:val="005515F2"/>
    <w:rsid w:val="005516FA"/>
    <w:rsid w:val="00551A4F"/>
    <w:rsid w:val="00551C0C"/>
    <w:rsid w:val="00551DD7"/>
    <w:rsid w:val="005526BD"/>
    <w:rsid w:val="00553190"/>
    <w:rsid w:val="00553999"/>
    <w:rsid w:val="00553ACB"/>
    <w:rsid w:val="0055439B"/>
    <w:rsid w:val="00554673"/>
    <w:rsid w:val="005547C9"/>
    <w:rsid w:val="0055484C"/>
    <w:rsid w:val="00555131"/>
    <w:rsid w:val="005562A1"/>
    <w:rsid w:val="00556755"/>
    <w:rsid w:val="0055689F"/>
    <w:rsid w:val="00556E40"/>
    <w:rsid w:val="00557838"/>
    <w:rsid w:val="005600A9"/>
    <w:rsid w:val="0056073B"/>
    <w:rsid w:val="00561B8F"/>
    <w:rsid w:val="00561C23"/>
    <w:rsid w:val="00563C97"/>
    <w:rsid w:val="00563E65"/>
    <w:rsid w:val="00563E8D"/>
    <w:rsid w:val="00563F9D"/>
    <w:rsid w:val="00563FAD"/>
    <w:rsid w:val="00564588"/>
    <w:rsid w:val="005647E9"/>
    <w:rsid w:val="005648D5"/>
    <w:rsid w:val="005656CC"/>
    <w:rsid w:val="005658DA"/>
    <w:rsid w:val="00566908"/>
    <w:rsid w:val="00566BEB"/>
    <w:rsid w:val="00566BF9"/>
    <w:rsid w:val="00567214"/>
    <w:rsid w:val="005678DE"/>
    <w:rsid w:val="005719CF"/>
    <w:rsid w:val="00571FEB"/>
    <w:rsid w:val="00572279"/>
    <w:rsid w:val="0057263B"/>
    <w:rsid w:val="005727E2"/>
    <w:rsid w:val="00572964"/>
    <w:rsid w:val="00573E70"/>
    <w:rsid w:val="00575939"/>
    <w:rsid w:val="00575AA5"/>
    <w:rsid w:val="00576FD2"/>
    <w:rsid w:val="0057726C"/>
    <w:rsid w:val="005774F4"/>
    <w:rsid w:val="00577598"/>
    <w:rsid w:val="00577CE5"/>
    <w:rsid w:val="0058047D"/>
    <w:rsid w:val="00580DDC"/>
    <w:rsid w:val="00581413"/>
    <w:rsid w:val="00581C4C"/>
    <w:rsid w:val="00582583"/>
    <w:rsid w:val="00582C93"/>
    <w:rsid w:val="00582D0F"/>
    <w:rsid w:val="00583C5E"/>
    <w:rsid w:val="00583DAF"/>
    <w:rsid w:val="00584200"/>
    <w:rsid w:val="005849DB"/>
    <w:rsid w:val="00585674"/>
    <w:rsid w:val="00585708"/>
    <w:rsid w:val="00585F99"/>
    <w:rsid w:val="0058649C"/>
    <w:rsid w:val="0058665B"/>
    <w:rsid w:val="00586F0E"/>
    <w:rsid w:val="005873F0"/>
    <w:rsid w:val="00587548"/>
    <w:rsid w:val="00587781"/>
    <w:rsid w:val="00587BEA"/>
    <w:rsid w:val="0059049E"/>
    <w:rsid w:val="00590783"/>
    <w:rsid w:val="0059160D"/>
    <w:rsid w:val="0059168A"/>
    <w:rsid w:val="00591987"/>
    <w:rsid w:val="00591B69"/>
    <w:rsid w:val="00591BF5"/>
    <w:rsid w:val="00592A96"/>
    <w:rsid w:val="00594E59"/>
    <w:rsid w:val="00595080"/>
    <w:rsid w:val="005956CE"/>
    <w:rsid w:val="00595B83"/>
    <w:rsid w:val="00595BEB"/>
    <w:rsid w:val="00596741"/>
    <w:rsid w:val="0059712E"/>
    <w:rsid w:val="00597759"/>
    <w:rsid w:val="00597D68"/>
    <w:rsid w:val="005A08E1"/>
    <w:rsid w:val="005A0AA1"/>
    <w:rsid w:val="005A1045"/>
    <w:rsid w:val="005A12F4"/>
    <w:rsid w:val="005A1ACA"/>
    <w:rsid w:val="005A1F8E"/>
    <w:rsid w:val="005A25AF"/>
    <w:rsid w:val="005A2875"/>
    <w:rsid w:val="005A3497"/>
    <w:rsid w:val="005A3729"/>
    <w:rsid w:val="005A3ECA"/>
    <w:rsid w:val="005A56F8"/>
    <w:rsid w:val="005A77D8"/>
    <w:rsid w:val="005B002B"/>
    <w:rsid w:val="005B06C5"/>
    <w:rsid w:val="005B0C0B"/>
    <w:rsid w:val="005B1EAE"/>
    <w:rsid w:val="005B2246"/>
    <w:rsid w:val="005B2F02"/>
    <w:rsid w:val="005B3042"/>
    <w:rsid w:val="005B450D"/>
    <w:rsid w:val="005B47E7"/>
    <w:rsid w:val="005B4B77"/>
    <w:rsid w:val="005B4E92"/>
    <w:rsid w:val="005B5D07"/>
    <w:rsid w:val="005B62A6"/>
    <w:rsid w:val="005B62EF"/>
    <w:rsid w:val="005B7067"/>
    <w:rsid w:val="005B7095"/>
    <w:rsid w:val="005C038B"/>
    <w:rsid w:val="005C0932"/>
    <w:rsid w:val="005C0939"/>
    <w:rsid w:val="005C102B"/>
    <w:rsid w:val="005C2055"/>
    <w:rsid w:val="005C252A"/>
    <w:rsid w:val="005C2764"/>
    <w:rsid w:val="005C3DE0"/>
    <w:rsid w:val="005C3E2B"/>
    <w:rsid w:val="005C4FC7"/>
    <w:rsid w:val="005C5D7A"/>
    <w:rsid w:val="005C6431"/>
    <w:rsid w:val="005C64FD"/>
    <w:rsid w:val="005C6D4A"/>
    <w:rsid w:val="005C7205"/>
    <w:rsid w:val="005C72CE"/>
    <w:rsid w:val="005C7472"/>
    <w:rsid w:val="005C75E1"/>
    <w:rsid w:val="005D02E6"/>
    <w:rsid w:val="005D10D1"/>
    <w:rsid w:val="005D15E4"/>
    <w:rsid w:val="005D2648"/>
    <w:rsid w:val="005D3698"/>
    <w:rsid w:val="005D3E5D"/>
    <w:rsid w:val="005D4328"/>
    <w:rsid w:val="005D466A"/>
    <w:rsid w:val="005D46D1"/>
    <w:rsid w:val="005D46E5"/>
    <w:rsid w:val="005D499D"/>
    <w:rsid w:val="005D6B15"/>
    <w:rsid w:val="005D6DE2"/>
    <w:rsid w:val="005D7653"/>
    <w:rsid w:val="005E0758"/>
    <w:rsid w:val="005E1189"/>
    <w:rsid w:val="005E123E"/>
    <w:rsid w:val="005E1631"/>
    <w:rsid w:val="005E1995"/>
    <w:rsid w:val="005E1DF4"/>
    <w:rsid w:val="005E2187"/>
    <w:rsid w:val="005E25C8"/>
    <w:rsid w:val="005E2641"/>
    <w:rsid w:val="005E296D"/>
    <w:rsid w:val="005E31AC"/>
    <w:rsid w:val="005E37D8"/>
    <w:rsid w:val="005E382B"/>
    <w:rsid w:val="005E3842"/>
    <w:rsid w:val="005E38D9"/>
    <w:rsid w:val="005E3909"/>
    <w:rsid w:val="005E3D98"/>
    <w:rsid w:val="005E44E9"/>
    <w:rsid w:val="005E45E3"/>
    <w:rsid w:val="005E4985"/>
    <w:rsid w:val="005E4E1F"/>
    <w:rsid w:val="005E5996"/>
    <w:rsid w:val="005E64C5"/>
    <w:rsid w:val="005E6BC4"/>
    <w:rsid w:val="005E737D"/>
    <w:rsid w:val="005F01D4"/>
    <w:rsid w:val="005F04CB"/>
    <w:rsid w:val="005F0E43"/>
    <w:rsid w:val="005F1819"/>
    <w:rsid w:val="005F1904"/>
    <w:rsid w:val="005F25B8"/>
    <w:rsid w:val="005F359A"/>
    <w:rsid w:val="005F431F"/>
    <w:rsid w:val="005F4668"/>
    <w:rsid w:val="005F4817"/>
    <w:rsid w:val="005F49CD"/>
    <w:rsid w:val="005F4A64"/>
    <w:rsid w:val="005F4F10"/>
    <w:rsid w:val="005F5261"/>
    <w:rsid w:val="005F6883"/>
    <w:rsid w:val="005F6AAB"/>
    <w:rsid w:val="005F75FC"/>
    <w:rsid w:val="005F7838"/>
    <w:rsid w:val="006000D1"/>
    <w:rsid w:val="00600A7C"/>
    <w:rsid w:val="00601534"/>
    <w:rsid w:val="00601A44"/>
    <w:rsid w:val="006023C6"/>
    <w:rsid w:val="006023FA"/>
    <w:rsid w:val="0060260C"/>
    <w:rsid w:val="00602D81"/>
    <w:rsid w:val="00602E91"/>
    <w:rsid w:val="00604A27"/>
    <w:rsid w:val="00604AD5"/>
    <w:rsid w:val="006051A6"/>
    <w:rsid w:val="00605B6A"/>
    <w:rsid w:val="00605F37"/>
    <w:rsid w:val="00606AFF"/>
    <w:rsid w:val="006072F1"/>
    <w:rsid w:val="006075BF"/>
    <w:rsid w:val="00607DCE"/>
    <w:rsid w:val="00610245"/>
    <w:rsid w:val="006116AC"/>
    <w:rsid w:val="0061199C"/>
    <w:rsid w:val="0061294E"/>
    <w:rsid w:val="006129E7"/>
    <w:rsid w:val="00612CFA"/>
    <w:rsid w:val="006130E8"/>
    <w:rsid w:val="00614698"/>
    <w:rsid w:val="0061497D"/>
    <w:rsid w:val="00614B27"/>
    <w:rsid w:val="00614EA0"/>
    <w:rsid w:val="00615C39"/>
    <w:rsid w:val="00615DBA"/>
    <w:rsid w:val="00616334"/>
    <w:rsid w:val="0061649E"/>
    <w:rsid w:val="00616A48"/>
    <w:rsid w:val="006214AD"/>
    <w:rsid w:val="00622FE8"/>
    <w:rsid w:val="006233C8"/>
    <w:rsid w:val="00624A97"/>
    <w:rsid w:val="006251AE"/>
    <w:rsid w:val="0062530A"/>
    <w:rsid w:val="0062530E"/>
    <w:rsid w:val="00625356"/>
    <w:rsid w:val="00625AE4"/>
    <w:rsid w:val="006266D0"/>
    <w:rsid w:val="00626D05"/>
    <w:rsid w:val="00630213"/>
    <w:rsid w:val="00630AD8"/>
    <w:rsid w:val="00630D00"/>
    <w:rsid w:val="006314DF"/>
    <w:rsid w:val="00631C64"/>
    <w:rsid w:val="00631F95"/>
    <w:rsid w:val="00631FE7"/>
    <w:rsid w:val="006322A3"/>
    <w:rsid w:val="0063279F"/>
    <w:rsid w:val="006327F2"/>
    <w:rsid w:val="00632C55"/>
    <w:rsid w:val="00632D38"/>
    <w:rsid w:val="006337AD"/>
    <w:rsid w:val="006339F4"/>
    <w:rsid w:val="00633AD4"/>
    <w:rsid w:val="0063499C"/>
    <w:rsid w:val="0063514A"/>
    <w:rsid w:val="00635163"/>
    <w:rsid w:val="00635806"/>
    <w:rsid w:val="006359B9"/>
    <w:rsid w:val="00635A2F"/>
    <w:rsid w:val="00635FC3"/>
    <w:rsid w:val="00637179"/>
    <w:rsid w:val="00637992"/>
    <w:rsid w:val="00640E6B"/>
    <w:rsid w:val="006412BB"/>
    <w:rsid w:val="00641379"/>
    <w:rsid w:val="00641613"/>
    <w:rsid w:val="006419AC"/>
    <w:rsid w:val="00641AA4"/>
    <w:rsid w:val="0064281A"/>
    <w:rsid w:val="006429C0"/>
    <w:rsid w:val="00642B7C"/>
    <w:rsid w:val="00642F35"/>
    <w:rsid w:val="00643732"/>
    <w:rsid w:val="00643E19"/>
    <w:rsid w:val="00643EC3"/>
    <w:rsid w:val="00644097"/>
    <w:rsid w:val="00644854"/>
    <w:rsid w:val="00644991"/>
    <w:rsid w:val="00644F34"/>
    <w:rsid w:val="00645599"/>
    <w:rsid w:val="00645B31"/>
    <w:rsid w:val="00645C08"/>
    <w:rsid w:val="00645E9B"/>
    <w:rsid w:val="0064656C"/>
    <w:rsid w:val="006477E9"/>
    <w:rsid w:val="00647A7D"/>
    <w:rsid w:val="00647E7C"/>
    <w:rsid w:val="006502D8"/>
    <w:rsid w:val="006514E3"/>
    <w:rsid w:val="006520C1"/>
    <w:rsid w:val="006542C4"/>
    <w:rsid w:val="006546F2"/>
    <w:rsid w:val="00654F07"/>
    <w:rsid w:val="0065525C"/>
    <w:rsid w:val="00655C58"/>
    <w:rsid w:val="00655DD6"/>
    <w:rsid w:val="006560A7"/>
    <w:rsid w:val="0065620D"/>
    <w:rsid w:val="00657890"/>
    <w:rsid w:val="0066005F"/>
    <w:rsid w:val="0066012C"/>
    <w:rsid w:val="00663350"/>
    <w:rsid w:val="006634D0"/>
    <w:rsid w:val="00663888"/>
    <w:rsid w:val="00663CA7"/>
    <w:rsid w:val="00664B09"/>
    <w:rsid w:val="0066544B"/>
    <w:rsid w:val="006658F6"/>
    <w:rsid w:val="006664FA"/>
    <w:rsid w:val="0066728D"/>
    <w:rsid w:val="00667B84"/>
    <w:rsid w:val="00670916"/>
    <w:rsid w:val="0067125B"/>
    <w:rsid w:val="0067146E"/>
    <w:rsid w:val="00672132"/>
    <w:rsid w:val="00672973"/>
    <w:rsid w:val="00672F5E"/>
    <w:rsid w:val="00673C4F"/>
    <w:rsid w:val="00674C6C"/>
    <w:rsid w:val="006754F1"/>
    <w:rsid w:val="006759DE"/>
    <w:rsid w:val="00680B3A"/>
    <w:rsid w:val="006810E4"/>
    <w:rsid w:val="00681271"/>
    <w:rsid w:val="0068268B"/>
    <w:rsid w:val="00684589"/>
    <w:rsid w:val="00684B53"/>
    <w:rsid w:val="00685DDD"/>
    <w:rsid w:val="006867D7"/>
    <w:rsid w:val="00687780"/>
    <w:rsid w:val="00687A32"/>
    <w:rsid w:val="00690EA2"/>
    <w:rsid w:val="00691404"/>
    <w:rsid w:val="00691C20"/>
    <w:rsid w:val="00691D99"/>
    <w:rsid w:val="00691FCF"/>
    <w:rsid w:val="00692B3F"/>
    <w:rsid w:val="0069387D"/>
    <w:rsid w:val="006938BB"/>
    <w:rsid w:val="00693FD8"/>
    <w:rsid w:val="006941FF"/>
    <w:rsid w:val="006948BB"/>
    <w:rsid w:val="00696184"/>
    <w:rsid w:val="006966DF"/>
    <w:rsid w:val="00696B13"/>
    <w:rsid w:val="00696E25"/>
    <w:rsid w:val="00697177"/>
    <w:rsid w:val="00697934"/>
    <w:rsid w:val="00697D1F"/>
    <w:rsid w:val="006A009F"/>
    <w:rsid w:val="006A04A6"/>
    <w:rsid w:val="006A0CE1"/>
    <w:rsid w:val="006A17B8"/>
    <w:rsid w:val="006A1BB1"/>
    <w:rsid w:val="006A239B"/>
    <w:rsid w:val="006A2A38"/>
    <w:rsid w:val="006A2A50"/>
    <w:rsid w:val="006A2D1D"/>
    <w:rsid w:val="006A37A3"/>
    <w:rsid w:val="006A527F"/>
    <w:rsid w:val="006A564A"/>
    <w:rsid w:val="006A5B9A"/>
    <w:rsid w:val="006A5FAB"/>
    <w:rsid w:val="006A6A9E"/>
    <w:rsid w:val="006B0142"/>
    <w:rsid w:val="006B04E2"/>
    <w:rsid w:val="006B18A9"/>
    <w:rsid w:val="006B255B"/>
    <w:rsid w:val="006B3773"/>
    <w:rsid w:val="006B3866"/>
    <w:rsid w:val="006B3C44"/>
    <w:rsid w:val="006B3D4F"/>
    <w:rsid w:val="006B59AA"/>
    <w:rsid w:val="006B5A25"/>
    <w:rsid w:val="006B6763"/>
    <w:rsid w:val="006B67A5"/>
    <w:rsid w:val="006B6C48"/>
    <w:rsid w:val="006C1DF8"/>
    <w:rsid w:val="006C2341"/>
    <w:rsid w:val="006C26CC"/>
    <w:rsid w:val="006C2FA5"/>
    <w:rsid w:val="006C3CAE"/>
    <w:rsid w:val="006C3EF0"/>
    <w:rsid w:val="006C430D"/>
    <w:rsid w:val="006C4CAD"/>
    <w:rsid w:val="006C5945"/>
    <w:rsid w:val="006C637B"/>
    <w:rsid w:val="006C6A26"/>
    <w:rsid w:val="006C7882"/>
    <w:rsid w:val="006C7AB5"/>
    <w:rsid w:val="006D04FF"/>
    <w:rsid w:val="006D07B6"/>
    <w:rsid w:val="006D09AA"/>
    <w:rsid w:val="006D15FA"/>
    <w:rsid w:val="006D24F7"/>
    <w:rsid w:val="006D3748"/>
    <w:rsid w:val="006D3765"/>
    <w:rsid w:val="006D3FAB"/>
    <w:rsid w:val="006D5555"/>
    <w:rsid w:val="006D58B1"/>
    <w:rsid w:val="006D5B5C"/>
    <w:rsid w:val="006D68D9"/>
    <w:rsid w:val="006D734C"/>
    <w:rsid w:val="006D76C6"/>
    <w:rsid w:val="006D7C2D"/>
    <w:rsid w:val="006E0352"/>
    <w:rsid w:val="006E06EB"/>
    <w:rsid w:val="006E07D5"/>
    <w:rsid w:val="006E199E"/>
    <w:rsid w:val="006E1F43"/>
    <w:rsid w:val="006E2202"/>
    <w:rsid w:val="006E2612"/>
    <w:rsid w:val="006E2ADD"/>
    <w:rsid w:val="006E314A"/>
    <w:rsid w:val="006E34EC"/>
    <w:rsid w:val="006E363A"/>
    <w:rsid w:val="006E3B21"/>
    <w:rsid w:val="006E46D8"/>
    <w:rsid w:val="006E5023"/>
    <w:rsid w:val="006E5BBE"/>
    <w:rsid w:val="006E5FCA"/>
    <w:rsid w:val="006E6169"/>
    <w:rsid w:val="006E7B33"/>
    <w:rsid w:val="006E7C50"/>
    <w:rsid w:val="006F03A0"/>
    <w:rsid w:val="006F1046"/>
    <w:rsid w:val="006F1124"/>
    <w:rsid w:val="006F1430"/>
    <w:rsid w:val="006F1C8E"/>
    <w:rsid w:val="006F263C"/>
    <w:rsid w:val="006F2B22"/>
    <w:rsid w:val="006F2C85"/>
    <w:rsid w:val="006F33F4"/>
    <w:rsid w:val="006F356D"/>
    <w:rsid w:val="006F35BA"/>
    <w:rsid w:val="006F35E4"/>
    <w:rsid w:val="006F3936"/>
    <w:rsid w:val="006F3A62"/>
    <w:rsid w:val="006F3B05"/>
    <w:rsid w:val="006F3BF4"/>
    <w:rsid w:val="006F40EE"/>
    <w:rsid w:val="006F4973"/>
    <w:rsid w:val="006F4BA3"/>
    <w:rsid w:val="006F5079"/>
    <w:rsid w:val="006F5113"/>
    <w:rsid w:val="006F5516"/>
    <w:rsid w:val="006F55FB"/>
    <w:rsid w:val="006F5C52"/>
    <w:rsid w:val="006F68CD"/>
    <w:rsid w:val="006F7D65"/>
    <w:rsid w:val="00700829"/>
    <w:rsid w:val="007010DD"/>
    <w:rsid w:val="00701867"/>
    <w:rsid w:val="00701E5C"/>
    <w:rsid w:val="007021AF"/>
    <w:rsid w:val="007033F6"/>
    <w:rsid w:val="00703E66"/>
    <w:rsid w:val="00704917"/>
    <w:rsid w:val="00704AA4"/>
    <w:rsid w:val="007055F3"/>
    <w:rsid w:val="00705AA8"/>
    <w:rsid w:val="00705B09"/>
    <w:rsid w:val="00706184"/>
    <w:rsid w:val="007069D9"/>
    <w:rsid w:val="00706B72"/>
    <w:rsid w:val="007078F4"/>
    <w:rsid w:val="00710094"/>
    <w:rsid w:val="0071070C"/>
    <w:rsid w:val="00710920"/>
    <w:rsid w:val="007114AD"/>
    <w:rsid w:val="007120E4"/>
    <w:rsid w:val="00712388"/>
    <w:rsid w:val="00712419"/>
    <w:rsid w:val="007139BF"/>
    <w:rsid w:val="00713C4D"/>
    <w:rsid w:val="0071413D"/>
    <w:rsid w:val="0071438F"/>
    <w:rsid w:val="00714397"/>
    <w:rsid w:val="007146CF"/>
    <w:rsid w:val="00714C39"/>
    <w:rsid w:val="00714E98"/>
    <w:rsid w:val="00715F1F"/>
    <w:rsid w:val="00716406"/>
    <w:rsid w:val="007175D8"/>
    <w:rsid w:val="00717ADE"/>
    <w:rsid w:val="0072032D"/>
    <w:rsid w:val="00720DFD"/>
    <w:rsid w:val="00721322"/>
    <w:rsid w:val="007213AF"/>
    <w:rsid w:val="0072150B"/>
    <w:rsid w:val="00721AE9"/>
    <w:rsid w:val="00722700"/>
    <w:rsid w:val="007227BC"/>
    <w:rsid w:val="007227FD"/>
    <w:rsid w:val="0072280D"/>
    <w:rsid w:val="007232C7"/>
    <w:rsid w:val="00723978"/>
    <w:rsid w:val="00724CEB"/>
    <w:rsid w:val="00725C55"/>
    <w:rsid w:val="00725EBA"/>
    <w:rsid w:val="00726F84"/>
    <w:rsid w:val="00727CDA"/>
    <w:rsid w:val="00731430"/>
    <w:rsid w:val="007314A9"/>
    <w:rsid w:val="007315BA"/>
    <w:rsid w:val="0073164D"/>
    <w:rsid w:val="00731D53"/>
    <w:rsid w:val="0073351B"/>
    <w:rsid w:val="00733AB1"/>
    <w:rsid w:val="00733F0B"/>
    <w:rsid w:val="00734DF5"/>
    <w:rsid w:val="00735610"/>
    <w:rsid w:val="007364DF"/>
    <w:rsid w:val="00736A81"/>
    <w:rsid w:val="00740A70"/>
    <w:rsid w:val="00740CA6"/>
    <w:rsid w:val="00742B0C"/>
    <w:rsid w:val="00742D37"/>
    <w:rsid w:val="00742EE6"/>
    <w:rsid w:val="00743630"/>
    <w:rsid w:val="0074396B"/>
    <w:rsid w:val="00743B31"/>
    <w:rsid w:val="00743D2E"/>
    <w:rsid w:val="007440AD"/>
    <w:rsid w:val="00744294"/>
    <w:rsid w:val="00745009"/>
    <w:rsid w:val="00745126"/>
    <w:rsid w:val="0074513C"/>
    <w:rsid w:val="007454F7"/>
    <w:rsid w:val="00745C6E"/>
    <w:rsid w:val="0074725B"/>
    <w:rsid w:val="00750801"/>
    <w:rsid w:val="00750978"/>
    <w:rsid w:val="00751D75"/>
    <w:rsid w:val="0075323D"/>
    <w:rsid w:val="007534AD"/>
    <w:rsid w:val="00754170"/>
    <w:rsid w:val="00754388"/>
    <w:rsid w:val="007544E5"/>
    <w:rsid w:val="00754B10"/>
    <w:rsid w:val="00754BFF"/>
    <w:rsid w:val="007550A2"/>
    <w:rsid w:val="00755445"/>
    <w:rsid w:val="007555D2"/>
    <w:rsid w:val="00756459"/>
    <w:rsid w:val="00757C51"/>
    <w:rsid w:val="00760DDB"/>
    <w:rsid w:val="007611B6"/>
    <w:rsid w:val="0076120C"/>
    <w:rsid w:val="007619AA"/>
    <w:rsid w:val="0076255D"/>
    <w:rsid w:val="00762E27"/>
    <w:rsid w:val="00765EB0"/>
    <w:rsid w:val="00766C23"/>
    <w:rsid w:val="007710D7"/>
    <w:rsid w:val="0077143B"/>
    <w:rsid w:val="00771882"/>
    <w:rsid w:val="0077262B"/>
    <w:rsid w:val="00772A18"/>
    <w:rsid w:val="00773D48"/>
    <w:rsid w:val="00773D63"/>
    <w:rsid w:val="00773FAC"/>
    <w:rsid w:val="00774668"/>
    <w:rsid w:val="00774CF5"/>
    <w:rsid w:val="007752B0"/>
    <w:rsid w:val="0077572F"/>
    <w:rsid w:val="00775F89"/>
    <w:rsid w:val="00775F9C"/>
    <w:rsid w:val="0077665E"/>
    <w:rsid w:val="00776684"/>
    <w:rsid w:val="007770DA"/>
    <w:rsid w:val="00777A37"/>
    <w:rsid w:val="00777CD9"/>
    <w:rsid w:val="00780544"/>
    <w:rsid w:val="00780AAB"/>
    <w:rsid w:val="00780DF3"/>
    <w:rsid w:val="00780E45"/>
    <w:rsid w:val="00781091"/>
    <w:rsid w:val="00781723"/>
    <w:rsid w:val="00781757"/>
    <w:rsid w:val="00781B42"/>
    <w:rsid w:val="00781D7B"/>
    <w:rsid w:val="0078226D"/>
    <w:rsid w:val="00783B70"/>
    <w:rsid w:val="00783EC2"/>
    <w:rsid w:val="007848AC"/>
    <w:rsid w:val="007857EC"/>
    <w:rsid w:val="00785961"/>
    <w:rsid w:val="00786128"/>
    <w:rsid w:val="0078628B"/>
    <w:rsid w:val="00786ADD"/>
    <w:rsid w:val="00786C64"/>
    <w:rsid w:val="00786DD4"/>
    <w:rsid w:val="00786F31"/>
    <w:rsid w:val="00787983"/>
    <w:rsid w:val="00787C48"/>
    <w:rsid w:val="00787FCF"/>
    <w:rsid w:val="00790078"/>
    <w:rsid w:val="007902CC"/>
    <w:rsid w:val="0079133C"/>
    <w:rsid w:val="0079161F"/>
    <w:rsid w:val="00791784"/>
    <w:rsid w:val="00791AF5"/>
    <w:rsid w:val="00791C98"/>
    <w:rsid w:val="00791E1D"/>
    <w:rsid w:val="00791F23"/>
    <w:rsid w:val="00792224"/>
    <w:rsid w:val="00792709"/>
    <w:rsid w:val="00794634"/>
    <w:rsid w:val="0079516B"/>
    <w:rsid w:val="007957CC"/>
    <w:rsid w:val="00795C9E"/>
    <w:rsid w:val="00795F6A"/>
    <w:rsid w:val="00796DAD"/>
    <w:rsid w:val="00797C71"/>
    <w:rsid w:val="00797D9B"/>
    <w:rsid w:val="007A00A2"/>
    <w:rsid w:val="007A01FD"/>
    <w:rsid w:val="007A116B"/>
    <w:rsid w:val="007A1A11"/>
    <w:rsid w:val="007A1D60"/>
    <w:rsid w:val="007A21F3"/>
    <w:rsid w:val="007A2464"/>
    <w:rsid w:val="007A2CE6"/>
    <w:rsid w:val="007A2F26"/>
    <w:rsid w:val="007A315A"/>
    <w:rsid w:val="007A3637"/>
    <w:rsid w:val="007A3813"/>
    <w:rsid w:val="007A3D82"/>
    <w:rsid w:val="007A4386"/>
    <w:rsid w:val="007A4432"/>
    <w:rsid w:val="007A4BF4"/>
    <w:rsid w:val="007A4D4F"/>
    <w:rsid w:val="007A6AA2"/>
    <w:rsid w:val="007A6F27"/>
    <w:rsid w:val="007A7A29"/>
    <w:rsid w:val="007A7F0B"/>
    <w:rsid w:val="007B0082"/>
    <w:rsid w:val="007B0E79"/>
    <w:rsid w:val="007B1DA5"/>
    <w:rsid w:val="007B399A"/>
    <w:rsid w:val="007B4044"/>
    <w:rsid w:val="007B453A"/>
    <w:rsid w:val="007B4B61"/>
    <w:rsid w:val="007B7787"/>
    <w:rsid w:val="007B7B82"/>
    <w:rsid w:val="007C0837"/>
    <w:rsid w:val="007C1E5C"/>
    <w:rsid w:val="007C203A"/>
    <w:rsid w:val="007C2311"/>
    <w:rsid w:val="007C3175"/>
    <w:rsid w:val="007C4410"/>
    <w:rsid w:val="007C4C36"/>
    <w:rsid w:val="007C4D64"/>
    <w:rsid w:val="007C4E96"/>
    <w:rsid w:val="007C543F"/>
    <w:rsid w:val="007C59D1"/>
    <w:rsid w:val="007C676F"/>
    <w:rsid w:val="007C72F3"/>
    <w:rsid w:val="007C73F2"/>
    <w:rsid w:val="007C765A"/>
    <w:rsid w:val="007C788D"/>
    <w:rsid w:val="007D05D9"/>
    <w:rsid w:val="007D10AF"/>
    <w:rsid w:val="007D17C3"/>
    <w:rsid w:val="007D1A07"/>
    <w:rsid w:val="007D1BB1"/>
    <w:rsid w:val="007D1CEA"/>
    <w:rsid w:val="007D2190"/>
    <w:rsid w:val="007D2424"/>
    <w:rsid w:val="007D2ECF"/>
    <w:rsid w:val="007D3C63"/>
    <w:rsid w:val="007D3FB5"/>
    <w:rsid w:val="007D4867"/>
    <w:rsid w:val="007D565C"/>
    <w:rsid w:val="007D5D96"/>
    <w:rsid w:val="007D6B9D"/>
    <w:rsid w:val="007D7DF5"/>
    <w:rsid w:val="007E0029"/>
    <w:rsid w:val="007E1175"/>
    <w:rsid w:val="007E169F"/>
    <w:rsid w:val="007E1876"/>
    <w:rsid w:val="007E19F2"/>
    <w:rsid w:val="007E3639"/>
    <w:rsid w:val="007E3788"/>
    <w:rsid w:val="007E5334"/>
    <w:rsid w:val="007E5DB7"/>
    <w:rsid w:val="007E66CF"/>
    <w:rsid w:val="007E7282"/>
    <w:rsid w:val="007E7E3C"/>
    <w:rsid w:val="007F0D1C"/>
    <w:rsid w:val="007F1930"/>
    <w:rsid w:val="007F19F7"/>
    <w:rsid w:val="007F2173"/>
    <w:rsid w:val="007F29F9"/>
    <w:rsid w:val="007F3AC8"/>
    <w:rsid w:val="007F493B"/>
    <w:rsid w:val="007F49F4"/>
    <w:rsid w:val="007F4F4F"/>
    <w:rsid w:val="007F51E2"/>
    <w:rsid w:val="007F56BE"/>
    <w:rsid w:val="007F57C8"/>
    <w:rsid w:val="007F594B"/>
    <w:rsid w:val="007F60A3"/>
    <w:rsid w:val="007F6CD9"/>
    <w:rsid w:val="007F6FDF"/>
    <w:rsid w:val="00800536"/>
    <w:rsid w:val="0080097E"/>
    <w:rsid w:val="00800C7C"/>
    <w:rsid w:val="00800E52"/>
    <w:rsid w:val="0080118C"/>
    <w:rsid w:val="00802412"/>
    <w:rsid w:val="00803039"/>
    <w:rsid w:val="0080330A"/>
    <w:rsid w:val="0080338C"/>
    <w:rsid w:val="00804448"/>
    <w:rsid w:val="00804BEF"/>
    <w:rsid w:val="00807280"/>
    <w:rsid w:val="0080798D"/>
    <w:rsid w:val="00810110"/>
    <w:rsid w:val="0081017C"/>
    <w:rsid w:val="00810651"/>
    <w:rsid w:val="00810C93"/>
    <w:rsid w:val="00810CA4"/>
    <w:rsid w:val="00811C46"/>
    <w:rsid w:val="00812085"/>
    <w:rsid w:val="0081308B"/>
    <w:rsid w:val="00813266"/>
    <w:rsid w:val="00813421"/>
    <w:rsid w:val="0081381A"/>
    <w:rsid w:val="0081392C"/>
    <w:rsid w:val="00813E71"/>
    <w:rsid w:val="00814CC7"/>
    <w:rsid w:val="008153D2"/>
    <w:rsid w:val="00815D24"/>
    <w:rsid w:val="008165B4"/>
    <w:rsid w:val="00816891"/>
    <w:rsid w:val="00816D12"/>
    <w:rsid w:val="00817233"/>
    <w:rsid w:val="00817AAF"/>
    <w:rsid w:val="00817E7C"/>
    <w:rsid w:val="008203AE"/>
    <w:rsid w:val="00820D25"/>
    <w:rsid w:val="00820F80"/>
    <w:rsid w:val="0082250A"/>
    <w:rsid w:val="00822F69"/>
    <w:rsid w:val="00823B05"/>
    <w:rsid w:val="008247C3"/>
    <w:rsid w:val="00825460"/>
    <w:rsid w:val="00825604"/>
    <w:rsid w:val="00825FB2"/>
    <w:rsid w:val="0082611A"/>
    <w:rsid w:val="00826323"/>
    <w:rsid w:val="008270FB"/>
    <w:rsid w:val="008276AA"/>
    <w:rsid w:val="0082774E"/>
    <w:rsid w:val="0082BD5B"/>
    <w:rsid w:val="0083072D"/>
    <w:rsid w:val="00830DEE"/>
    <w:rsid w:val="00831E37"/>
    <w:rsid w:val="0083222D"/>
    <w:rsid w:val="00832463"/>
    <w:rsid w:val="00833367"/>
    <w:rsid w:val="0083382E"/>
    <w:rsid w:val="0083394D"/>
    <w:rsid w:val="008357CA"/>
    <w:rsid w:val="008369BE"/>
    <w:rsid w:val="00836A5B"/>
    <w:rsid w:val="00836D38"/>
    <w:rsid w:val="00836ECF"/>
    <w:rsid w:val="008374E4"/>
    <w:rsid w:val="008379D6"/>
    <w:rsid w:val="00837FF3"/>
    <w:rsid w:val="0084059F"/>
    <w:rsid w:val="00840692"/>
    <w:rsid w:val="0084086A"/>
    <w:rsid w:val="00841ABF"/>
    <w:rsid w:val="0084278A"/>
    <w:rsid w:val="00842E13"/>
    <w:rsid w:val="00844F22"/>
    <w:rsid w:val="008454F4"/>
    <w:rsid w:val="00846324"/>
    <w:rsid w:val="0084670B"/>
    <w:rsid w:val="00846DF6"/>
    <w:rsid w:val="00847355"/>
    <w:rsid w:val="008473E6"/>
    <w:rsid w:val="0085080D"/>
    <w:rsid w:val="008510CC"/>
    <w:rsid w:val="0085133D"/>
    <w:rsid w:val="008519B8"/>
    <w:rsid w:val="00852555"/>
    <w:rsid w:val="00852ABE"/>
    <w:rsid w:val="00852EE7"/>
    <w:rsid w:val="008532F5"/>
    <w:rsid w:val="00853639"/>
    <w:rsid w:val="0085453B"/>
    <w:rsid w:val="0085461C"/>
    <w:rsid w:val="0085469A"/>
    <w:rsid w:val="0085526B"/>
    <w:rsid w:val="008557B2"/>
    <w:rsid w:val="0085631C"/>
    <w:rsid w:val="008573BC"/>
    <w:rsid w:val="008579AD"/>
    <w:rsid w:val="00857D52"/>
    <w:rsid w:val="00860B67"/>
    <w:rsid w:val="008617A2"/>
    <w:rsid w:val="008620AC"/>
    <w:rsid w:val="008621C0"/>
    <w:rsid w:val="00866D74"/>
    <w:rsid w:val="0086754E"/>
    <w:rsid w:val="0086781C"/>
    <w:rsid w:val="00867851"/>
    <w:rsid w:val="008679EF"/>
    <w:rsid w:val="00867DF0"/>
    <w:rsid w:val="008708F1"/>
    <w:rsid w:val="00870C02"/>
    <w:rsid w:val="00870D9A"/>
    <w:rsid w:val="00872423"/>
    <w:rsid w:val="00872657"/>
    <w:rsid w:val="00873836"/>
    <w:rsid w:val="00874229"/>
    <w:rsid w:val="008748E1"/>
    <w:rsid w:val="00875A95"/>
    <w:rsid w:val="0087633F"/>
    <w:rsid w:val="008764DE"/>
    <w:rsid w:val="0087690D"/>
    <w:rsid w:val="008769B9"/>
    <w:rsid w:val="00876AF6"/>
    <w:rsid w:val="00877275"/>
    <w:rsid w:val="00877DEC"/>
    <w:rsid w:val="00880A0F"/>
    <w:rsid w:val="00881B9D"/>
    <w:rsid w:val="00881FAE"/>
    <w:rsid w:val="0088206D"/>
    <w:rsid w:val="00882C9A"/>
    <w:rsid w:val="00883F01"/>
    <w:rsid w:val="00885172"/>
    <w:rsid w:val="008853F3"/>
    <w:rsid w:val="00886E47"/>
    <w:rsid w:val="00887F0E"/>
    <w:rsid w:val="00890137"/>
    <w:rsid w:val="008905F9"/>
    <w:rsid w:val="00890997"/>
    <w:rsid w:val="00890B31"/>
    <w:rsid w:val="00891018"/>
    <w:rsid w:val="0089235D"/>
    <w:rsid w:val="00892B43"/>
    <w:rsid w:val="00892CDC"/>
    <w:rsid w:val="00892CE0"/>
    <w:rsid w:val="00892CEC"/>
    <w:rsid w:val="00892E8D"/>
    <w:rsid w:val="00893074"/>
    <w:rsid w:val="008932D7"/>
    <w:rsid w:val="008934B1"/>
    <w:rsid w:val="008937A8"/>
    <w:rsid w:val="0089385A"/>
    <w:rsid w:val="00894830"/>
    <w:rsid w:val="008957AD"/>
    <w:rsid w:val="00895FFB"/>
    <w:rsid w:val="00896112"/>
    <w:rsid w:val="00897049"/>
    <w:rsid w:val="0089752A"/>
    <w:rsid w:val="008977A2"/>
    <w:rsid w:val="008A00FC"/>
    <w:rsid w:val="008A05F6"/>
    <w:rsid w:val="008A102E"/>
    <w:rsid w:val="008A13A0"/>
    <w:rsid w:val="008A1AFC"/>
    <w:rsid w:val="008A3258"/>
    <w:rsid w:val="008A43C4"/>
    <w:rsid w:val="008A470F"/>
    <w:rsid w:val="008A5434"/>
    <w:rsid w:val="008A5DF1"/>
    <w:rsid w:val="008A68E7"/>
    <w:rsid w:val="008A6DCB"/>
    <w:rsid w:val="008A7323"/>
    <w:rsid w:val="008A78EB"/>
    <w:rsid w:val="008A7C9C"/>
    <w:rsid w:val="008B1544"/>
    <w:rsid w:val="008B29FA"/>
    <w:rsid w:val="008B321D"/>
    <w:rsid w:val="008B3341"/>
    <w:rsid w:val="008B39F9"/>
    <w:rsid w:val="008B3EB0"/>
    <w:rsid w:val="008B460A"/>
    <w:rsid w:val="008B4640"/>
    <w:rsid w:val="008B4CFB"/>
    <w:rsid w:val="008B5325"/>
    <w:rsid w:val="008B5779"/>
    <w:rsid w:val="008B7016"/>
    <w:rsid w:val="008B7BA1"/>
    <w:rsid w:val="008C02E8"/>
    <w:rsid w:val="008C0CA3"/>
    <w:rsid w:val="008C199F"/>
    <w:rsid w:val="008C3040"/>
    <w:rsid w:val="008C494B"/>
    <w:rsid w:val="008C4E69"/>
    <w:rsid w:val="008C530D"/>
    <w:rsid w:val="008C6199"/>
    <w:rsid w:val="008C7413"/>
    <w:rsid w:val="008C7C44"/>
    <w:rsid w:val="008D0BA9"/>
    <w:rsid w:val="008D0E0F"/>
    <w:rsid w:val="008D19FD"/>
    <w:rsid w:val="008D1B0F"/>
    <w:rsid w:val="008D1DC0"/>
    <w:rsid w:val="008D237E"/>
    <w:rsid w:val="008D2522"/>
    <w:rsid w:val="008D255D"/>
    <w:rsid w:val="008D322C"/>
    <w:rsid w:val="008D3D76"/>
    <w:rsid w:val="008D3DEE"/>
    <w:rsid w:val="008D44F7"/>
    <w:rsid w:val="008D4D1A"/>
    <w:rsid w:val="008D4D85"/>
    <w:rsid w:val="008D4D96"/>
    <w:rsid w:val="008D4FAF"/>
    <w:rsid w:val="008D59C4"/>
    <w:rsid w:val="008D6105"/>
    <w:rsid w:val="008D6307"/>
    <w:rsid w:val="008D67CA"/>
    <w:rsid w:val="008E024B"/>
    <w:rsid w:val="008E0884"/>
    <w:rsid w:val="008E0DFA"/>
    <w:rsid w:val="008E123D"/>
    <w:rsid w:val="008E16BF"/>
    <w:rsid w:val="008E22B7"/>
    <w:rsid w:val="008E2B46"/>
    <w:rsid w:val="008E2F11"/>
    <w:rsid w:val="008E31E7"/>
    <w:rsid w:val="008E39BE"/>
    <w:rsid w:val="008E45E3"/>
    <w:rsid w:val="008E46B5"/>
    <w:rsid w:val="008E47D3"/>
    <w:rsid w:val="008E491B"/>
    <w:rsid w:val="008E4C8F"/>
    <w:rsid w:val="008E4CBB"/>
    <w:rsid w:val="008E5AE2"/>
    <w:rsid w:val="008E5C0F"/>
    <w:rsid w:val="008E666F"/>
    <w:rsid w:val="008E681C"/>
    <w:rsid w:val="008F071C"/>
    <w:rsid w:val="008F087D"/>
    <w:rsid w:val="008F092F"/>
    <w:rsid w:val="008F0BE2"/>
    <w:rsid w:val="008F1D93"/>
    <w:rsid w:val="008F1F4E"/>
    <w:rsid w:val="008F23F1"/>
    <w:rsid w:val="008F2679"/>
    <w:rsid w:val="008F3B8B"/>
    <w:rsid w:val="008F3DED"/>
    <w:rsid w:val="008F4A7E"/>
    <w:rsid w:val="008F5912"/>
    <w:rsid w:val="008F5A66"/>
    <w:rsid w:val="008F5ABE"/>
    <w:rsid w:val="008F62B8"/>
    <w:rsid w:val="008F6F6D"/>
    <w:rsid w:val="008F6F92"/>
    <w:rsid w:val="008F705C"/>
    <w:rsid w:val="008F7C33"/>
    <w:rsid w:val="009007B2"/>
    <w:rsid w:val="00901BA5"/>
    <w:rsid w:val="00901C2C"/>
    <w:rsid w:val="00901DCE"/>
    <w:rsid w:val="00902114"/>
    <w:rsid w:val="00902356"/>
    <w:rsid w:val="00902ADA"/>
    <w:rsid w:val="009033FE"/>
    <w:rsid w:val="009034D3"/>
    <w:rsid w:val="00903749"/>
    <w:rsid w:val="00903FEB"/>
    <w:rsid w:val="00904571"/>
    <w:rsid w:val="00904810"/>
    <w:rsid w:val="00904C58"/>
    <w:rsid w:val="0090509D"/>
    <w:rsid w:val="00905B5E"/>
    <w:rsid w:val="00906BB6"/>
    <w:rsid w:val="00906EA6"/>
    <w:rsid w:val="009070DB"/>
    <w:rsid w:val="0090787D"/>
    <w:rsid w:val="00907B11"/>
    <w:rsid w:val="00910450"/>
    <w:rsid w:val="00911712"/>
    <w:rsid w:val="00911B79"/>
    <w:rsid w:val="009127F8"/>
    <w:rsid w:val="00913314"/>
    <w:rsid w:val="00914B40"/>
    <w:rsid w:val="009167CD"/>
    <w:rsid w:val="00916F10"/>
    <w:rsid w:val="00917435"/>
    <w:rsid w:val="00917E60"/>
    <w:rsid w:val="00920218"/>
    <w:rsid w:val="00920E05"/>
    <w:rsid w:val="0092164A"/>
    <w:rsid w:val="00921C8F"/>
    <w:rsid w:val="0092277E"/>
    <w:rsid w:val="0092288E"/>
    <w:rsid w:val="00924C15"/>
    <w:rsid w:val="00924EFD"/>
    <w:rsid w:val="00926A70"/>
    <w:rsid w:val="0092776D"/>
    <w:rsid w:val="00927E19"/>
    <w:rsid w:val="00930017"/>
    <w:rsid w:val="0093040A"/>
    <w:rsid w:val="00930DFF"/>
    <w:rsid w:val="00931559"/>
    <w:rsid w:val="00932053"/>
    <w:rsid w:val="00933221"/>
    <w:rsid w:val="0093361A"/>
    <w:rsid w:val="0093432C"/>
    <w:rsid w:val="00934DFE"/>
    <w:rsid w:val="0093506B"/>
    <w:rsid w:val="00935943"/>
    <w:rsid w:val="00935A4A"/>
    <w:rsid w:val="00935B8E"/>
    <w:rsid w:val="0093768D"/>
    <w:rsid w:val="0094082F"/>
    <w:rsid w:val="00940E32"/>
    <w:rsid w:val="009410E5"/>
    <w:rsid w:val="00941148"/>
    <w:rsid w:val="009427F7"/>
    <w:rsid w:val="00944236"/>
    <w:rsid w:val="009448DA"/>
    <w:rsid w:val="00944E93"/>
    <w:rsid w:val="00945C2D"/>
    <w:rsid w:val="009461FA"/>
    <w:rsid w:val="009507AC"/>
    <w:rsid w:val="00951616"/>
    <w:rsid w:val="00951618"/>
    <w:rsid w:val="009519F0"/>
    <w:rsid w:val="00951A88"/>
    <w:rsid w:val="0095214C"/>
    <w:rsid w:val="00952644"/>
    <w:rsid w:val="009529BA"/>
    <w:rsid w:val="009536CB"/>
    <w:rsid w:val="009539A5"/>
    <w:rsid w:val="009543F9"/>
    <w:rsid w:val="009552DA"/>
    <w:rsid w:val="0095622A"/>
    <w:rsid w:val="009565C3"/>
    <w:rsid w:val="00956B6F"/>
    <w:rsid w:val="00957051"/>
    <w:rsid w:val="00957238"/>
    <w:rsid w:val="0095780A"/>
    <w:rsid w:val="009578DE"/>
    <w:rsid w:val="00957A78"/>
    <w:rsid w:val="00957B03"/>
    <w:rsid w:val="00961AA1"/>
    <w:rsid w:val="00961CE0"/>
    <w:rsid w:val="00961FF4"/>
    <w:rsid w:val="009621DA"/>
    <w:rsid w:val="00963643"/>
    <w:rsid w:val="0096364E"/>
    <w:rsid w:val="00964748"/>
    <w:rsid w:val="00964F37"/>
    <w:rsid w:val="00965720"/>
    <w:rsid w:val="00965C52"/>
    <w:rsid w:val="00966223"/>
    <w:rsid w:val="00966AEA"/>
    <w:rsid w:val="00966F17"/>
    <w:rsid w:val="00967252"/>
    <w:rsid w:val="009673C5"/>
    <w:rsid w:val="00967B74"/>
    <w:rsid w:val="00970233"/>
    <w:rsid w:val="00970ED1"/>
    <w:rsid w:val="009715CF"/>
    <w:rsid w:val="00971F57"/>
    <w:rsid w:val="009721C1"/>
    <w:rsid w:val="00972CCA"/>
    <w:rsid w:val="009732C5"/>
    <w:rsid w:val="00973887"/>
    <w:rsid w:val="00973DA4"/>
    <w:rsid w:val="009749E5"/>
    <w:rsid w:val="0097502E"/>
    <w:rsid w:val="00976C14"/>
    <w:rsid w:val="00976DD6"/>
    <w:rsid w:val="00977556"/>
    <w:rsid w:val="009808C5"/>
    <w:rsid w:val="009831FC"/>
    <w:rsid w:val="009835AD"/>
    <w:rsid w:val="00983715"/>
    <w:rsid w:val="00983AE0"/>
    <w:rsid w:val="00984011"/>
    <w:rsid w:val="0098473E"/>
    <w:rsid w:val="00985113"/>
    <w:rsid w:val="00985C6A"/>
    <w:rsid w:val="00986570"/>
    <w:rsid w:val="009902C3"/>
    <w:rsid w:val="009911A9"/>
    <w:rsid w:val="00993960"/>
    <w:rsid w:val="00993C90"/>
    <w:rsid w:val="0099651A"/>
    <w:rsid w:val="00997011"/>
    <w:rsid w:val="00997BC3"/>
    <w:rsid w:val="009A03BD"/>
    <w:rsid w:val="009A0746"/>
    <w:rsid w:val="009A09BC"/>
    <w:rsid w:val="009A0EA3"/>
    <w:rsid w:val="009A1B82"/>
    <w:rsid w:val="009A2FEF"/>
    <w:rsid w:val="009A3415"/>
    <w:rsid w:val="009A3A3A"/>
    <w:rsid w:val="009A431D"/>
    <w:rsid w:val="009A4580"/>
    <w:rsid w:val="009A5112"/>
    <w:rsid w:val="009A5717"/>
    <w:rsid w:val="009A669A"/>
    <w:rsid w:val="009A677A"/>
    <w:rsid w:val="009A6BD3"/>
    <w:rsid w:val="009A7401"/>
    <w:rsid w:val="009A76C2"/>
    <w:rsid w:val="009A7EB3"/>
    <w:rsid w:val="009B03F5"/>
    <w:rsid w:val="009B060D"/>
    <w:rsid w:val="009B14AF"/>
    <w:rsid w:val="009B15DF"/>
    <w:rsid w:val="009B1A74"/>
    <w:rsid w:val="009B2319"/>
    <w:rsid w:val="009B2651"/>
    <w:rsid w:val="009B27E0"/>
    <w:rsid w:val="009B2810"/>
    <w:rsid w:val="009B2B05"/>
    <w:rsid w:val="009B3053"/>
    <w:rsid w:val="009B3216"/>
    <w:rsid w:val="009B380E"/>
    <w:rsid w:val="009B4A99"/>
    <w:rsid w:val="009B5359"/>
    <w:rsid w:val="009B5E30"/>
    <w:rsid w:val="009B6BFC"/>
    <w:rsid w:val="009B6C97"/>
    <w:rsid w:val="009B7200"/>
    <w:rsid w:val="009B75D9"/>
    <w:rsid w:val="009B767E"/>
    <w:rsid w:val="009B7CDA"/>
    <w:rsid w:val="009B7E42"/>
    <w:rsid w:val="009C023C"/>
    <w:rsid w:val="009C088E"/>
    <w:rsid w:val="009C141A"/>
    <w:rsid w:val="009C3B3B"/>
    <w:rsid w:val="009C3CC2"/>
    <w:rsid w:val="009C3D04"/>
    <w:rsid w:val="009C41D0"/>
    <w:rsid w:val="009C519D"/>
    <w:rsid w:val="009C56ED"/>
    <w:rsid w:val="009C5815"/>
    <w:rsid w:val="009C5C21"/>
    <w:rsid w:val="009C704A"/>
    <w:rsid w:val="009C71CE"/>
    <w:rsid w:val="009D029A"/>
    <w:rsid w:val="009D0DAA"/>
    <w:rsid w:val="009D0E6E"/>
    <w:rsid w:val="009D0F7C"/>
    <w:rsid w:val="009D2858"/>
    <w:rsid w:val="009D2B8F"/>
    <w:rsid w:val="009D333C"/>
    <w:rsid w:val="009D4756"/>
    <w:rsid w:val="009D5052"/>
    <w:rsid w:val="009D5190"/>
    <w:rsid w:val="009D58E5"/>
    <w:rsid w:val="009D640F"/>
    <w:rsid w:val="009D661F"/>
    <w:rsid w:val="009E037B"/>
    <w:rsid w:val="009E08A0"/>
    <w:rsid w:val="009E0A24"/>
    <w:rsid w:val="009E173C"/>
    <w:rsid w:val="009E3948"/>
    <w:rsid w:val="009E3DEA"/>
    <w:rsid w:val="009E5BAC"/>
    <w:rsid w:val="009E62D2"/>
    <w:rsid w:val="009E67A6"/>
    <w:rsid w:val="009E6887"/>
    <w:rsid w:val="009E75E7"/>
    <w:rsid w:val="009E7BD6"/>
    <w:rsid w:val="009F0BF5"/>
    <w:rsid w:val="009F0D0D"/>
    <w:rsid w:val="009F15E0"/>
    <w:rsid w:val="009F3515"/>
    <w:rsid w:val="009F3802"/>
    <w:rsid w:val="009F3C14"/>
    <w:rsid w:val="009F3F7D"/>
    <w:rsid w:val="009F44FE"/>
    <w:rsid w:val="009F468E"/>
    <w:rsid w:val="009F46E2"/>
    <w:rsid w:val="009F6077"/>
    <w:rsid w:val="009F60F3"/>
    <w:rsid w:val="009F6132"/>
    <w:rsid w:val="009F6722"/>
    <w:rsid w:val="009F74EB"/>
    <w:rsid w:val="009F7A78"/>
    <w:rsid w:val="00A00228"/>
    <w:rsid w:val="00A00443"/>
    <w:rsid w:val="00A004B6"/>
    <w:rsid w:val="00A006FF"/>
    <w:rsid w:val="00A00D15"/>
    <w:rsid w:val="00A00E7C"/>
    <w:rsid w:val="00A01D42"/>
    <w:rsid w:val="00A02DD6"/>
    <w:rsid w:val="00A033AE"/>
    <w:rsid w:val="00A036BD"/>
    <w:rsid w:val="00A04106"/>
    <w:rsid w:val="00A046C7"/>
    <w:rsid w:val="00A04A7A"/>
    <w:rsid w:val="00A04A90"/>
    <w:rsid w:val="00A05620"/>
    <w:rsid w:val="00A057FA"/>
    <w:rsid w:val="00A05FE3"/>
    <w:rsid w:val="00A06785"/>
    <w:rsid w:val="00A06C23"/>
    <w:rsid w:val="00A070ED"/>
    <w:rsid w:val="00A07741"/>
    <w:rsid w:val="00A0790E"/>
    <w:rsid w:val="00A07D51"/>
    <w:rsid w:val="00A10BB4"/>
    <w:rsid w:val="00A10FBE"/>
    <w:rsid w:val="00A11218"/>
    <w:rsid w:val="00A120FE"/>
    <w:rsid w:val="00A12408"/>
    <w:rsid w:val="00A1266A"/>
    <w:rsid w:val="00A12994"/>
    <w:rsid w:val="00A13629"/>
    <w:rsid w:val="00A13849"/>
    <w:rsid w:val="00A13B0F"/>
    <w:rsid w:val="00A13C2E"/>
    <w:rsid w:val="00A14AB6"/>
    <w:rsid w:val="00A14D39"/>
    <w:rsid w:val="00A15BD1"/>
    <w:rsid w:val="00A161AD"/>
    <w:rsid w:val="00A161C6"/>
    <w:rsid w:val="00A1642D"/>
    <w:rsid w:val="00A17509"/>
    <w:rsid w:val="00A1765B"/>
    <w:rsid w:val="00A17AD3"/>
    <w:rsid w:val="00A202D8"/>
    <w:rsid w:val="00A20343"/>
    <w:rsid w:val="00A2036F"/>
    <w:rsid w:val="00A21147"/>
    <w:rsid w:val="00A21331"/>
    <w:rsid w:val="00A2147E"/>
    <w:rsid w:val="00A21730"/>
    <w:rsid w:val="00A22ECA"/>
    <w:rsid w:val="00A23771"/>
    <w:rsid w:val="00A23CC7"/>
    <w:rsid w:val="00A23F08"/>
    <w:rsid w:val="00A240DD"/>
    <w:rsid w:val="00A24494"/>
    <w:rsid w:val="00A24B8A"/>
    <w:rsid w:val="00A24FEA"/>
    <w:rsid w:val="00A258BD"/>
    <w:rsid w:val="00A25E87"/>
    <w:rsid w:val="00A2786A"/>
    <w:rsid w:val="00A27E07"/>
    <w:rsid w:val="00A27F49"/>
    <w:rsid w:val="00A3043F"/>
    <w:rsid w:val="00A305BE"/>
    <w:rsid w:val="00A31905"/>
    <w:rsid w:val="00A32410"/>
    <w:rsid w:val="00A325A4"/>
    <w:rsid w:val="00A332EE"/>
    <w:rsid w:val="00A33C7B"/>
    <w:rsid w:val="00A33ED1"/>
    <w:rsid w:val="00A3401E"/>
    <w:rsid w:val="00A34259"/>
    <w:rsid w:val="00A34888"/>
    <w:rsid w:val="00A34E07"/>
    <w:rsid w:val="00A350EF"/>
    <w:rsid w:val="00A35818"/>
    <w:rsid w:val="00A358D2"/>
    <w:rsid w:val="00A35A23"/>
    <w:rsid w:val="00A35DB8"/>
    <w:rsid w:val="00A35E2C"/>
    <w:rsid w:val="00A36C20"/>
    <w:rsid w:val="00A37A4E"/>
    <w:rsid w:val="00A37D6A"/>
    <w:rsid w:val="00A40016"/>
    <w:rsid w:val="00A400F6"/>
    <w:rsid w:val="00A40436"/>
    <w:rsid w:val="00A40E00"/>
    <w:rsid w:val="00A41A38"/>
    <w:rsid w:val="00A41D30"/>
    <w:rsid w:val="00A42271"/>
    <w:rsid w:val="00A4321C"/>
    <w:rsid w:val="00A43259"/>
    <w:rsid w:val="00A43413"/>
    <w:rsid w:val="00A43830"/>
    <w:rsid w:val="00A44195"/>
    <w:rsid w:val="00A44888"/>
    <w:rsid w:val="00A44A7C"/>
    <w:rsid w:val="00A45EA7"/>
    <w:rsid w:val="00A4696D"/>
    <w:rsid w:val="00A4726D"/>
    <w:rsid w:val="00A47ED8"/>
    <w:rsid w:val="00A50607"/>
    <w:rsid w:val="00A50E85"/>
    <w:rsid w:val="00A5125C"/>
    <w:rsid w:val="00A512CE"/>
    <w:rsid w:val="00A52C91"/>
    <w:rsid w:val="00A53D0F"/>
    <w:rsid w:val="00A550D9"/>
    <w:rsid w:val="00A55B16"/>
    <w:rsid w:val="00A5667C"/>
    <w:rsid w:val="00A567B6"/>
    <w:rsid w:val="00A567E0"/>
    <w:rsid w:val="00A56870"/>
    <w:rsid w:val="00A57C66"/>
    <w:rsid w:val="00A6002B"/>
    <w:rsid w:val="00A603CB"/>
    <w:rsid w:val="00A60D91"/>
    <w:rsid w:val="00A6187C"/>
    <w:rsid w:val="00A618CB"/>
    <w:rsid w:val="00A62128"/>
    <w:rsid w:val="00A6341A"/>
    <w:rsid w:val="00A635A0"/>
    <w:rsid w:val="00A64AC0"/>
    <w:rsid w:val="00A64AF9"/>
    <w:rsid w:val="00A66930"/>
    <w:rsid w:val="00A67618"/>
    <w:rsid w:val="00A67DE2"/>
    <w:rsid w:val="00A67E96"/>
    <w:rsid w:val="00A7091A"/>
    <w:rsid w:val="00A70F86"/>
    <w:rsid w:val="00A71EC4"/>
    <w:rsid w:val="00A7240A"/>
    <w:rsid w:val="00A72745"/>
    <w:rsid w:val="00A727CF"/>
    <w:rsid w:val="00A732E8"/>
    <w:rsid w:val="00A74CA5"/>
    <w:rsid w:val="00A76630"/>
    <w:rsid w:val="00A77861"/>
    <w:rsid w:val="00A77DA1"/>
    <w:rsid w:val="00A77E6F"/>
    <w:rsid w:val="00A800BF"/>
    <w:rsid w:val="00A80967"/>
    <w:rsid w:val="00A8102F"/>
    <w:rsid w:val="00A816C5"/>
    <w:rsid w:val="00A81719"/>
    <w:rsid w:val="00A81762"/>
    <w:rsid w:val="00A81972"/>
    <w:rsid w:val="00A81F5A"/>
    <w:rsid w:val="00A82F89"/>
    <w:rsid w:val="00A86315"/>
    <w:rsid w:val="00A864C3"/>
    <w:rsid w:val="00A87204"/>
    <w:rsid w:val="00A87434"/>
    <w:rsid w:val="00A90A6B"/>
    <w:rsid w:val="00A90D6E"/>
    <w:rsid w:val="00A91412"/>
    <w:rsid w:val="00A9177A"/>
    <w:rsid w:val="00A932FB"/>
    <w:rsid w:val="00A94056"/>
    <w:rsid w:val="00A94082"/>
    <w:rsid w:val="00A94621"/>
    <w:rsid w:val="00A94776"/>
    <w:rsid w:val="00A94832"/>
    <w:rsid w:val="00A94B68"/>
    <w:rsid w:val="00A94E3F"/>
    <w:rsid w:val="00A96011"/>
    <w:rsid w:val="00A96099"/>
    <w:rsid w:val="00A96911"/>
    <w:rsid w:val="00A9704D"/>
    <w:rsid w:val="00A97C18"/>
    <w:rsid w:val="00AA10C8"/>
    <w:rsid w:val="00AA17FE"/>
    <w:rsid w:val="00AA1B16"/>
    <w:rsid w:val="00AA1B66"/>
    <w:rsid w:val="00AA23E5"/>
    <w:rsid w:val="00AA2E70"/>
    <w:rsid w:val="00AA3C53"/>
    <w:rsid w:val="00AA4D25"/>
    <w:rsid w:val="00AA5BB4"/>
    <w:rsid w:val="00AA60EC"/>
    <w:rsid w:val="00AA66FF"/>
    <w:rsid w:val="00AA6A70"/>
    <w:rsid w:val="00AA78F8"/>
    <w:rsid w:val="00AA791B"/>
    <w:rsid w:val="00AA79C8"/>
    <w:rsid w:val="00AB0623"/>
    <w:rsid w:val="00AB169A"/>
    <w:rsid w:val="00AB3481"/>
    <w:rsid w:val="00AB3BE0"/>
    <w:rsid w:val="00AB3E03"/>
    <w:rsid w:val="00AB3FC6"/>
    <w:rsid w:val="00AB4155"/>
    <w:rsid w:val="00AB5062"/>
    <w:rsid w:val="00AB5175"/>
    <w:rsid w:val="00AB546E"/>
    <w:rsid w:val="00AB5C29"/>
    <w:rsid w:val="00AB6086"/>
    <w:rsid w:val="00AB71E9"/>
    <w:rsid w:val="00AC07DC"/>
    <w:rsid w:val="00AC17D9"/>
    <w:rsid w:val="00AC320E"/>
    <w:rsid w:val="00AC360C"/>
    <w:rsid w:val="00AC3743"/>
    <w:rsid w:val="00AC426B"/>
    <w:rsid w:val="00AC44DB"/>
    <w:rsid w:val="00AC4558"/>
    <w:rsid w:val="00AC52F1"/>
    <w:rsid w:val="00AC57EB"/>
    <w:rsid w:val="00AC57EF"/>
    <w:rsid w:val="00AC581B"/>
    <w:rsid w:val="00AC5BA3"/>
    <w:rsid w:val="00AC5DA7"/>
    <w:rsid w:val="00AC6240"/>
    <w:rsid w:val="00AC65AD"/>
    <w:rsid w:val="00AC6649"/>
    <w:rsid w:val="00AC6D3B"/>
    <w:rsid w:val="00AC6D47"/>
    <w:rsid w:val="00AC6D64"/>
    <w:rsid w:val="00AC7438"/>
    <w:rsid w:val="00AC7E52"/>
    <w:rsid w:val="00AD0258"/>
    <w:rsid w:val="00AD0F19"/>
    <w:rsid w:val="00AD1542"/>
    <w:rsid w:val="00AD2238"/>
    <w:rsid w:val="00AD2346"/>
    <w:rsid w:val="00AD2B77"/>
    <w:rsid w:val="00AD2D26"/>
    <w:rsid w:val="00AD2D68"/>
    <w:rsid w:val="00AD3A61"/>
    <w:rsid w:val="00AD439F"/>
    <w:rsid w:val="00AD5890"/>
    <w:rsid w:val="00AD5962"/>
    <w:rsid w:val="00AD6074"/>
    <w:rsid w:val="00AD66F7"/>
    <w:rsid w:val="00AD6AC8"/>
    <w:rsid w:val="00AD6FDF"/>
    <w:rsid w:val="00AD7883"/>
    <w:rsid w:val="00AD7AB2"/>
    <w:rsid w:val="00AE0246"/>
    <w:rsid w:val="00AE0B9E"/>
    <w:rsid w:val="00AE0DBF"/>
    <w:rsid w:val="00AE1400"/>
    <w:rsid w:val="00AE215C"/>
    <w:rsid w:val="00AE23F1"/>
    <w:rsid w:val="00AE247A"/>
    <w:rsid w:val="00AE3F6D"/>
    <w:rsid w:val="00AE444F"/>
    <w:rsid w:val="00AE45B7"/>
    <w:rsid w:val="00AE4E6D"/>
    <w:rsid w:val="00AE5218"/>
    <w:rsid w:val="00AE6C91"/>
    <w:rsid w:val="00AE76C2"/>
    <w:rsid w:val="00AE7CB7"/>
    <w:rsid w:val="00AF0934"/>
    <w:rsid w:val="00AF0A4A"/>
    <w:rsid w:val="00AF15CF"/>
    <w:rsid w:val="00AF1C61"/>
    <w:rsid w:val="00AF2C2F"/>
    <w:rsid w:val="00AF2EC3"/>
    <w:rsid w:val="00AF39F1"/>
    <w:rsid w:val="00AF3AA8"/>
    <w:rsid w:val="00AF3C4F"/>
    <w:rsid w:val="00AF3DDB"/>
    <w:rsid w:val="00AF43E0"/>
    <w:rsid w:val="00AF4AF4"/>
    <w:rsid w:val="00AF523E"/>
    <w:rsid w:val="00AF68E8"/>
    <w:rsid w:val="00AF7163"/>
    <w:rsid w:val="00B00097"/>
    <w:rsid w:val="00B001EF"/>
    <w:rsid w:val="00B004C8"/>
    <w:rsid w:val="00B0093B"/>
    <w:rsid w:val="00B0161F"/>
    <w:rsid w:val="00B017EE"/>
    <w:rsid w:val="00B020BD"/>
    <w:rsid w:val="00B02B19"/>
    <w:rsid w:val="00B02C93"/>
    <w:rsid w:val="00B02FBA"/>
    <w:rsid w:val="00B03FBB"/>
    <w:rsid w:val="00B058E2"/>
    <w:rsid w:val="00B05E82"/>
    <w:rsid w:val="00B068A3"/>
    <w:rsid w:val="00B07101"/>
    <w:rsid w:val="00B07378"/>
    <w:rsid w:val="00B077C6"/>
    <w:rsid w:val="00B079D4"/>
    <w:rsid w:val="00B07A13"/>
    <w:rsid w:val="00B10159"/>
    <w:rsid w:val="00B10846"/>
    <w:rsid w:val="00B10C0E"/>
    <w:rsid w:val="00B1107F"/>
    <w:rsid w:val="00B1198B"/>
    <w:rsid w:val="00B122E5"/>
    <w:rsid w:val="00B1237C"/>
    <w:rsid w:val="00B13E90"/>
    <w:rsid w:val="00B147BC"/>
    <w:rsid w:val="00B15248"/>
    <w:rsid w:val="00B15289"/>
    <w:rsid w:val="00B159E1"/>
    <w:rsid w:val="00B16495"/>
    <w:rsid w:val="00B16F91"/>
    <w:rsid w:val="00B17013"/>
    <w:rsid w:val="00B1735F"/>
    <w:rsid w:val="00B17996"/>
    <w:rsid w:val="00B17EBD"/>
    <w:rsid w:val="00B17F44"/>
    <w:rsid w:val="00B20C5E"/>
    <w:rsid w:val="00B2279E"/>
    <w:rsid w:val="00B23BB4"/>
    <w:rsid w:val="00B24E67"/>
    <w:rsid w:val="00B25742"/>
    <w:rsid w:val="00B258B6"/>
    <w:rsid w:val="00B25D5C"/>
    <w:rsid w:val="00B25F6D"/>
    <w:rsid w:val="00B26570"/>
    <w:rsid w:val="00B2713C"/>
    <w:rsid w:val="00B2737B"/>
    <w:rsid w:val="00B30E74"/>
    <w:rsid w:val="00B310A1"/>
    <w:rsid w:val="00B31F48"/>
    <w:rsid w:val="00B32019"/>
    <w:rsid w:val="00B331E3"/>
    <w:rsid w:val="00B34272"/>
    <w:rsid w:val="00B342D2"/>
    <w:rsid w:val="00B345EE"/>
    <w:rsid w:val="00B34B1D"/>
    <w:rsid w:val="00B34F44"/>
    <w:rsid w:val="00B3532B"/>
    <w:rsid w:val="00B35A69"/>
    <w:rsid w:val="00B3624E"/>
    <w:rsid w:val="00B36333"/>
    <w:rsid w:val="00B36657"/>
    <w:rsid w:val="00B369C0"/>
    <w:rsid w:val="00B36C3F"/>
    <w:rsid w:val="00B36F61"/>
    <w:rsid w:val="00B37009"/>
    <w:rsid w:val="00B37E04"/>
    <w:rsid w:val="00B41B25"/>
    <w:rsid w:val="00B421C2"/>
    <w:rsid w:val="00B4259A"/>
    <w:rsid w:val="00B431E6"/>
    <w:rsid w:val="00B43569"/>
    <w:rsid w:val="00B46118"/>
    <w:rsid w:val="00B46BC0"/>
    <w:rsid w:val="00B46BFD"/>
    <w:rsid w:val="00B4721F"/>
    <w:rsid w:val="00B47EA9"/>
    <w:rsid w:val="00B50A74"/>
    <w:rsid w:val="00B51340"/>
    <w:rsid w:val="00B51D05"/>
    <w:rsid w:val="00B524A3"/>
    <w:rsid w:val="00B52A88"/>
    <w:rsid w:val="00B531B0"/>
    <w:rsid w:val="00B545CC"/>
    <w:rsid w:val="00B54742"/>
    <w:rsid w:val="00B5474F"/>
    <w:rsid w:val="00B54A32"/>
    <w:rsid w:val="00B555E9"/>
    <w:rsid w:val="00B56659"/>
    <w:rsid w:val="00B5680B"/>
    <w:rsid w:val="00B56870"/>
    <w:rsid w:val="00B57535"/>
    <w:rsid w:val="00B57604"/>
    <w:rsid w:val="00B60130"/>
    <w:rsid w:val="00B619F5"/>
    <w:rsid w:val="00B63765"/>
    <w:rsid w:val="00B637E4"/>
    <w:rsid w:val="00B63F69"/>
    <w:rsid w:val="00B64315"/>
    <w:rsid w:val="00B655E2"/>
    <w:rsid w:val="00B659FC"/>
    <w:rsid w:val="00B65BF6"/>
    <w:rsid w:val="00B663C7"/>
    <w:rsid w:val="00B66BCC"/>
    <w:rsid w:val="00B702E3"/>
    <w:rsid w:val="00B703B8"/>
    <w:rsid w:val="00B70950"/>
    <w:rsid w:val="00B71166"/>
    <w:rsid w:val="00B72333"/>
    <w:rsid w:val="00B72A90"/>
    <w:rsid w:val="00B73BE1"/>
    <w:rsid w:val="00B7508B"/>
    <w:rsid w:val="00B753D1"/>
    <w:rsid w:val="00B7549B"/>
    <w:rsid w:val="00B75F60"/>
    <w:rsid w:val="00B761F1"/>
    <w:rsid w:val="00B77952"/>
    <w:rsid w:val="00B80C72"/>
    <w:rsid w:val="00B81182"/>
    <w:rsid w:val="00B8118E"/>
    <w:rsid w:val="00B81498"/>
    <w:rsid w:val="00B81C85"/>
    <w:rsid w:val="00B82049"/>
    <w:rsid w:val="00B8282C"/>
    <w:rsid w:val="00B82EB5"/>
    <w:rsid w:val="00B82EEC"/>
    <w:rsid w:val="00B83950"/>
    <w:rsid w:val="00B83979"/>
    <w:rsid w:val="00B8467D"/>
    <w:rsid w:val="00B84E88"/>
    <w:rsid w:val="00B85375"/>
    <w:rsid w:val="00B85871"/>
    <w:rsid w:val="00B85C27"/>
    <w:rsid w:val="00B85F92"/>
    <w:rsid w:val="00B86178"/>
    <w:rsid w:val="00B8AE43"/>
    <w:rsid w:val="00B90000"/>
    <w:rsid w:val="00B90768"/>
    <w:rsid w:val="00B90904"/>
    <w:rsid w:val="00B913F3"/>
    <w:rsid w:val="00B91841"/>
    <w:rsid w:val="00B91893"/>
    <w:rsid w:val="00B93512"/>
    <w:rsid w:val="00B952AB"/>
    <w:rsid w:val="00B955B1"/>
    <w:rsid w:val="00B95C9A"/>
    <w:rsid w:val="00B95F59"/>
    <w:rsid w:val="00B96E6C"/>
    <w:rsid w:val="00B97719"/>
    <w:rsid w:val="00B978AC"/>
    <w:rsid w:val="00BA001D"/>
    <w:rsid w:val="00BA04AC"/>
    <w:rsid w:val="00BA1D5C"/>
    <w:rsid w:val="00BA30F6"/>
    <w:rsid w:val="00BA32B6"/>
    <w:rsid w:val="00BA3B90"/>
    <w:rsid w:val="00BA3E22"/>
    <w:rsid w:val="00BA467A"/>
    <w:rsid w:val="00BA46B9"/>
    <w:rsid w:val="00BA4ECC"/>
    <w:rsid w:val="00BA5671"/>
    <w:rsid w:val="00BA57A4"/>
    <w:rsid w:val="00BA5FA5"/>
    <w:rsid w:val="00BA789B"/>
    <w:rsid w:val="00BA7AA4"/>
    <w:rsid w:val="00BA9783"/>
    <w:rsid w:val="00BB0085"/>
    <w:rsid w:val="00BB01BE"/>
    <w:rsid w:val="00BB0679"/>
    <w:rsid w:val="00BB2362"/>
    <w:rsid w:val="00BB24C7"/>
    <w:rsid w:val="00BB31D7"/>
    <w:rsid w:val="00BB393F"/>
    <w:rsid w:val="00BB3EB5"/>
    <w:rsid w:val="00BB4345"/>
    <w:rsid w:val="00BB43FD"/>
    <w:rsid w:val="00BB5534"/>
    <w:rsid w:val="00BB6EA2"/>
    <w:rsid w:val="00BB76A5"/>
    <w:rsid w:val="00BB7992"/>
    <w:rsid w:val="00BC0A02"/>
    <w:rsid w:val="00BC1A76"/>
    <w:rsid w:val="00BC1E45"/>
    <w:rsid w:val="00BC21EE"/>
    <w:rsid w:val="00BC2C87"/>
    <w:rsid w:val="00BC2E1C"/>
    <w:rsid w:val="00BC30DF"/>
    <w:rsid w:val="00BC3909"/>
    <w:rsid w:val="00BC3D81"/>
    <w:rsid w:val="00BC4152"/>
    <w:rsid w:val="00BC4174"/>
    <w:rsid w:val="00BC48BF"/>
    <w:rsid w:val="00BC4E9A"/>
    <w:rsid w:val="00BC6C08"/>
    <w:rsid w:val="00BC76F1"/>
    <w:rsid w:val="00BD0092"/>
    <w:rsid w:val="00BD0B34"/>
    <w:rsid w:val="00BD1022"/>
    <w:rsid w:val="00BD1F3D"/>
    <w:rsid w:val="00BD2895"/>
    <w:rsid w:val="00BD2FF0"/>
    <w:rsid w:val="00BD324A"/>
    <w:rsid w:val="00BD380C"/>
    <w:rsid w:val="00BD3D89"/>
    <w:rsid w:val="00BD6657"/>
    <w:rsid w:val="00BD69C3"/>
    <w:rsid w:val="00BD719A"/>
    <w:rsid w:val="00BD7540"/>
    <w:rsid w:val="00BD76C9"/>
    <w:rsid w:val="00BD7962"/>
    <w:rsid w:val="00BE0268"/>
    <w:rsid w:val="00BE1AA9"/>
    <w:rsid w:val="00BE2804"/>
    <w:rsid w:val="00BE2860"/>
    <w:rsid w:val="00BE28B5"/>
    <w:rsid w:val="00BE5955"/>
    <w:rsid w:val="00BE5B15"/>
    <w:rsid w:val="00BE5E56"/>
    <w:rsid w:val="00BE6661"/>
    <w:rsid w:val="00BF0679"/>
    <w:rsid w:val="00BF10A0"/>
    <w:rsid w:val="00BF165B"/>
    <w:rsid w:val="00BF17ED"/>
    <w:rsid w:val="00BF1975"/>
    <w:rsid w:val="00BF1E7A"/>
    <w:rsid w:val="00BF2939"/>
    <w:rsid w:val="00BF2EF4"/>
    <w:rsid w:val="00BF3036"/>
    <w:rsid w:val="00BF33FE"/>
    <w:rsid w:val="00BF34AC"/>
    <w:rsid w:val="00BF37DB"/>
    <w:rsid w:val="00BF39E4"/>
    <w:rsid w:val="00BF3F5D"/>
    <w:rsid w:val="00BF4571"/>
    <w:rsid w:val="00BF527F"/>
    <w:rsid w:val="00BF5302"/>
    <w:rsid w:val="00BF6412"/>
    <w:rsid w:val="00BF6A59"/>
    <w:rsid w:val="00BF6C48"/>
    <w:rsid w:val="00BF702C"/>
    <w:rsid w:val="00BF7221"/>
    <w:rsid w:val="00BF7321"/>
    <w:rsid w:val="00BF75A1"/>
    <w:rsid w:val="00C0058A"/>
    <w:rsid w:val="00C00C6C"/>
    <w:rsid w:val="00C0141B"/>
    <w:rsid w:val="00C016B5"/>
    <w:rsid w:val="00C0180F"/>
    <w:rsid w:val="00C019C6"/>
    <w:rsid w:val="00C01A13"/>
    <w:rsid w:val="00C01C3A"/>
    <w:rsid w:val="00C01C7D"/>
    <w:rsid w:val="00C025B1"/>
    <w:rsid w:val="00C02F88"/>
    <w:rsid w:val="00C03A79"/>
    <w:rsid w:val="00C03EC9"/>
    <w:rsid w:val="00C04BD6"/>
    <w:rsid w:val="00C04E62"/>
    <w:rsid w:val="00C04FB2"/>
    <w:rsid w:val="00C05575"/>
    <w:rsid w:val="00C06282"/>
    <w:rsid w:val="00C0634D"/>
    <w:rsid w:val="00C06A6D"/>
    <w:rsid w:val="00C06F91"/>
    <w:rsid w:val="00C073ED"/>
    <w:rsid w:val="00C10FA9"/>
    <w:rsid w:val="00C11343"/>
    <w:rsid w:val="00C11C5E"/>
    <w:rsid w:val="00C12820"/>
    <w:rsid w:val="00C12859"/>
    <w:rsid w:val="00C15CAF"/>
    <w:rsid w:val="00C15FA6"/>
    <w:rsid w:val="00C16463"/>
    <w:rsid w:val="00C16EA1"/>
    <w:rsid w:val="00C170B2"/>
    <w:rsid w:val="00C202D3"/>
    <w:rsid w:val="00C20422"/>
    <w:rsid w:val="00C20A82"/>
    <w:rsid w:val="00C21187"/>
    <w:rsid w:val="00C2142E"/>
    <w:rsid w:val="00C21A65"/>
    <w:rsid w:val="00C22409"/>
    <w:rsid w:val="00C2260B"/>
    <w:rsid w:val="00C22D4F"/>
    <w:rsid w:val="00C24714"/>
    <w:rsid w:val="00C24930"/>
    <w:rsid w:val="00C252B7"/>
    <w:rsid w:val="00C31014"/>
    <w:rsid w:val="00C31184"/>
    <w:rsid w:val="00C31C47"/>
    <w:rsid w:val="00C32562"/>
    <w:rsid w:val="00C32690"/>
    <w:rsid w:val="00C33321"/>
    <w:rsid w:val="00C336E9"/>
    <w:rsid w:val="00C351B2"/>
    <w:rsid w:val="00C35AC3"/>
    <w:rsid w:val="00C35C29"/>
    <w:rsid w:val="00C3620F"/>
    <w:rsid w:val="00C370D2"/>
    <w:rsid w:val="00C37F90"/>
    <w:rsid w:val="00C419CD"/>
    <w:rsid w:val="00C42554"/>
    <w:rsid w:val="00C431FC"/>
    <w:rsid w:val="00C43276"/>
    <w:rsid w:val="00C4461C"/>
    <w:rsid w:val="00C44E05"/>
    <w:rsid w:val="00C465D2"/>
    <w:rsid w:val="00C46EF3"/>
    <w:rsid w:val="00C46F14"/>
    <w:rsid w:val="00C4734A"/>
    <w:rsid w:val="00C50241"/>
    <w:rsid w:val="00C50CC0"/>
    <w:rsid w:val="00C50EAD"/>
    <w:rsid w:val="00C53DE5"/>
    <w:rsid w:val="00C542A4"/>
    <w:rsid w:val="00C544E7"/>
    <w:rsid w:val="00C54A37"/>
    <w:rsid w:val="00C55309"/>
    <w:rsid w:val="00C568BB"/>
    <w:rsid w:val="00C56E8B"/>
    <w:rsid w:val="00C576D7"/>
    <w:rsid w:val="00C576EF"/>
    <w:rsid w:val="00C5785E"/>
    <w:rsid w:val="00C57D2A"/>
    <w:rsid w:val="00C57EAB"/>
    <w:rsid w:val="00C57F7F"/>
    <w:rsid w:val="00C60093"/>
    <w:rsid w:val="00C60343"/>
    <w:rsid w:val="00C60497"/>
    <w:rsid w:val="00C60651"/>
    <w:rsid w:val="00C60CC8"/>
    <w:rsid w:val="00C61803"/>
    <w:rsid w:val="00C6189B"/>
    <w:rsid w:val="00C62181"/>
    <w:rsid w:val="00C64AD5"/>
    <w:rsid w:val="00C651B8"/>
    <w:rsid w:val="00C658F8"/>
    <w:rsid w:val="00C65CBB"/>
    <w:rsid w:val="00C65F30"/>
    <w:rsid w:val="00C66FA0"/>
    <w:rsid w:val="00C7136D"/>
    <w:rsid w:val="00C738FB"/>
    <w:rsid w:val="00C740F4"/>
    <w:rsid w:val="00C74884"/>
    <w:rsid w:val="00C74F22"/>
    <w:rsid w:val="00C750B2"/>
    <w:rsid w:val="00C7550C"/>
    <w:rsid w:val="00C7643E"/>
    <w:rsid w:val="00C76D1D"/>
    <w:rsid w:val="00C77E16"/>
    <w:rsid w:val="00C77F87"/>
    <w:rsid w:val="00C80B2A"/>
    <w:rsid w:val="00C80BBE"/>
    <w:rsid w:val="00C81268"/>
    <w:rsid w:val="00C81642"/>
    <w:rsid w:val="00C81653"/>
    <w:rsid w:val="00C81690"/>
    <w:rsid w:val="00C818F0"/>
    <w:rsid w:val="00C81A7C"/>
    <w:rsid w:val="00C81B18"/>
    <w:rsid w:val="00C84707"/>
    <w:rsid w:val="00C848A3"/>
    <w:rsid w:val="00C84C1E"/>
    <w:rsid w:val="00C84F7B"/>
    <w:rsid w:val="00C8592D"/>
    <w:rsid w:val="00C86B93"/>
    <w:rsid w:val="00C86D73"/>
    <w:rsid w:val="00C86F19"/>
    <w:rsid w:val="00C872B2"/>
    <w:rsid w:val="00C87400"/>
    <w:rsid w:val="00C874E6"/>
    <w:rsid w:val="00C87DBB"/>
    <w:rsid w:val="00C90BE6"/>
    <w:rsid w:val="00C90C99"/>
    <w:rsid w:val="00C9129F"/>
    <w:rsid w:val="00C919B7"/>
    <w:rsid w:val="00C91CD3"/>
    <w:rsid w:val="00C928AC"/>
    <w:rsid w:val="00C928C9"/>
    <w:rsid w:val="00C9386E"/>
    <w:rsid w:val="00C94217"/>
    <w:rsid w:val="00C9480D"/>
    <w:rsid w:val="00C95048"/>
    <w:rsid w:val="00C95ACA"/>
    <w:rsid w:val="00C95EDF"/>
    <w:rsid w:val="00C9682E"/>
    <w:rsid w:val="00C9788E"/>
    <w:rsid w:val="00CA0356"/>
    <w:rsid w:val="00CA1294"/>
    <w:rsid w:val="00CA363E"/>
    <w:rsid w:val="00CA45A2"/>
    <w:rsid w:val="00CA5797"/>
    <w:rsid w:val="00CA649E"/>
    <w:rsid w:val="00CA6DC0"/>
    <w:rsid w:val="00CA7B5F"/>
    <w:rsid w:val="00CB01E6"/>
    <w:rsid w:val="00CB0C2C"/>
    <w:rsid w:val="00CB0CF9"/>
    <w:rsid w:val="00CB156A"/>
    <w:rsid w:val="00CB1635"/>
    <w:rsid w:val="00CB1EB4"/>
    <w:rsid w:val="00CB27EE"/>
    <w:rsid w:val="00CB28A5"/>
    <w:rsid w:val="00CB2B4D"/>
    <w:rsid w:val="00CB2C02"/>
    <w:rsid w:val="00CB34C4"/>
    <w:rsid w:val="00CB37D1"/>
    <w:rsid w:val="00CB3E8B"/>
    <w:rsid w:val="00CB4637"/>
    <w:rsid w:val="00CB4E3F"/>
    <w:rsid w:val="00CB561D"/>
    <w:rsid w:val="00CB5B4B"/>
    <w:rsid w:val="00CB71D9"/>
    <w:rsid w:val="00CB762C"/>
    <w:rsid w:val="00CB7F0B"/>
    <w:rsid w:val="00CC079C"/>
    <w:rsid w:val="00CC0A15"/>
    <w:rsid w:val="00CC0DFF"/>
    <w:rsid w:val="00CC0EF4"/>
    <w:rsid w:val="00CC29DF"/>
    <w:rsid w:val="00CC3D5C"/>
    <w:rsid w:val="00CC495C"/>
    <w:rsid w:val="00CC504C"/>
    <w:rsid w:val="00CC69A5"/>
    <w:rsid w:val="00CC702E"/>
    <w:rsid w:val="00CC7F25"/>
    <w:rsid w:val="00CD1D95"/>
    <w:rsid w:val="00CD2005"/>
    <w:rsid w:val="00CD36D1"/>
    <w:rsid w:val="00CD3C11"/>
    <w:rsid w:val="00CD3C81"/>
    <w:rsid w:val="00CD411A"/>
    <w:rsid w:val="00CD458D"/>
    <w:rsid w:val="00CD4704"/>
    <w:rsid w:val="00CD49BA"/>
    <w:rsid w:val="00CD50B4"/>
    <w:rsid w:val="00CD5BD2"/>
    <w:rsid w:val="00CD65CD"/>
    <w:rsid w:val="00CD67EE"/>
    <w:rsid w:val="00CD70B2"/>
    <w:rsid w:val="00CD762D"/>
    <w:rsid w:val="00CD7D2C"/>
    <w:rsid w:val="00CD7DB8"/>
    <w:rsid w:val="00CE0636"/>
    <w:rsid w:val="00CE08EB"/>
    <w:rsid w:val="00CE1286"/>
    <w:rsid w:val="00CE3C28"/>
    <w:rsid w:val="00CE4891"/>
    <w:rsid w:val="00CE4A08"/>
    <w:rsid w:val="00CE4E66"/>
    <w:rsid w:val="00CE544A"/>
    <w:rsid w:val="00CE55AB"/>
    <w:rsid w:val="00CE585F"/>
    <w:rsid w:val="00CE620F"/>
    <w:rsid w:val="00CE6CB8"/>
    <w:rsid w:val="00CE6F4E"/>
    <w:rsid w:val="00CE72B0"/>
    <w:rsid w:val="00CE7A6D"/>
    <w:rsid w:val="00CF0B02"/>
    <w:rsid w:val="00CF109B"/>
    <w:rsid w:val="00CF1AB4"/>
    <w:rsid w:val="00CF250F"/>
    <w:rsid w:val="00CF31AE"/>
    <w:rsid w:val="00CF3342"/>
    <w:rsid w:val="00CF4339"/>
    <w:rsid w:val="00CF4553"/>
    <w:rsid w:val="00CF45C7"/>
    <w:rsid w:val="00CF6826"/>
    <w:rsid w:val="00CF6DF3"/>
    <w:rsid w:val="00CF7D88"/>
    <w:rsid w:val="00D003D0"/>
    <w:rsid w:val="00D00810"/>
    <w:rsid w:val="00D01E91"/>
    <w:rsid w:val="00D04463"/>
    <w:rsid w:val="00D04D72"/>
    <w:rsid w:val="00D04E36"/>
    <w:rsid w:val="00D04F9C"/>
    <w:rsid w:val="00D06231"/>
    <w:rsid w:val="00D06CBD"/>
    <w:rsid w:val="00D06D3E"/>
    <w:rsid w:val="00D06F77"/>
    <w:rsid w:val="00D075B7"/>
    <w:rsid w:val="00D07C5C"/>
    <w:rsid w:val="00D102AB"/>
    <w:rsid w:val="00D102EA"/>
    <w:rsid w:val="00D10513"/>
    <w:rsid w:val="00D108D2"/>
    <w:rsid w:val="00D10A75"/>
    <w:rsid w:val="00D10C16"/>
    <w:rsid w:val="00D10D8A"/>
    <w:rsid w:val="00D10FA5"/>
    <w:rsid w:val="00D116FB"/>
    <w:rsid w:val="00D11DFB"/>
    <w:rsid w:val="00D125FC"/>
    <w:rsid w:val="00D12613"/>
    <w:rsid w:val="00D126EB"/>
    <w:rsid w:val="00D12BD4"/>
    <w:rsid w:val="00D13440"/>
    <w:rsid w:val="00D13A61"/>
    <w:rsid w:val="00D14697"/>
    <w:rsid w:val="00D14CAE"/>
    <w:rsid w:val="00D15BF2"/>
    <w:rsid w:val="00D16273"/>
    <w:rsid w:val="00D16C9B"/>
    <w:rsid w:val="00D1797E"/>
    <w:rsid w:val="00D179F1"/>
    <w:rsid w:val="00D17BBC"/>
    <w:rsid w:val="00D209EF"/>
    <w:rsid w:val="00D20F69"/>
    <w:rsid w:val="00D21244"/>
    <w:rsid w:val="00D21890"/>
    <w:rsid w:val="00D21CCA"/>
    <w:rsid w:val="00D22C5C"/>
    <w:rsid w:val="00D22DD6"/>
    <w:rsid w:val="00D233BF"/>
    <w:rsid w:val="00D23559"/>
    <w:rsid w:val="00D237D0"/>
    <w:rsid w:val="00D24153"/>
    <w:rsid w:val="00D24875"/>
    <w:rsid w:val="00D250E0"/>
    <w:rsid w:val="00D25C24"/>
    <w:rsid w:val="00D25DBE"/>
    <w:rsid w:val="00D26599"/>
    <w:rsid w:val="00D2683E"/>
    <w:rsid w:val="00D26F4A"/>
    <w:rsid w:val="00D27A10"/>
    <w:rsid w:val="00D300A1"/>
    <w:rsid w:val="00D31DCC"/>
    <w:rsid w:val="00D31DF4"/>
    <w:rsid w:val="00D32661"/>
    <w:rsid w:val="00D32B02"/>
    <w:rsid w:val="00D33020"/>
    <w:rsid w:val="00D3361C"/>
    <w:rsid w:val="00D34264"/>
    <w:rsid w:val="00D358F7"/>
    <w:rsid w:val="00D35A4B"/>
    <w:rsid w:val="00D35EEC"/>
    <w:rsid w:val="00D3610A"/>
    <w:rsid w:val="00D36697"/>
    <w:rsid w:val="00D36AAA"/>
    <w:rsid w:val="00D37915"/>
    <w:rsid w:val="00D379EA"/>
    <w:rsid w:val="00D400D7"/>
    <w:rsid w:val="00D40387"/>
    <w:rsid w:val="00D40401"/>
    <w:rsid w:val="00D4087A"/>
    <w:rsid w:val="00D40BF8"/>
    <w:rsid w:val="00D40CCA"/>
    <w:rsid w:val="00D41F37"/>
    <w:rsid w:val="00D42138"/>
    <w:rsid w:val="00D422B5"/>
    <w:rsid w:val="00D42A4F"/>
    <w:rsid w:val="00D42BCA"/>
    <w:rsid w:val="00D438E8"/>
    <w:rsid w:val="00D4587F"/>
    <w:rsid w:val="00D46651"/>
    <w:rsid w:val="00D46750"/>
    <w:rsid w:val="00D469A1"/>
    <w:rsid w:val="00D46A94"/>
    <w:rsid w:val="00D470A5"/>
    <w:rsid w:val="00D474B9"/>
    <w:rsid w:val="00D4760D"/>
    <w:rsid w:val="00D47EAD"/>
    <w:rsid w:val="00D50171"/>
    <w:rsid w:val="00D5088A"/>
    <w:rsid w:val="00D51496"/>
    <w:rsid w:val="00D51659"/>
    <w:rsid w:val="00D51672"/>
    <w:rsid w:val="00D5332A"/>
    <w:rsid w:val="00D55679"/>
    <w:rsid w:val="00D55C88"/>
    <w:rsid w:val="00D56049"/>
    <w:rsid w:val="00D56F9D"/>
    <w:rsid w:val="00D57070"/>
    <w:rsid w:val="00D575F4"/>
    <w:rsid w:val="00D57693"/>
    <w:rsid w:val="00D57B82"/>
    <w:rsid w:val="00D57F55"/>
    <w:rsid w:val="00D60537"/>
    <w:rsid w:val="00D61887"/>
    <w:rsid w:val="00D61931"/>
    <w:rsid w:val="00D61D91"/>
    <w:rsid w:val="00D6219C"/>
    <w:rsid w:val="00D63AD4"/>
    <w:rsid w:val="00D63EC5"/>
    <w:rsid w:val="00D643B8"/>
    <w:rsid w:val="00D64684"/>
    <w:rsid w:val="00D64B76"/>
    <w:rsid w:val="00D650AD"/>
    <w:rsid w:val="00D657F1"/>
    <w:rsid w:val="00D65FD6"/>
    <w:rsid w:val="00D6635E"/>
    <w:rsid w:val="00D669A0"/>
    <w:rsid w:val="00D6756F"/>
    <w:rsid w:val="00D67659"/>
    <w:rsid w:val="00D67783"/>
    <w:rsid w:val="00D678A7"/>
    <w:rsid w:val="00D67C95"/>
    <w:rsid w:val="00D7031D"/>
    <w:rsid w:val="00D7117D"/>
    <w:rsid w:val="00D71F6C"/>
    <w:rsid w:val="00D72C6F"/>
    <w:rsid w:val="00D7398D"/>
    <w:rsid w:val="00D73E91"/>
    <w:rsid w:val="00D73F1D"/>
    <w:rsid w:val="00D75F2E"/>
    <w:rsid w:val="00D7656B"/>
    <w:rsid w:val="00D766FA"/>
    <w:rsid w:val="00D77477"/>
    <w:rsid w:val="00D7798F"/>
    <w:rsid w:val="00D77D99"/>
    <w:rsid w:val="00D8090E"/>
    <w:rsid w:val="00D80DBA"/>
    <w:rsid w:val="00D829B6"/>
    <w:rsid w:val="00D82CDE"/>
    <w:rsid w:val="00D837B3"/>
    <w:rsid w:val="00D83AC2"/>
    <w:rsid w:val="00D83B13"/>
    <w:rsid w:val="00D83CC9"/>
    <w:rsid w:val="00D83CD9"/>
    <w:rsid w:val="00D8453B"/>
    <w:rsid w:val="00D84F3A"/>
    <w:rsid w:val="00D8529F"/>
    <w:rsid w:val="00D8534C"/>
    <w:rsid w:val="00D853CE"/>
    <w:rsid w:val="00D86916"/>
    <w:rsid w:val="00D87942"/>
    <w:rsid w:val="00D87D50"/>
    <w:rsid w:val="00D904AF"/>
    <w:rsid w:val="00D913D1"/>
    <w:rsid w:val="00D91634"/>
    <w:rsid w:val="00D919E5"/>
    <w:rsid w:val="00D92221"/>
    <w:rsid w:val="00D931E1"/>
    <w:rsid w:val="00D936E2"/>
    <w:rsid w:val="00D93FFB"/>
    <w:rsid w:val="00D94B29"/>
    <w:rsid w:val="00D94E9C"/>
    <w:rsid w:val="00D95852"/>
    <w:rsid w:val="00D959C7"/>
    <w:rsid w:val="00D96AE6"/>
    <w:rsid w:val="00DA0C41"/>
    <w:rsid w:val="00DA0EFC"/>
    <w:rsid w:val="00DA16B6"/>
    <w:rsid w:val="00DA1E3C"/>
    <w:rsid w:val="00DA31E7"/>
    <w:rsid w:val="00DA35A3"/>
    <w:rsid w:val="00DA3CE3"/>
    <w:rsid w:val="00DA49E0"/>
    <w:rsid w:val="00DA4C9C"/>
    <w:rsid w:val="00DA4CA3"/>
    <w:rsid w:val="00DA57A6"/>
    <w:rsid w:val="00DA5FC5"/>
    <w:rsid w:val="00DA63C3"/>
    <w:rsid w:val="00DB006A"/>
    <w:rsid w:val="00DB09E4"/>
    <w:rsid w:val="00DB0CB8"/>
    <w:rsid w:val="00DB10A5"/>
    <w:rsid w:val="00DB13B3"/>
    <w:rsid w:val="00DB14E7"/>
    <w:rsid w:val="00DB1A40"/>
    <w:rsid w:val="00DB270D"/>
    <w:rsid w:val="00DB64EE"/>
    <w:rsid w:val="00DB6B0B"/>
    <w:rsid w:val="00DB6F01"/>
    <w:rsid w:val="00DB7125"/>
    <w:rsid w:val="00DB718B"/>
    <w:rsid w:val="00DB7429"/>
    <w:rsid w:val="00DC0183"/>
    <w:rsid w:val="00DC027E"/>
    <w:rsid w:val="00DC035A"/>
    <w:rsid w:val="00DC0A9F"/>
    <w:rsid w:val="00DC0D49"/>
    <w:rsid w:val="00DC1BE0"/>
    <w:rsid w:val="00DC1CA3"/>
    <w:rsid w:val="00DC1E3F"/>
    <w:rsid w:val="00DC20CE"/>
    <w:rsid w:val="00DC220C"/>
    <w:rsid w:val="00DC24C5"/>
    <w:rsid w:val="00DC2BD8"/>
    <w:rsid w:val="00DC3602"/>
    <w:rsid w:val="00DC3FBF"/>
    <w:rsid w:val="00DC4D2A"/>
    <w:rsid w:val="00DC5070"/>
    <w:rsid w:val="00DC59B5"/>
    <w:rsid w:val="00DC5DA8"/>
    <w:rsid w:val="00DC5F86"/>
    <w:rsid w:val="00DC65D9"/>
    <w:rsid w:val="00DC6675"/>
    <w:rsid w:val="00DC74ED"/>
    <w:rsid w:val="00DC7A80"/>
    <w:rsid w:val="00DD070E"/>
    <w:rsid w:val="00DD0C43"/>
    <w:rsid w:val="00DD1885"/>
    <w:rsid w:val="00DD1C20"/>
    <w:rsid w:val="00DD23CC"/>
    <w:rsid w:val="00DD25B5"/>
    <w:rsid w:val="00DD2F30"/>
    <w:rsid w:val="00DD4332"/>
    <w:rsid w:val="00DD4787"/>
    <w:rsid w:val="00DD49C1"/>
    <w:rsid w:val="00DD4D16"/>
    <w:rsid w:val="00DD4EDA"/>
    <w:rsid w:val="00DD53E8"/>
    <w:rsid w:val="00DD563B"/>
    <w:rsid w:val="00DD5736"/>
    <w:rsid w:val="00DD5C4A"/>
    <w:rsid w:val="00DD6584"/>
    <w:rsid w:val="00DD695C"/>
    <w:rsid w:val="00DD739C"/>
    <w:rsid w:val="00DD7E11"/>
    <w:rsid w:val="00DE07AC"/>
    <w:rsid w:val="00DE0F9C"/>
    <w:rsid w:val="00DE0FF4"/>
    <w:rsid w:val="00DE1EDF"/>
    <w:rsid w:val="00DE218B"/>
    <w:rsid w:val="00DE2B6D"/>
    <w:rsid w:val="00DE375A"/>
    <w:rsid w:val="00DE4D9B"/>
    <w:rsid w:val="00DE4EC0"/>
    <w:rsid w:val="00DE51DE"/>
    <w:rsid w:val="00DE5405"/>
    <w:rsid w:val="00DE57B0"/>
    <w:rsid w:val="00DE5C34"/>
    <w:rsid w:val="00DE638A"/>
    <w:rsid w:val="00DE6F7E"/>
    <w:rsid w:val="00DF004F"/>
    <w:rsid w:val="00DF0877"/>
    <w:rsid w:val="00DF0B31"/>
    <w:rsid w:val="00DF209D"/>
    <w:rsid w:val="00DF2101"/>
    <w:rsid w:val="00DF244D"/>
    <w:rsid w:val="00DF3372"/>
    <w:rsid w:val="00DF340D"/>
    <w:rsid w:val="00DF4D3F"/>
    <w:rsid w:val="00DF4E64"/>
    <w:rsid w:val="00DF51BD"/>
    <w:rsid w:val="00DF5B22"/>
    <w:rsid w:val="00DF67BD"/>
    <w:rsid w:val="00DF7111"/>
    <w:rsid w:val="00DF76B8"/>
    <w:rsid w:val="00DF7988"/>
    <w:rsid w:val="00DF7A92"/>
    <w:rsid w:val="00E00600"/>
    <w:rsid w:val="00E00F7C"/>
    <w:rsid w:val="00E01A7A"/>
    <w:rsid w:val="00E01FCB"/>
    <w:rsid w:val="00E02B91"/>
    <w:rsid w:val="00E032EE"/>
    <w:rsid w:val="00E0390B"/>
    <w:rsid w:val="00E040ED"/>
    <w:rsid w:val="00E047E2"/>
    <w:rsid w:val="00E05127"/>
    <w:rsid w:val="00E051DE"/>
    <w:rsid w:val="00E05650"/>
    <w:rsid w:val="00E05CEC"/>
    <w:rsid w:val="00E06497"/>
    <w:rsid w:val="00E066E5"/>
    <w:rsid w:val="00E06C0A"/>
    <w:rsid w:val="00E102FF"/>
    <w:rsid w:val="00E1033C"/>
    <w:rsid w:val="00E11183"/>
    <w:rsid w:val="00E11F87"/>
    <w:rsid w:val="00E121B5"/>
    <w:rsid w:val="00E133BC"/>
    <w:rsid w:val="00E13BAE"/>
    <w:rsid w:val="00E145F5"/>
    <w:rsid w:val="00E146A9"/>
    <w:rsid w:val="00E147C6"/>
    <w:rsid w:val="00E148FF"/>
    <w:rsid w:val="00E15A09"/>
    <w:rsid w:val="00E15CCC"/>
    <w:rsid w:val="00E1653B"/>
    <w:rsid w:val="00E173BD"/>
    <w:rsid w:val="00E17786"/>
    <w:rsid w:val="00E179BB"/>
    <w:rsid w:val="00E20236"/>
    <w:rsid w:val="00E20BB4"/>
    <w:rsid w:val="00E20DD1"/>
    <w:rsid w:val="00E21B24"/>
    <w:rsid w:val="00E21FA2"/>
    <w:rsid w:val="00E22248"/>
    <w:rsid w:val="00E22361"/>
    <w:rsid w:val="00E232AF"/>
    <w:rsid w:val="00E233FA"/>
    <w:rsid w:val="00E23406"/>
    <w:rsid w:val="00E23547"/>
    <w:rsid w:val="00E235EA"/>
    <w:rsid w:val="00E24243"/>
    <w:rsid w:val="00E244C6"/>
    <w:rsid w:val="00E2450D"/>
    <w:rsid w:val="00E24E24"/>
    <w:rsid w:val="00E251BE"/>
    <w:rsid w:val="00E269C1"/>
    <w:rsid w:val="00E275CB"/>
    <w:rsid w:val="00E30181"/>
    <w:rsid w:val="00E30323"/>
    <w:rsid w:val="00E30A61"/>
    <w:rsid w:val="00E30B41"/>
    <w:rsid w:val="00E30C48"/>
    <w:rsid w:val="00E31AD1"/>
    <w:rsid w:val="00E32AF1"/>
    <w:rsid w:val="00E332B0"/>
    <w:rsid w:val="00E332C3"/>
    <w:rsid w:val="00E3393E"/>
    <w:rsid w:val="00E33A80"/>
    <w:rsid w:val="00E34822"/>
    <w:rsid w:val="00E35D23"/>
    <w:rsid w:val="00E36015"/>
    <w:rsid w:val="00E37AFF"/>
    <w:rsid w:val="00E37D7F"/>
    <w:rsid w:val="00E37DD8"/>
    <w:rsid w:val="00E4157F"/>
    <w:rsid w:val="00E41699"/>
    <w:rsid w:val="00E439D5"/>
    <w:rsid w:val="00E43B67"/>
    <w:rsid w:val="00E444C4"/>
    <w:rsid w:val="00E44C59"/>
    <w:rsid w:val="00E4550E"/>
    <w:rsid w:val="00E471E4"/>
    <w:rsid w:val="00E472AF"/>
    <w:rsid w:val="00E503BC"/>
    <w:rsid w:val="00E5071A"/>
    <w:rsid w:val="00E50926"/>
    <w:rsid w:val="00E51374"/>
    <w:rsid w:val="00E51985"/>
    <w:rsid w:val="00E51E9D"/>
    <w:rsid w:val="00E53066"/>
    <w:rsid w:val="00E535AB"/>
    <w:rsid w:val="00E54439"/>
    <w:rsid w:val="00E555EA"/>
    <w:rsid w:val="00E57125"/>
    <w:rsid w:val="00E57630"/>
    <w:rsid w:val="00E5769D"/>
    <w:rsid w:val="00E57F2B"/>
    <w:rsid w:val="00E57F94"/>
    <w:rsid w:val="00E6038C"/>
    <w:rsid w:val="00E60C09"/>
    <w:rsid w:val="00E60E53"/>
    <w:rsid w:val="00E61FFC"/>
    <w:rsid w:val="00E6242E"/>
    <w:rsid w:val="00E62A7F"/>
    <w:rsid w:val="00E631DB"/>
    <w:rsid w:val="00E633D3"/>
    <w:rsid w:val="00E63E21"/>
    <w:rsid w:val="00E64305"/>
    <w:rsid w:val="00E6480D"/>
    <w:rsid w:val="00E64AC5"/>
    <w:rsid w:val="00E64AEB"/>
    <w:rsid w:val="00E658E4"/>
    <w:rsid w:val="00E659E3"/>
    <w:rsid w:val="00E66E99"/>
    <w:rsid w:val="00E66F2F"/>
    <w:rsid w:val="00E67531"/>
    <w:rsid w:val="00E67A71"/>
    <w:rsid w:val="00E67CFF"/>
    <w:rsid w:val="00E7000D"/>
    <w:rsid w:val="00E706B3"/>
    <w:rsid w:val="00E7196E"/>
    <w:rsid w:val="00E723AD"/>
    <w:rsid w:val="00E72BF8"/>
    <w:rsid w:val="00E74614"/>
    <w:rsid w:val="00E74B73"/>
    <w:rsid w:val="00E74C66"/>
    <w:rsid w:val="00E754D0"/>
    <w:rsid w:val="00E75B42"/>
    <w:rsid w:val="00E76FE8"/>
    <w:rsid w:val="00E774B7"/>
    <w:rsid w:val="00E806B1"/>
    <w:rsid w:val="00E81AB5"/>
    <w:rsid w:val="00E823D1"/>
    <w:rsid w:val="00E82FC0"/>
    <w:rsid w:val="00E83559"/>
    <w:rsid w:val="00E83580"/>
    <w:rsid w:val="00E83CA3"/>
    <w:rsid w:val="00E85457"/>
    <w:rsid w:val="00E857A9"/>
    <w:rsid w:val="00E857D9"/>
    <w:rsid w:val="00E85982"/>
    <w:rsid w:val="00E85F70"/>
    <w:rsid w:val="00E861B4"/>
    <w:rsid w:val="00E867DA"/>
    <w:rsid w:val="00E86A05"/>
    <w:rsid w:val="00E86F14"/>
    <w:rsid w:val="00E87E60"/>
    <w:rsid w:val="00E90238"/>
    <w:rsid w:val="00E90321"/>
    <w:rsid w:val="00E906DD"/>
    <w:rsid w:val="00E9133E"/>
    <w:rsid w:val="00E91902"/>
    <w:rsid w:val="00E921C9"/>
    <w:rsid w:val="00E921CB"/>
    <w:rsid w:val="00E93B69"/>
    <w:rsid w:val="00E93C24"/>
    <w:rsid w:val="00E94024"/>
    <w:rsid w:val="00E946C7"/>
    <w:rsid w:val="00E94E71"/>
    <w:rsid w:val="00E95782"/>
    <w:rsid w:val="00E95C6C"/>
    <w:rsid w:val="00E96C9F"/>
    <w:rsid w:val="00EA022E"/>
    <w:rsid w:val="00EA0CE1"/>
    <w:rsid w:val="00EA0D43"/>
    <w:rsid w:val="00EA10A4"/>
    <w:rsid w:val="00EA254D"/>
    <w:rsid w:val="00EA2FF2"/>
    <w:rsid w:val="00EA3BA4"/>
    <w:rsid w:val="00EA4005"/>
    <w:rsid w:val="00EA429B"/>
    <w:rsid w:val="00EA48AB"/>
    <w:rsid w:val="00EA4FBD"/>
    <w:rsid w:val="00EA5183"/>
    <w:rsid w:val="00EA5883"/>
    <w:rsid w:val="00EA614D"/>
    <w:rsid w:val="00EA6C45"/>
    <w:rsid w:val="00EA6EE7"/>
    <w:rsid w:val="00EA730D"/>
    <w:rsid w:val="00EA7D1D"/>
    <w:rsid w:val="00EB0D8B"/>
    <w:rsid w:val="00EB0EE8"/>
    <w:rsid w:val="00EB1781"/>
    <w:rsid w:val="00EB1B79"/>
    <w:rsid w:val="00EB2627"/>
    <w:rsid w:val="00EB2C33"/>
    <w:rsid w:val="00EB2C94"/>
    <w:rsid w:val="00EB3322"/>
    <w:rsid w:val="00EB3DF9"/>
    <w:rsid w:val="00EB4887"/>
    <w:rsid w:val="00EB492D"/>
    <w:rsid w:val="00EB4EDF"/>
    <w:rsid w:val="00EB69C7"/>
    <w:rsid w:val="00EB759D"/>
    <w:rsid w:val="00EC07F3"/>
    <w:rsid w:val="00EC0A0B"/>
    <w:rsid w:val="00EC0E65"/>
    <w:rsid w:val="00EC124C"/>
    <w:rsid w:val="00EC166B"/>
    <w:rsid w:val="00EC1BC6"/>
    <w:rsid w:val="00EC1CED"/>
    <w:rsid w:val="00EC1E8B"/>
    <w:rsid w:val="00EC1FCC"/>
    <w:rsid w:val="00EC3705"/>
    <w:rsid w:val="00EC38AF"/>
    <w:rsid w:val="00EC3AD7"/>
    <w:rsid w:val="00EC4045"/>
    <w:rsid w:val="00EC44E6"/>
    <w:rsid w:val="00EC4733"/>
    <w:rsid w:val="00EC51DD"/>
    <w:rsid w:val="00EC5BC3"/>
    <w:rsid w:val="00EC6F09"/>
    <w:rsid w:val="00ED0038"/>
    <w:rsid w:val="00ED0D1B"/>
    <w:rsid w:val="00ED0D9C"/>
    <w:rsid w:val="00ED4287"/>
    <w:rsid w:val="00ED4493"/>
    <w:rsid w:val="00ED4DC4"/>
    <w:rsid w:val="00ED501A"/>
    <w:rsid w:val="00ED50B4"/>
    <w:rsid w:val="00ED546A"/>
    <w:rsid w:val="00ED57C0"/>
    <w:rsid w:val="00ED581F"/>
    <w:rsid w:val="00ED5822"/>
    <w:rsid w:val="00ED5BB8"/>
    <w:rsid w:val="00ED6681"/>
    <w:rsid w:val="00ED7302"/>
    <w:rsid w:val="00ED7C8E"/>
    <w:rsid w:val="00ED7FFB"/>
    <w:rsid w:val="00EE1103"/>
    <w:rsid w:val="00EE21C4"/>
    <w:rsid w:val="00EE3679"/>
    <w:rsid w:val="00EE37F8"/>
    <w:rsid w:val="00EE40AA"/>
    <w:rsid w:val="00EE4C74"/>
    <w:rsid w:val="00EE4D72"/>
    <w:rsid w:val="00EE4E2B"/>
    <w:rsid w:val="00EE5201"/>
    <w:rsid w:val="00EE53B9"/>
    <w:rsid w:val="00EE585C"/>
    <w:rsid w:val="00EE659E"/>
    <w:rsid w:val="00EE6DA7"/>
    <w:rsid w:val="00EE749D"/>
    <w:rsid w:val="00EE7FFE"/>
    <w:rsid w:val="00EF05EF"/>
    <w:rsid w:val="00EF0623"/>
    <w:rsid w:val="00EF0A54"/>
    <w:rsid w:val="00EF1A93"/>
    <w:rsid w:val="00EF225A"/>
    <w:rsid w:val="00EF2D54"/>
    <w:rsid w:val="00EF3899"/>
    <w:rsid w:val="00EF41CD"/>
    <w:rsid w:val="00EF5538"/>
    <w:rsid w:val="00EF5C60"/>
    <w:rsid w:val="00EF5EBD"/>
    <w:rsid w:val="00EF6C76"/>
    <w:rsid w:val="00EF7491"/>
    <w:rsid w:val="00EF7A7D"/>
    <w:rsid w:val="00F00546"/>
    <w:rsid w:val="00F00742"/>
    <w:rsid w:val="00F00A43"/>
    <w:rsid w:val="00F010AF"/>
    <w:rsid w:val="00F0142F"/>
    <w:rsid w:val="00F017E0"/>
    <w:rsid w:val="00F0181F"/>
    <w:rsid w:val="00F01BDF"/>
    <w:rsid w:val="00F01F54"/>
    <w:rsid w:val="00F02088"/>
    <w:rsid w:val="00F02424"/>
    <w:rsid w:val="00F027D8"/>
    <w:rsid w:val="00F02BF5"/>
    <w:rsid w:val="00F02C49"/>
    <w:rsid w:val="00F039FC"/>
    <w:rsid w:val="00F04ADD"/>
    <w:rsid w:val="00F05209"/>
    <w:rsid w:val="00F072A6"/>
    <w:rsid w:val="00F07610"/>
    <w:rsid w:val="00F0769C"/>
    <w:rsid w:val="00F07FC0"/>
    <w:rsid w:val="00F100B1"/>
    <w:rsid w:val="00F101E0"/>
    <w:rsid w:val="00F10B3E"/>
    <w:rsid w:val="00F10C0B"/>
    <w:rsid w:val="00F1110E"/>
    <w:rsid w:val="00F133C1"/>
    <w:rsid w:val="00F13EC1"/>
    <w:rsid w:val="00F1435A"/>
    <w:rsid w:val="00F15F9E"/>
    <w:rsid w:val="00F160F8"/>
    <w:rsid w:val="00F165F7"/>
    <w:rsid w:val="00F16BB8"/>
    <w:rsid w:val="00F17024"/>
    <w:rsid w:val="00F170A9"/>
    <w:rsid w:val="00F173BF"/>
    <w:rsid w:val="00F17693"/>
    <w:rsid w:val="00F20115"/>
    <w:rsid w:val="00F205F0"/>
    <w:rsid w:val="00F20813"/>
    <w:rsid w:val="00F2104C"/>
    <w:rsid w:val="00F215A4"/>
    <w:rsid w:val="00F2176E"/>
    <w:rsid w:val="00F218A6"/>
    <w:rsid w:val="00F21C0D"/>
    <w:rsid w:val="00F222B9"/>
    <w:rsid w:val="00F2234A"/>
    <w:rsid w:val="00F227C5"/>
    <w:rsid w:val="00F235F2"/>
    <w:rsid w:val="00F240E9"/>
    <w:rsid w:val="00F249A1"/>
    <w:rsid w:val="00F24C87"/>
    <w:rsid w:val="00F24EC7"/>
    <w:rsid w:val="00F257DF"/>
    <w:rsid w:val="00F2619C"/>
    <w:rsid w:val="00F2660C"/>
    <w:rsid w:val="00F26C0A"/>
    <w:rsid w:val="00F270AF"/>
    <w:rsid w:val="00F27E0E"/>
    <w:rsid w:val="00F3045B"/>
    <w:rsid w:val="00F30AAC"/>
    <w:rsid w:val="00F32A7A"/>
    <w:rsid w:val="00F32B5F"/>
    <w:rsid w:val="00F33211"/>
    <w:rsid w:val="00F33725"/>
    <w:rsid w:val="00F33A60"/>
    <w:rsid w:val="00F34C88"/>
    <w:rsid w:val="00F35256"/>
    <w:rsid w:val="00F360C8"/>
    <w:rsid w:val="00F36F8A"/>
    <w:rsid w:val="00F3752F"/>
    <w:rsid w:val="00F37EB0"/>
    <w:rsid w:val="00F40610"/>
    <w:rsid w:val="00F41675"/>
    <w:rsid w:val="00F41848"/>
    <w:rsid w:val="00F41A92"/>
    <w:rsid w:val="00F42482"/>
    <w:rsid w:val="00F424BC"/>
    <w:rsid w:val="00F4251A"/>
    <w:rsid w:val="00F43C77"/>
    <w:rsid w:val="00F44D06"/>
    <w:rsid w:val="00F451BD"/>
    <w:rsid w:val="00F4539C"/>
    <w:rsid w:val="00F459A1"/>
    <w:rsid w:val="00F45BAC"/>
    <w:rsid w:val="00F46000"/>
    <w:rsid w:val="00F4633B"/>
    <w:rsid w:val="00F46AAF"/>
    <w:rsid w:val="00F47106"/>
    <w:rsid w:val="00F5021B"/>
    <w:rsid w:val="00F50686"/>
    <w:rsid w:val="00F509EE"/>
    <w:rsid w:val="00F5154C"/>
    <w:rsid w:val="00F51617"/>
    <w:rsid w:val="00F5171B"/>
    <w:rsid w:val="00F52577"/>
    <w:rsid w:val="00F53E30"/>
    <w:rsid w:val="00F53EB3"/>
    <w:rsid w:val="00F54227"/>
    <w:rsid w:val="00F54619"/>
    <w:rsid w:val="00F54B2F"/>
    <w:rsid w:val="00F5515A"/>
    <w:rsid w:val="00F553DB"/>
    <w:rsid w:val="00F5597E"/>
    <w:rsid w:val="00F55B43"/>
    <w:rsid w:val="00F5656C"/>
    <w:rsid w:val="00F56A3A"/>
    <w:rsid w:val="00F56B8D"/>
    <w:rsid w:val="00F56D03"/>
    <w:rsid w:val="00F57BB3"/>
    <w:rsid w:val="00F57E3F"/>
    <w:rsid w:val="00F57ED5"/>
    <w:rsid w:val="00F6058F"/>
    <w:rsid w:val="00F60EEF"/>
    <w:rsid w:val="00F6266D"/>
    <w:rsid w:val="00F62C5E"/>
    <w:rsid w:val="00F63540"/>
    <w:rsid w:val="00F63B97"/>
    <w:rsid w:val="00F64547"/>
    <w:rsid w:val="00F645FB"/>
    <w:rsid w:val="00F652C0"/>
    <w:rsid w:val="00F6556E"/>
    <w:rsid w:val="00F655FD"/>
    <w:rsid w:val="00F65643"/>
    <w:rsid w:val="00F656CC"/>
    <w:rsid w:val="00F659AD"/>
    <w:rsid w:val="00F66964"/>
    <w:rsid w:val="00F67668"/>
    <w:rsid w:val="00F6790D"/>
    <w:rsid w:val="00F67DB9"/>
    <w:rsid w:val="00F67E95"/>
    <w:rsid w:val="00F70135"/>
    <w:rsid w:val="00F7080B"/>
    <w:rsid w:val="00F709E7"/>
    <w:rsid w:val="00F70C53"/>
    <w:rsid w:val="00F71D27"/>
    <w:rsid w:val="00F71FF5"/>
    <w:rsid w:val="00F72216"/>
    <w:rsid w:val="00F724EC"/>
    <w:rsid w:val="00F727CD"/>
    <w:rsid w:val="00F732E2"/>
    <w:rsid w:val="00F73479"/>
    <w:rsid w:val="00F73617"/>
    <w:rsid w:val="00F736AE"/>
    <w:rsid w:val="00F73905"/>
    <w:rsid w:val="00F748CA"/>
    <w:rsid w:val="00F74963"/>
    <w:rsid w:val="00F74FB5"/>
    <w:rsid w:val="00F75527"/>
    <w:rsid w:val="00F756D7"/>
    <w:rsid w:val="00F75D4C"/>
    <w:rsid w:val="00F76739"/>
    <w:rsid w:val="00F770AF"/>
    <w:rsid w:val="00F77736"/>
    <w:rsid w:val="00F778C8"/>
    <w:rsid w:val="00F7793B"/>
    <w:rsid w:val="00F77FBA"/>
    <w:rsid w:val="00F8041C"/>
    <w:rsid w:val="00F80C2D"/>
    <w:rsid w:val="00F814E7"/>
    <w:rsid w:val="00F815C0"/>
    <w:rsid w:val="00F828ED"/>
    <w:rsid w:val="00F82AAD"/>
    <w:rsid w:val="00F82B6B"/>
    <w:rsid w:val="00F83031"/>
    <w:rsid w:val="00F835BA"/>
    <w:rsid w:val="00F836D5"/>
    <w:rsid w:val="00F837AD"/>
    <w:rsid w:val="00F83A47"/>
    <w:rsid w:val="00F83BF9"/>
    <w:rsid w:val="00F846B3"/>
    <w:rsid w:val="00F847EA"/>
    <w:rsid w:val="00F84D72"/>
    <w:rsid w:val="00F84F2A"/>
    <w:rsid w:val="00F85C95"/>
    <w:rsid w:val="00F85DFD"/>
    <w:rsid w:val="00F8791E"/>
    <w:rsid w:val="00F879E5"/>
    <w:rsid w:val="00F87DF8"/>
    <w:rsid w:val="00F90343"/>
    <w:rsid w:val="00F90350"/>
    <w:rsid w:val="00F909C4"/>
    <w:rsid w:val="00F91996"/>
    <w:rsid w:val="00F91F69"/>
    <w:rsid w:val="00F928DE"/>
    <w:rsid w:val="00F92CBC"/>
    <w:rsid w:val="00F92D02"/>
    <w:rsid w:val="00F931CB"/>
    <w:rsid w:val="00F93315"/>
    <w:rsid w:val="00F94150"/>
    <w:rsid w:val="00F95236"/>
    <w:rsid w:val="00F95EC8"/>
    <w:rsid w:val="00F97199"/>
    <w:rsid w:val="00F97C46"/>
    <w:rsid w:val="00F97EF9"/>
    <w:rsid w:val="00FA1341"/>
    <w:rsid w:val="00FA13A1"/>
    <w:rsid w:val="00FA214F"/>
    <w:rsid w:val="00FA24C6"/>
    <w:rsid w:val="00FA4114"/>
    <w:rsid w:val="00FA413C"/>
    <w:rsid w:val="00FA4E52"/>
    <w:rsid w:val="00FA5246"/>
    <w:rsid w:val="00FA53C6"/>
    <w:rsid w:val="00FA5741"/>
    <w:rsid w:val="00FA6FFC"/>
    <w:rsid w:val="00FA786A"/>
    <w:rsid w:val="00FA793B"/>
    <w:rsid w:val="00FA799B"/>
    <w:rsid w:val="00FB0419"/>
    <w:rsid w:val="00FB159D"/>
    <w:rsid w:val="00FB1601"/>
    <w:rsid w:val="00FB1A08"/>
    <w:rsid w:val="00FB1DD9"/>
    <w:rsid w:val="00FB1E62"/>
    <w:rsid w:val="00FB395E"/>
    <w:rsid w:val="00FB431E"/>
    <w:rsid w:val="00FB477B"/>
    <w:rsid w:val="00FB56D3"/>
    <w:rsid w:val="00FB6E5C"/>
    <w:rsid w:val="00FB704C"/>
    <w:rsid w:val="00FB763E"/>
    <w:rsid w:val="00FB7B57"/>
    <w:rsid w:val="00FB7DDB"/>
    <w:rsid w:val="00FC02F1"/>
    <w:rsid w:val="00FC04BA"/>
    <w:rsid w:val="00FC0995"/>
    <w:rsid w:val="00FC1370"/>
    <w:rsid w:val="00FC1C28"/>
    <w:rsid w:val="00FC331E"/>
    <w:rsid w:val="00FC34D1"/>
    <w:rsid w:val="00FC37F8"/>
    <w:rsid w:val="00FC3BD3"/>
    <w:rsid w:val="00FC40FC"/>
    <w:rsid w:val="00FC4D8E"/>
    <w:rsid w:val="00FC5506"/>
    <w:rsid w:val="00FC5BBA"/>
    <w:rsid w:val="00FC6994"/>
    <w:rsid w:val="00FC7113"/>
    <w:rsid w:val="00FC7832"/>
    <w:rsid w:val="00FC7B5C"/>
    <w:rsid w:val="00FD0101"/>
    <w:rsid w:val="00FD09D8"/>
    <w:rsid w:val="00FD0D34"/>
    <w:rsid w:val="00FD1303"/>
    <w:rsid w:val="00FD1532"/>
    <w:rsid w:val="00FD28D7"/>
    <w:rsid w:val="00FD33EB"/>
    <w:rsid w:val="00FD351D"/>
    <w:rsid w:val="00FD4B19"/>
    <w:rsid w:val="00FD5ECC"/>
    <w:rsid w:val="00FD6349"/>
    <w:rsid w:val="00FD6FF8"/>
    <w:rsid w:val="00FD7067"/>
    <w:rsid w:val="00FD7A02"/>
    <w:rsid w:val="00FD7A03"/>
    <w:rsid w:val="00FE0835"/>
    <w:rsid w:val="00FE0DC0"/>
    <w:rsid w:val="00FE1C5C"/>
    <w:rsid w:val="00FE2315"/>
    <w:rsid w:val="00FE2BCB"/>
    <w:rsid w:val="00FE2CE0"/>
    <w:rsid w:val="00FE3448"/>
    <w:rsid w:val="00FE3AFE"/>
    <w:rsid w:val="00FE4778"/>
    <w:rsid w:val="00FE479E"/>
    <w:rsid w:val="00FE4A5A"/>
    <w:rsid w:val="00FE4B8D"/>
    <w:rsid w:val="00FE4D8A"/>
    <w:rsid w:val="00FE4F69"/>
    <w:rsid w:val="00FE60BE"/>
    <w:rsid w:val="00FE6324"/>
    <w:rsid w:val="00FE67E3"/>
    <w:rsid w:val="00FE6B3B"/>
    <w:rsid w:val="00FE6EDD"/>
    <w:rsid w:val="00FE6FD8"/>
    <w:rsid w:val="00FF0340"/>
    <w:rsid w:val="00FF1C25"/>
    <w:rsid w:val="00FF1C99"/>
    <w:rsid w:val="00FF1CBB"/>
    <w:rsid w:val="00FF1DF1"/>
    <w:rsid w:val="00FF26DB"/>
    <w:rsid w:val="00FF343B"/>
    <w:rsid w:val="00FF38E3"/>
    <w:rsid w:val="00FF41E3"/>
    <w:rsid w:val="00FF451E"/>
    <w:rsid w:val="00FF5249"/>
    <w:rsid w:val="00FF589E"/>
    <w:rsid w:val="00FF7644"/>
    <w:rsid w:val="00FF7D92"/>
    <w:rsid w:val="01064106"/>
    <w:rsid w:val="01073AB3"/>
    <w:rsid w:val="010E674C"/>
    <w:rsid w:val="0116514F"/>
    <w:rsid w:val="0138003A"/>
    <w:rsid w:val="014DC143"/>
    <w:rsid w:val="014DE3DE"/>
    <w:rsid w:val="0158C1A5"/>
    <w:rsid w:val="015C2D2E"/>
    <w:rsid w:val="015C69E0"/>
    <w:rsid w:val="016784C6"/>
    <w:rsid w:val="0167E73B"/>
    <w:rsid w:val="0174719B"/>
    <w:rsid w:val="017D1112"/>
    <w:rsid w:val="019B7CC9"/>
    <w:rsid w:val="019D2DED"/>
    <w:rsid w:val="01AA7853"/>
    <w:rsid w:val="01AC2A68"/>
    <w:rsid w:val="01B2A58A"/>
    <w:rsid w:val="01C0963A"/>
    <w:rsid w:val="01D38417"/>
    <w:rsid w:val="01E6B1B0"/>
    <w:rsid w:val="01E9A252"/>
    <w:rsid w:val="01F11F29"/>
    <w:rsid w:val="0202EE5E"/>
    <w:rsid w:val="0221B645"/>
    <w:rsid w:val="025DA6C4"/>
    <w:rsid w:val="025ECC1A"/>
    <w:rsid w:val="0277D7FB"/>
    <w:rsid w:val="027DFB3F"/>
    <w:rsid w:val="028C881B"/>
    <w:rsid w:val="02987C7F"/>
    <w:rsid w:val="029915F9"/>
    <w:rsid w:val="02AD0165"/>
    <w:rsid w:val="02AE2E48"/>
    <w:rsid w:val="02AE8854"/>
    <w:rsid w:val="02C2EFFD"/>
    <w:rsid w:val="02CED328"/>
    <w:rsid w:val="02DCC44F"/>
    <w:rsid w:val="02DE4AD7"/>
    <w:rsid w:val="02EA6844"/>
    <w:rsid w:val="030928AD"/>
    <w:rsid w:val="03128882"/>
    <w:rsid w:val="032C1E5C"/>
    <w:rsid w:val="0330A6AC"/>
    <w:rsid w:val="033BA16F"/>
    <w:rsid w:val="033E3AC7"/>
    <w:rsid w:val="036145EB"/>
    <w:rsid w:val="036C2F3E"/>
    <w:rsid w:val="0375A3D3"/>
    <w:rsid w:val="03AB64C3"/>
    <w:rsid w:val="03AFC794"/>
    <w:rsid w:val="03C12C7C"/>
    <w:rsid w:val="03C622D2"/>
    <w:rsid w:val="03D80334"/>
    <w:rsid w:val="03D9869D"/>
    <w:rsid w:val="03E20F06"/>
    <w:rsid w:val="03E8C462"/>
    <w:rsid w:val="040E17D6"/>
    <w:rsid w:val="04282707"/>
    <w:rsid w:val="042D42B2"/>
    <w:rsid w:val="044FA0C6"/>
    <w:rsid w:val="04510CC6"/>
    <w:rsid w:val="045B1370"/>
    <w:rsid w:val="045C33BA"/>
    <w:rsid w:val="0462BC82"/>
    <w:rsid w:val="04676B72"/>
    <w:rsid w:val="04727D66"/>
    <w:rsid w:val="0472F022"/>
    <w:rsid w:val="047F23C3"/>
    <w:rsid w:val="049415BC"/>
    <w:rsid w:val="04A17D00"/>
    <w:rsid w:val="04A2A3C5"/>
    <w:rsid w:val="04A322FC"/>
    <w:rsid w:val="04CD0C9B"/>
    <w:rsid w:val="04D3B859"/>
    <w:rsid w:val="04E9D911"/>
    <w:rsid w:val="04F1B711"/>
    <w:rsid w:val="050F23E9"/>
    <w:rsid w:val="05218F24"/>
    <w:rsid w:val="05219DF5"/>
    <w:rsid w:val="053F554C"/>
    <w:rsid w:val="0542A1F9"/>
    <w:rsid w:val="054799FD"/>
    <w:rsid w:val="055AF0DB"/>
    <w:rsid w:val="058DFF2E"/>
    <w:rsid w:val="05A01564"/>
    <w:rsid w:val="05BDAFCA"/>
    <w:rsid w:val="05BFCD87"/>
    <w:rsid w:val="05C61B30"/>
    <w:rsid w:val="05CA6769"/>
    <w:rsid w:val="05CCCAE2"/>
    <w:rsid w:val="05CDF18E"/>
    <w:rsid w:val="05D9A963"/>
    <w:rsid w:val="05ED8360"/>
    <w:rsid w:val="05F57960"/>
    <w:rsid w:val="061A356F"/>
    <w:rsid w:val="061B189F"/>
    <w:rsid w:val="062445B8"/>
    <w:rsid w:val="063C3A79"/>
    <w:rsid w:val="06514DB7"/>
    <w:rsid w:val="06531C20"/>
    <w:rsid w:val="0665D186"/>
    <w:rsid w:val="069FBBC5"/>
    <w:rsid w:val="06A47366"/>
    <w:rsid w:val="06ADF814"/>
    <w:rsid w:val="06AF2B08"/>
    <w:rsid w:val="06B0D513"/>
    <w:rsid w:val="06B1B49F"/>
    <w:rsid w:val="06B6208C"/>
    <w:rsid w:val="06BDE48A"/>
    <w:rsid w:val="06CF91A2"/>
    <w:rsid w:val="06D77915"/>
    <w:rsid w:val="06FAD3BA"/>
    <w:rsid w:val="0714C6A5"/>
    <w:rsid w:val="07215142"/>
    <w:rsid w:val="072182CB"/>
    <w:rsid w:val="0722B43B"/>
    <w:rsid w:val="07248D44"/>
    <w:rsid w:val="0741FF8E"/>
    <w:rsid w:val="0788FC7D"/>
    <w:rsid w:val="078D72D5"/>
    <w:rsid w:val="07972CFC"/>
    <w:rsid w:val="07984723"/>
    <w:rsid w:val="07ABB45A"/>
    <w:rsid w:val="07C36F45"/>
    <w:rsid w:val="07C3AFA3"/>
    <w:rsid w:val="07DA574A"/>
    <w:rsid w:val="07E5CDA8"/>
    <w:rsid w:val="07F84559"/>
    <w:rsid w:val="08047E35"/>
    <w:rsid w:val="0806CE2D"/>
    <w:rsid w:val="081226BC"/>
    <w:rsid w:val="08139FAF"/>
    <w:rsid w:val="081D1595"/>
    <w:rsid w:val="08366384"/>
    <w:rsid w:val="08412BD0"/>
    <w:rsid w:val="08602DEF"/>
    <w:rsid w:val="0879ADE4"/>
    <w:rsid w:val="087C73AE"/>
    <w:rsid w:val="08BA2575"/>
    <w:rsid w:val="08CC84E4"/>
    <w:rsid w:val="08D9A718"/>
    <w:rsid w:val="08EEAF97"/>
    <w:rsid w:val="090F7E6A"/>
    <w:rsid w:val="09115658"/>
    <w:rsid w:val="0914F4BB"/>
    <w:rsid w:val="09268163"/>
    <w:rsid w:val="0963DE08"/>
    <w:rsid w:val="096660FF"/>
    <w:rsid w:val="0967D858"/>
    <w:rsid w:val="096E6AF4"/>
    <w:rsid w:val="097FF6A7"/>
    <w:rsid w:val="09822904"/>
    <w:rsid w:val="09ACC108"/>
    <w:rsid w:val="09B6E5A2"/>
    <w:rsid w:val="09B80A9A"/>
    <w:rsid w:val="09CBC927"/>
    <w:rsid w:val="09CFD28B"/>
    <w:rsid w:val="09CFDE4F"/>
    <w:rsid w:val="09E01292"/>
    <w:rsid w:val="09FEA52A"/>
    <w:rsid w:val="0A09BAE7"/>
    <w:rsid w:val="0A1B3617"/>
    <w:rsid w:val="0A37B32C"/>
    <w:rsid w:val="0A3B1532"/>
    <w:rsid w:val="0A45C8A4"/>
    <w:rsid w:val="0A587E9D"/>
    <w:rsid w:val="0A5F6EA2"/>
    <w:rsid w:val="0A62C926"/>
    <w:rsid w:val="0A67FD50"/>
    <w:rsid w:val="0A6BD7A5"/>
    <w:rsid w:val="0A74B359"/>
    <w:rsid w:val="0A7D375C"/>
    <w:rsid w:val="0A82B84D"/>
    <w:rsid w:val="0A97CDBE"/>
    <w:rsid w:val="0A9FAB96"/>
    <w:rsid w:val="0AA38E64"/>
    <w:rsid w:val="0AA5D65F"/>
    <w:rsid w:val="0AB68C56"/>
    <w:rsid w:val="0AC41CE7"/>
    <w:rsid w:val="0AC45D0A"/>
    <w:rsid w:val="0AD474C7"/>
    <w:rsid w:val="0AE7211C"/>
    <w:rsid w:val="0AE7A60A"/>
    <w:rsid w:val="0AF73708"/>
    <w:rsid w:val="0B0D01F3"/>
    <w:rsid w:val="0B265099"/>
    <w:rsid w:val="0B26A863"/>
    <w:rsid w:val="0B2966B3"/>
    <w:rsid w:val="0B45525C"/>
    <w:rsid w:val="0B463F43"/>
    <w:rsid w:val="0B4E40BD"/>
    <w:rsid w:val="0B52B9D0"/>
    <w:rsid w:val="0B550256"/>
    <w:rsid w:val="0B6B3115"/>
    <w:rsid w:val="0B776BB9"/>
    <w:rsid w:val="0B819BEF"/>
    <w:rsid w:val="0B8A40B5"/>
    <w:rsid w:val="0B8E6355"/>
    <w:rsid w:val="0BA4AE1C"/>
    <w:rsid w:val="0BADDC37"/>
    <w:rsid w:val="0BB486ED"/>
    <w:rsid w:val="0BB5AE10"/>
    <w:rsid w:val="0BB9E2CC"/>
    <w:rsid w:val="0BD6F34F"/>
    <w:rsid w:val="0BE4DDD1"/>
    <w:rsid w:val="0BEF84BA"/>
    <w:rsid w:val="0C018C1F"/>
    <w:rsid w:val="0C17F113"/>
    <w:rsid w:val="0C24BCC2"/>
    <w:rsid w:val="0C42720E"/>
    <w:rsid w:val="0C467773"/>
    <w:rsid w:val="0C57E0BD"/>
    <w:rsid w:val="0C598066"/>
    <w:rsid w:val="0C6275E1"/>
    <w:rsid w:val="0C7004D6"/>
    <w:rsid w:val="0C7FE640"/>
    <w:rsid w:val="0C84EFF7"/>
    <w:rsid w:val="0C86AFCB"/>
    <w:rsid w:val="0C8C4377"/>
    <w:rsid w:val="0C8EE0AF"/>
    <w:rsid w:val="0C971B73"/>
    <w:rsid w:val="0C9A7357"/>
    <w:rsid w:val="0CA0BB1A"/>
    <w:rsid w:val="0CCAD37A"/>
    <w:rsid w:val="0CD39579"/>
    <w:rsid w:val="0CDAE454"/>
    <w:rsid w:val="0CDB298A"/>
    <w:rsid w:val="0CDEDF16"/>
    <w:rsid w:val="0CE5E23E"/>
    <w:rsid w:val="0CE8CEEC"/>
    <w:rsid w:val="0CF1A1DB"/>
    <w:rsid w:val="0CFC575C"/>
    <w:rsid w:val="0D0690F0"/>
    <w:rsid w:val="0D0B768A"/>
    <w:rsid w:val="0D15E6C0"/>
    <w:rsid w:val="0D16267F"/>
    <w:rsid w:val="0D45A4FB"/>
    <w:rsid w:val="0D49DE87"/>
    <w:rsid w:val="0D4C290A"/>
    <w:rsid w:val="0D529BB6"/>
    <w:rsid w:val="0D5D5DBF"/>
    <w:rsid w:val="0D60798F"/>
    <w:rsid w:val="0D77C580"/>
    <w:rsid w:val="0D7DB6F3"/>
    <w:rsid w:val="0D807CC6"/>
    <w:rsid w:val="0D8DA0E1"/>
    <w:rsid w:val="0D977982"/>
    <w:rsid w:val="0D9BE361"/>
    <w:rsid w:val="0DBD47E7"/>
    <w:rsid w:val="0DC657D4"/>
    <w:rsid w:val="0DC6D58B"/>
    <w:rsid w:val="0DD248D1"/>
    <w:rsid w:val="0DD5CE02"/>
    <w:rsid w:val="0DDD25A2"/>
    <w:rsid w:val="0DE6DD2D"/>
    <w:rsid w:val="0E05BA05"/>
    <w:rsid w:val="0E0D8B39"/>
    <w:rsid w:val="0E16E588"/>
    <w:rsid w:val="0E1BED75"/>
    <w:rsid w:val="0E1C5AE6"/>
    <w:rsid w:val="0E1E12A1"/>
    <w:rsid w:val="0E1EF5D3"/>
    <w:rsid w:val="0E20CB4C"/>
    <w:rsid w:val="0E4025F9"/>
    <w:rsid w:val="0E408021"/>
    <w:rsid w:val="0E4C4DD3"/>
    <w:rsid w:val="0E573310"/>
    <w:rsid w:val="0E61C5A7"/>
    <w:rsid w:val="0E829433"/>
    <w:rsid w:val="0E83702E"/>
    <w:rsid w:val="0E995B32"/>
    <w:rsid w:val="0EA25FE3"/>
    <w:rsid w:val="0EAD7220"/>
    <w:rsid w:val="0EAFC0AC"/>
    <w:rsid w:val="0EBEB021"/>
    <w:rsid w:val="0ECE7071"/>
    <w:rsid w:val="0EDA3F48"/>
    <w:rsid w:val="0EE41C76"/>
    <w:rsid w:val="0EEA381A"/>
    <w:rsid w:val="0EF25014"/>
    <w:rsid w:val="0EF728A9"/>
    <w:rsid w:val="0F2ED591"/>
    <w:rsid w:val="0F35D6CD"/>
    <w:rsid w:val="0F4B4995"/>
    <w:rsid w:val="0F5F5899"/>
    <w:rsid w:val="0F68BF1E"/>
    <w:rsid w:val="0F792EEA"/>
    <w:rsid w:val="0F9F4A6D"/>
    <w:rsid w:val="0FC647C9"/>
    <w:rsid w:val="0FC8A970"/>
    <w:rsid w:val="0FDAA221"/>
    <w:rsid w:val="0FE08F79"/>
    <w:rsid w:val="0FE1CC5E"/>
    <w:rsid w:val="0FFA1EDF"/>
    <w:rsid w:val="10143AC2"/>
    <w:rsid w:val="10169794"/>
    <w:rsid w:val="1017928E"/>
    <w:rsid w:val="101A9B56"/>
    <w:rsid w:val="1022EF5B"/>
    <w:rsid w:val="1026BB3A"/>
    <w:rsid w:val="10332878"/>
    <w:rsid w:val="1039675D"/>
    <w:rsid w:val="10545477"/>
    <w:rsid w:val="1061AA99"/>
    <w:rsid w:val="10689378"/>
    <w:rsid w:val="106BB5ED"/>
    <w:rsid w:val="106F773D"/>
    <w:rsid w:val="1078CF99"/>
    <w:rsid w:val="10A0D9E2"/>
    <w:rsid w:val="10AA497D"/>
    <w:rsid w:val="10C82E60"/>
    <w:rsid w:val="10DDF033"/>
    <w:rsid w:val="10EDBAFE"/>
    <w:rsid w:val="110556DE"/>
    <w:rsid w:val="111CCCFA"/>
    <w:rsid w:val="112623A0"/>
    <w:rsid w:val="112929EB"/>
    <w:rsid w:val="112F35D3"/>
    <w:rsid w:val="1163DD36"/>
    <w:rsid w:val="116ADC50"/>
    <w:rsid w:val="116C1634"/>
    <w:rsid w:val="116EE5B1"/>
    <w:rsid w:val="11704879"/>
    <w:rsid w:val="11A80F46"/>
    <w:rsid w:val="11BFEA1A"/>
    <w:rsid w:val="11C3531D"/>
    <w:rsid w:val="11E0293E"/>
    <w:rsid w:val="11EA7E38"/>
    <w:rsid w:val="11F167FB"/>
    <w:rsid w:val="12063E7E"/>
    <w:rsid w:val="120C3B04"/>
    <w:rsid w:val="120E4236"/>
    <w:rsid w:val="121284D0"/>
    <w:rsid w:val="12128578"/>
    <w:rsid w:val="1217DD33"/>
    <w:rsid w:val="121843F5"/>
    <w:rsid w:val="1256DF8F"/>
    <w:rsid w:val="125E84FB"/>
    <w:rsid w:val="126CDC45"/>
    <w:rsid w:val="126EEAA7"/>
    <w:rsid w:val="128015A8"/>
    <w:rsid w:val="1282072E"/>
    <w:rsid w:val="128F66A2"/>
    <w:rsid w:val="129277A5"/>
    <w:rsid w:val="12A295B4"/>
    <w:rsid w:val="12ADDFB0"/>
    <w:rsid w:val="12CA020E"/>
    <w:rsid w:val="12D3E699"/>
    <w:rsid w:val="12E4BC6D"/>
    <w:rsid w:val="12F5C8EC"/>
    <w:rsid w:val="12FEDBF5"/>
    <w:rsid w:val="1307AC60"/>
    <w:rsid w:val="130EBF17"/>
    <w:rsid w:val="1311D110"/>
    <w:rsid w:val="1322C5A0"/>
    <w:rsid w:val="13267190"/>
    <w:rsid w:val="13306E5E"/>
    <w:rsid w:val="1337E7C8"/>
    <w:rsid w:val="133A0168"/>
    <w:rsid w:val="133AB9EB"/>
    <w:rsid w:val="133AEA2E"/>
    <w:rsid w:val="134D54D3"/>
    <w:rsid w:val="135499DF"/>
    <w:rsid w:val="13568D32"/>
    <w:rsid w:val="13591DCF"/>
    <w:rsid w:val="13696CD3"/>
    <w:rsid w:val="136EC1D9"/>
    <w:rsid w:val="137D7D06"/>
    <w:rsid w:val="1380F0F1"/>
    <w:rsid w:val="138561CC"/>
    <w:rsid w:val="138B65AE"/>
    <w:rsid w:val="13A4EB69"/>
    <w:rsid w:val="13A80FD8"/>
    <w:rsid w:val="13ABA0F9"/>
    <w:rsid w:val="13B73C77"/>
    <w:rsid w:val="13C144C7"/>
    <w:rsid w:val="13CC6236"/>
    <w:rsid w:val="13DD9BAF"/>
    <w:rsid w:val="13EE9A56"/>
    <w:rsid w:val="13FCEFCD"/>
    <w:rsid w:val="14144C33"/>
    <w:rsid w:val="144AEFF8"/>
    <w:rsid w:val="14620D0B"/>
    <w:rsid w:val="14906C4B"/>
    <w:rsid w:val="14A7FD08"/>
    <w:rsid w:val="14A91A03"/>
    <w:rsid w:val="14B3D0F3"/>
    <w:rsid w:val="14B5C90C"/>
    <w:rsid w:val="14BCC69E"/>
    <w:rsid w:val="14BD92EE"/>
    <w:rsid w:val="14C81F84"/>
    <w:rsid w:val="14E2F777"/>
    <w:rsid w:val="14E9419A"/>
    <w:rsid w:val="14ECCCB9"/>
    <w:rsid w:val="14EE3D2F"/>
    <w:rsid w:val="14FF4C0C"/>
    <w:rsid w:val="15039EEA"/>
    <w:rsid w:val="15046695"/>
    <w:rsid w:val="151373CA"/>
    <w:rsid w:val="15162315"/>
    <w:rsid w:val="152FD5AC"/>
    <w:rsid w:val="153DA5F5"/>
    <w:rsid w:val="1558918F"/>
    <w:rsid w:val="1565C4BC"/>
    <w:rsid w:val="15712179"/>
    <w:rsid w:val="1579DCAD"/>
    <w:rsid w:val="157A8930"/>
    <w:rsid w:val="157C5991"/>
    <w:rsid w:val="157DE1F1"/>
    <w:rsid w:val="157EC25B"/>
    <w:rsid w:val="159475A5"/>
    <w:rsid w:val="1599F615"/>
    <w:rsid w:val="15B921FD"/>
    <w:rsid w:val="1606CB00"/>
    <w:rsid w:val="161991DE"/>
    <w:rsid w:val="161B6024"/>
    <w:rsid w:val="161E6FB5"/>
    <w:rsid w:val="16302E37"/>
    <w:rsid w:val="163191B7"/>
    <w:rsid w:val="1642E478"/>
    <w:rsid w:val="165873E3"/>
    <w:rsid w:val="1667FA0E"/>
    <w:rsid w:val="167050B8"/>
    <w:rsid w:val="1676AD6F"/>
    <w:rsid w:val="1694F9AF"/>
    <w:rsid w:val="16956C47"/>
    <w:rsid w:val="16B658A1"/>
    <w:rsid w:val="16D5E6D0"/>
    <w:rsid w:val="16E9B44B"/>
    <w:rsid w:val="16F5BA7F"/>
    <w:rsid w:val="16FA952E"/>
    <w:rsid w:val="170A6EE5"/>
    <w:rsid w:val="170EE82F"/>
    <w:rsid w:val="1718F59E"/>
    <w:rsid w:val="172261B0"/>
    <w:rsid w:val="1723E395"/>
    <w:rsid w:val="1734A27A"/>
    <w:rsid w:val="174957B7"/>
    <w:rsid w:val="174B24A0"/>
    <w:rsid w:val="175FDBF8"/>
    <w:rsid w:val="1760A5FB"/>
    <w:rsid w:val="17696A05"/>
    <w:rsid w:val="1769DB35"/>
    <w:rsid w:val="176A1290"/>
    <w:rsid w:val="177AF549"/>
    <w:rsid w:val="177DEE8C"/>
    <w:rsid w:val="177EF5FB"/>
    <w:rsid w:val="178AD5ED"/>
    <w:rsid w:val="17971AC3"/>
    <w:rsid w:val="1798387A"/>
    <w:rsid w:val="17A1FB1F"/>
    <w:rsid w:val="17A5CDAE"/>
    <w:rsid w:val="17A6D75C"/>
    <w:rsid w:val="17A8817C"/>
    <w:rsid w:val="17AC2ED4"/>
    <w:rsid w:val="17C2FA49"/>
    <w:rsid w:val="17C94DB2"/>
    <w:rsid w:val="17E4549F"/>
    <w:rsid w:val="17EB0232"/>
    <w:rsid w:val="17F8415A"/>
    <w:rsid w:val="17FD1CFB"/>
    <w:rsid w:val="17FF6304"/>
    <w:rsid w:val="180C413D"/>
    <w:rsid w:val="18127190"/>
    <w:rsid w:val="18170599"/>
    <w:rsid w:val="181B3FDE"/>
    <w:rsid w:val="183DF9B6"/>
    <w:rsid w:val="186AF5D2"/>
    <w:rsid w:val="187A532E"/>
    <w:rsid w:val="187BCB5D"/>
    <w:rsid w:val="18D5A1F7"/>
    <w:rsid w:val="18DE491B"/>
    <w:rsid w:val="1900869B"/>
    <w:rsid w:val="1903199A"/>
    <w:rsid w:val="191C01FD"/>
    <w:rsid w:val="191F107D"/>
    <w:rsid w:val="19376704"/>
    <w:rsid w:val="19392DC1"/>
    <w:rsid w:val="193E7EDC"/>
    <w:rsid w:val="194A850F"/>
    <w:rsid w:val="19506A52"/>
    <w:rsid w:val="195EB853"/>
    <w:rsid w:val="195FCF97"/>
    <w:rsid w:val="196AECE5"/>
    <w:rsid w:val="1979E9E8"/>
    <w:rsid w:val="1983E336"/>
    <w:rsid w:val="19844DD6"/>
    <w:rsid w:val="1985D8AC"/>
    <w:rsid w:val="198824FE"/>
    <w:rsid w:val="19906CFC"/>
    <w:rsid w:val="19BAFAF3"/>
    <w:rsid w:val="19BC17F5"/>
    <w:rsid w:val="19C2183A"/>
    <w:rsid w:val="19D210E1"/>
    <w:rsid w:val="19EC1E04"/>
    <w:rsid w:val="19FB9514"/>
    <w:rsid w:val="1A044C83"/>
    <w:rsid w:val="1A090B42"/>
    <w:rsid w:val="1A10D69D"/>
    <w:rsid w:val="1A117BED"/>
    <w:rsid w:val="1A2F3416"/>
    <w:rsid w:val="1A2FC29B"/>
    <w:rsid w:val="1A30C0BE"/>
    <w:rsid w:val="1A3A2F3E"/>
    <w:rsid w:val="1A455F73"/>
    <w:rsid w:val="1A5A4231"/>
    <w:rsid w:val="1A7516F5"/>
    <w:rsid w:val="1A87AD97"/>
    <w:rsid w:val="1AA720CD"/>
    <w:rsid w:val="1AA9A7AA"/>
    <w:rsid w:val="1AB2B0C3"/>
    <w:rsid w:val="1AB40F41"/>
    <w:rsid w:val="1AB72E1C"/>
    <w:rsid w:val="1AB9615D"/>
    <w:rsid w:val="1AC4AE5C"/>
    <w:rsid w:val="1ACF3F1D"/>
    <w:rsid w:val="1ADD682A"/>
    <w:rsid w:val="1AE74A7F"/>
    <w:rsid w:val="1AEF3774"/>
    <w:rsid w:val="1AF587B3"/>
    <w:rsid w:val="1B02AA21"/>
    <w:rsid w:val="1B091151"/>
    <w:rsid w:val="1B15A001"/>
    <w:rsid w:val="1B1CDCB4"/>
    <w:rsid w:val="1B2390E5"/>
    <w:rsid w:val="1B2BBF6B"/>
    <w:rsid w:val="1B302360"/>
    <w:rsid w:val="1B358B11"/>
    <w:rsid w:val="1B5381DB"/>
    <w:rsid w:val="1B584B37"/>
    <w:rsid w:val="1B5FFFF6"/>
    <w:rsid w:val="1B64F902"/>
    <w:rsid w:val="1B667AA2"/>
    <w:rsid w:val="1B8551D5"/>
    <w:rsid w:val="1B8AC4BF"/>
    <w:rsid w:val="1B8B2238"/>
    <w:rsid w:val="1B8B644A"/>
    <w:rsid w:val="1B985F28"/>
    <w:rsid w:val="1BB347EB"/>
    <w:rsid w:val="1BB7077B"/>
    <w:rsid w:val="1BC54007"/>
    <w:rsid w:val="1BD3AE18"/>
    <w:rsid w:val="1BDDA734"/>
    <w:rsid w:val="1BE0B218"/>
    <w:rsid w:val="1BF260E9"/>
    <w:rsid w:val="1C009426"/>
    <w:rsid w:val="1C05F9D9"/>
    <w:rsid w:val="1C0ADEC0"/>
    <w:rsid w:val="1C10D982"/>
    <w:rsid w:val="1C11CB91"/>
    <w:rsid w:val="1C4F4EE8"/>
    <w:rsid w:val="1C5022B1"/>
    <w:rsid w:val="1C5B5D1A"/>
    <w:rsid w:val="1C743AFF"/>
    <w:rsid w:val="1C8CF93C"/>
    <w:rsid w:val="1CA5E138"/>
    <w:rsid w:val="1CBA1326"/>
    <w:rsid w:val="1CC083BC"/>
    <w:rsid w:val="1CD28752"/>
    <w:rsid w:val="1CE4F27E"/>
    <w:rsid w:val="1CF3328E"/>
    <w:rsid w:val="1CF72663"/>
    <w:rsid w:val="1D00CE62"/>
    <w:rsid w:val="1D1CEE38"/>
    <w:rsid w:val="1D1FF303"/>
    <w:rsid w:val="1D26626B"/>
    <w:rsid w:val="1D405D02"/>
    <w:rsid w:val="1D47B0D2"/>
    <w:rsid w:val="1D48E8AD"/>
    <w:rsid w:val="1D5C52D0"/>
    <w:rsid w:val="1D64CF15"/>
    <w:rsid w:val="1D6BDD18"/>
    <w:rsid w:val="1D73C869"/>
    <w:rsid w:val="1D8E70A2"/>
    <w:rsid w:val="1D9666F7"/>
    <w:rsid w:val="1DA2E7B3"/>
    <w:rsid w:val="1DAE0C09"/>
    <w:rsid w:val="1DAF6697"/>
    <w:rsid w:val="1DD219BC"/>
    <w:rsid w:val="1DD95CB1"/>
    <w:rsid w:val="1DE41035"/>
    <w:rsid w:val="1DF567B6"/>
    <w:rsid w:val="1E138785"/>
    <w:rsid w:val="1E40DF24"/>
    <w:rsid w:val="1E5A3217"/>
    <w:rsid w:val="1E607A35"/>
    <w:rsid w:val="1E7A31C2"/>
    <w:rsid w:val="1E8EA9DB"/>
    <w:rsid w:val="1E929EF0"/>
    <w:rsid w:val="1EA12C26"/>
    <w:rsid w:val="1EA5A42C"/>
    <w:rsid w:val="1EB9C385"/>
    <w:rsid w:val="1EC60AA0"/>
    <w:rsid w:val="1ECD818D"/>
    <w:rsid w:val="1ECEBEC8"/>
    <w:rsid w:val="1EDA20FC"/>
    <w:rsid w:val="1EF37151"/>
    <w:rsid w:val="1EF929D9"/>
    <w:rsid w:val="1EFAB15A"/>
    <w:rsid w:val="1EFF2D83"/>
    <w:rsid w:val="1F009775"/>
    <w:rsid w:val="1F180C98"/>
    <w:rsid w:val="1F369686"/>
    <w:rsid w:val="1F37E17D"/>
    <w:rsid w:val="1F3BAD7D"/>
    <w:rsid w:val="1F42CA35"/>
    <w:rsid w:val="1F4F0BD6"/>
    <w:rsid w:val="1F648CC3"/>
    <w:rsid w:val="1F6DA6E6"/>
    <w:rsid w:val="1F75C066"/>
    <w:rsid w:val="1F7D3D13"/>
    <w:rsid w:val="1F7FA52F"/>
    <w:rsid w:val="1FC2A496"/>
    <w:rsid w:val="1FC9937E"/>
    <w:rsid w:val="1FF6F4B9"/>
    <w:rsid w:val="1FFF66C0"/>
    <w:rsid w:val="2004416F"/>
    <w:rsid w:val="200B2072"/>
    <w:rsid w:val="202D8CDB"/>
    <w:rsid w:val="203355F0"/>
    <w:rsid w:val="203952BA"/>
    <w:rsid w:val="2042A258"/>
    <w:rsid w:val="2042C337"/>
    <w:rsid w:val="2070E304"/>
    <w:rsid w:val="207460AD"/>
    <w:rsid w:val="20822F20"/>
    <w:rsid w:val="2088000A"/>
    <w:rsid w:val="208BF7FE"/>
    <w:rsid w:val="2091B666"/>
    <w:rsid w:val="20A39AF0"/>
    <w:rsid w:val="20AA7048"/>
    <w:rsid w:val="20C9704C"/>
    <w:rsid w:val="20D158BA"/>
    <w:rsid w:val="20DAE330"/>
    <w:rsid w:val="20DAE953"/>
    <w:rsid w:val="20EC067A"/>
    <w:rsid w:val="20FF9F18"/>
    <w:rsid w:val="210462B6"/>
    <w:rsid w:val="2105C029"/>
    <w:rsid w:val="2110C581"/>
    <w:rsid w:val="2117EAF2"/>
    <w:rsid w:val="212A559D"/>
    <w:rsid w:val="2136E54A"/>
    <w:rsid w:val="21547583"/>
    <w:rsid w:val="2156784F"/>
    <w:rsid w:val="21584A3F"/>
    <w:rsid w:val="21609552"/>
    <w:rsid w:val="216AE8FF"/>
    <w:rsid w:val="2178D502"/>
    <w:rsid w:val="217D7ECE"/>
    <w:rsid w:val="2181E670"/>
    <w:rsid w:val="2186675D"/>
    <w:rsid w:val="218C7AD8"/>
    <w:rsid w:val="21BE3D11"/>
    <w:rsid w:val="21BFEB73"/>
    <w:rsid w:val="21E32EBA"/>
    <w:rsid w:val="21E5D7AF"/>
    <w:rsid w:val="220C796A"/>
    <w:rsid w:val="22105E3E"/>
    <w:rsid w:val="22146E4A"/>
    <w:rsid w:val="22336D7F"/>
    <w:rsid w:val="224299ED"/>
    <w:rsid w:val="226D67E2"/>
    <w:rsid w:val="22702F86"/>
    <w:rsid w:val="22762A0A"/>
    <w:rsid w:val="2278501B"/>
    <w:rsid w:val="22793D85"/>
    <w:rsid w:val="228ABE5B"/>
    <w:rsid w:val="2295FAD9"/>
    <w:rsid w:val="22980D40"/>
    <w:rsid w:val="2298D820"/>
    <w:rsid w:val="2299E09E"/>
    <w:rsid w:val="229CA1BD"/>
    <w:rsid w:val="22A36A97"/>
    <w:rsid w:val="22A82703"/>
    <w:rsid w:val="22B5F596"/>
    <w:rsid w:val="22BB1E4C"/>
    <w:rsid w:val="22CAEBFC"/>
    <w:rsid w:val="22D3CBCB"/>
    <w:rsid w:val="22DF2665"/>
    <w:rsid w:val="22E054B0"/>
    <w:rsid w:val="22E0FB33"/>
    <w:rsid w:val="22EA7EC5"/>
    <w:rsid w:val="22FD4019"/>
    <w:rsid w:val="2304971D"/>
    <w:rsid w:val="230640C1"/>
    <w:rsid w:val="2320D9DC"/>
    <w:rsid w:val="2327CC07"/>
    <w:rsid w:val="23372A29"/>
    <w:rsid w:val="236DDB70"/>
    <w:rsid w:val="2370020E"/>
    <w:rsid w:val="237E7D9E"/>
    <w:rsid w:val="2392E02F"/>
    <w:rsid w:val="239C1D58"/>
    <w:rsid w:val="239DD2B4"/>
    <w:rsid w:val="23A65E29"/>
    <w:rsid w:val="23AA4C8C"/>
    <w:rsid w:val="23BFEC05"/>
    <w:rsid w:val="23C03B40"/>
    <w:rsid w:val="23C52D60"/>
    <w:rsid w:val="23C5BFFE"/>
    <w:rsid w:val="23D689F0"/>
    <w:rsid w:val="23E128FB"/>
    <w:rsid w:val="23EB39AD"/>
    <w:rsid w:val="23F7248C"/>
    <w:rsid w:val="23FB5EA3"/>
    <w:rsid w:val="240BA024"/>
    <w:rsid w:val="2440E655"/>
    <w:rsid w:val="244DA7F6"/>
    <w:rsid w:val="2459FCC2"/>
    <w:rsid w:val="2468C449"/>
    <w:rsid w:val="2480201D"/>
    <w:rsid w:val="2483092C"/>
    <w:rsid w:val="249284BC"/>
    <w:rsid w:val="24A56AB7"/>
    <w:rsid w:val="24B412F4"/>
    <w:rsid w:val="24B73D19"/>
    <w:rsid w:val="24C9342A"/>
    <w:rsid w:val="24D0DDD1"/>
    <w:rsid w:val="24D757E4"/>
    <w:rsid w:val="24DE7C4D"/>
    <w:rsid w:val="24E8281C"/>
    <w:rsid w:val="24FD938F"/>
    <w:rsid w:val="251C5DBD"/>
    <w:rsid w:val="251DF839"/>
    <w:rsid w:val="25233B7E"/>
    <w:rsid w:val="25270481"/>
    <w:rsid w:val="252CDC00"/>
    <w:rsid w:val="252D3D30"/>
    <w:rsid w:val="253AA6BC"/>
    <w:rsid w:val="2547EAA9"/>
    <w:rsid w:val="254B7130"/>
    <w:rsid w:val="25516550"/>
    <w:rsid w:val="255956D9"/>
    <w:rsid w:val="256B10DA"/>
    <w:rsid w:val="258EC491"/>
    <w:rsid w:val="2594B935"/>
    <w:rsid w:val="259A979F"/>
    <w:rsid w:val="259E246F"/>
    <w:rsid w:val="259ED576"/>
    <w:rsid w:val="25A38E3D"/>
    <w:rsid w:val="25A7D24A"/>
    <w:rsid w:val="25BD0DF8"/>
    <w:rsid w:val="25DE9058"/>
    <w:rsid w:val="25EB7DEA"/>
    <w:rsid w:val="261B8248"/>
    <w:rsid w:val="262AB6F0"/>
    <w:rsid w:val="2637A808"/>
    <w:rsid w:val="263FE123"/>
    <w:rsid w:val="264A9A04"/>
    <w:rsid w:val="264EC2C3"/>
    <w:rsid w:val="2681FFC8"/>
    <w:rsid w:val="26883871"/>
    <w:rsid w:val="268B5B2E"/>
    <w:rsid w:val="268B8659"/>
    <w:rsid w:val="268FF755"/>
    <w:rsid w:val="26979F3C"/>
    <w:rsid w:val="26A05CB5"/>
    <w:rsid w:val="26D2720C"/>
    <w:rsid w:val="26DA9D91"/>
    <w:rsid w:val="26E07EF3"/>
    <w:rsid w:val="26F17427"/>
    <w:rsid w:val="26F2F2F6"/>
    <w:rsid w:val="26FA4CCB"/>
    <w:rsid w:val="27044910"/>
    <w:rsid w:val="270C7090"/>
    <w:rsid w:val="271401EF"/>
    <w:rsid w:val="2726A678"/>
    <w:rsid w:val="272849D1"/>
    <w:rsid w:val="273B3EAE"/>
    <w:rsid w:val="2742ECBD"/>
    <w:rsid w:val="274543E5"/>
    <w:rsid w:val="27499D8C"/>
    <w:rsid w:val="27520F9A"/>
    <w:rsid w:val="275481E4"/>
    <w:rsid w:val="27597109"/>
    <w:rsid w:val="275E4F4B"/>
    <w:rsid w:val="278EB121"/>
    <w:rsid w:val="27A25FA7"/>
    <w:rsid w:val="27A9A1E7"/>
    <w:rsid w:val="27AE74E2"/>
    <w:rsid w:val="27B6EFEE"/>
    <w:rsid w:val="27BD2EB0"/>
    <w:rsid w:val="27D4FC78"/>
    <w:rsid w:val="27DFAD93"/>
    <w:rsid w:val="27F312B0"/>
    <w:rsid w:val="28270584"/>
    <w:rsid w:val="28327BB8"/>
    <w:rsid w:val="28336CB0"/>
    <w:rsid w:val="2836BF2E"/>
    <w:rsid w:val="28387DEA"/>
    <w:rsid w:val="284A1F6C"/>
    <w:rsid w:val="2854E3AD"/>
    <w:rsid w:val="2855953A"/>
    <w:rsid w:val="2863766E"/>
    <w:rsid w:val="287DE186"/>
    <w:rsid w:val="288EC1F4"/>
    <w:rsid w:val="2891DFED"/>
    <w:rsid w:val="28967BA0"/>
    <w:rsid w:val="28C17C69"/>
    <w:rsid w:val="28C8F1C2"/>
    <w:rsid w:val="28D70DCA"/>
    <w:rsid w:val="28E6BFA2"/>
    <w:rsid w:val="28EFE0BE"/>
    <w:rsid w:val="28FAA734"/>
    <w:rsid w:val="28FEB59A"/>
    <w:rsid w:val="28FFAE89"/>
    <w:rsid w:val="29036CED"/>
    <w:rsid w:val="290D16D4"/>
    <w:rsid w:val="290ED764"/>
    <w:rsid w:val="29158F0F"/>
    <w:rsid w:val="291AF0B8"/>
    <w:rsid w:val="292B1D87"/>
    <w:rsid w:val="29565D0A"/>
    <w:rsid w:val="295B760F"/>
    <w:rsid w:val="296952A5"/>
    <w:rsid w:val="2979EA60"/>
    <w:rsid w:val="297EEE4E"/>
    <w:rsid w:val="29893C9D"/>
    <w:rsid w:val="29927D88"/>
    <w:rsid w:val="29A381E3"/>
    <w:rsid w:val="29A5877F"/>
    <w:rsid w:val="29A6A1CA"/>
    <w:rsid w:val="29A9D30F"/>
    <w:rsid w:val="29B09871"/>
    <w:rsid w:val="29B149F1"/>
    <w:rsid w:val="29CFB26C"/>
    <w:rsid w:val="29DD5833"/>
    <w:rsid w:val="29DEFB35"/>
    <w:rsid w:val="29E4318D"/>
    <w:rsid w:val="2A0585F7"/>
    <w:rsid w:val="2A101D11"/>
    <w:rsid w:val="2A11FF6E"/>
    <w:rsid w:val="2A1CF39D"/>
    <w:rsid w:val="2A46B49B"/>
    <w:rsid w:val="2A4EFAE2"/>
    <w:rsid w:val="2A534E02"/>
    <w:rsid w:val="2A6B4B53"/>
    <w:rsid w:val="2A7A6ACB"/>
    <w:rsid w:val="2A8D1618"/>
    <w:rsid w:val="2A8D3939"/>
    <w:rsid w:val="2A91EF18"/>
    <w:rsid w:val="2AA0B924"/>
    <w:rsid w:val="2AA674B5"/>
    <w:rsid w:val="2AAB0220"/>
    <w:rsid w:val="2AAB6ED4"/>
    <w:rsid w:val="2AB68A0F"/>
    <w:rsid w:val="2ABC61FA"/>
    <w:rsid w:val="2ABF5CF8"/>
    <w:rsid w:val="2ACAF67D"/>
    <w:rsid w:val="2ADA4A6C"/>
    <w:rsid w:val="2AE12C2C"/>
    <w:rsid w:val="2AE29FF0"/>
    <w:rsid w:val="2B0F955F"/>
    <w:rsid w:val="2B168CA2"/>
    <w:rsid w:val="2B194C7C"/>
    <w:rsid w:val="2B1E6487"/>
    <w:rsid w:val="2B238C9E"/>
    <w:rsid w:val="2B351C28"/>
    <w:rsid w:val="2B3CA7FC"/>
    <w:rsid w:val="2B45399B"/>
    <w:rsid w:val="2B5811B1"/>
    <w:rsid w:val="2B5C65E0"/>
    <w:rsid w:val="2B6559E1"/>
    <w:rsid w:val="2B892F82"/>
    <w:rsid w:val="2B8EA68F"/>
    <w:rsid w:val="2B97BC28"/>
    <w:rsid w:val="2B989B34"/>
    <w:rsid w:val="2BCBB2EF"/>
    <w:rsid w:val="2BCDC508"/>
    <w:rsid w:val="2BD300D1"/>
    <w:rsid w:val="2BDC0D33"/>
    <w:rsid w:val="2BEC593D"/>
    <w:rsid w:val="2BFE8007"/>
    <w:rsid w:val="2C05786D"/>
    <w:rsid w:val="2C10663A"/>
    <w:rsid w:val="2C1A2222"/>
    <w:rsid w:val="2C451F3A"/>
    <w:rsid w:val="2C50B132"/>
    <w:rsid w:val="2C60BF37"/>
    <w:rsid w:val="2C91961A"/>
    <w:rsid w:val="2C93FC87"/>
    <w:rsid w:val="2C9588AB"/>
    <w:rsid w:val="2CA0D6EE"/>
    <w:rsid w:val="2CAD2C5A"/>
    <w:rsid w:val="2CC8FB5C"/>
    <w:rsid w:val="2CDEB23D"/>
    <w:rsid w:val="2CDF5A81"/>
    <w:rsid w:val="2CEDAD21"/>
    <w:rsid w:val="2CEE0146"/>
    <w:rsid w:val="2CF32606"/>
    <w:rsid w:val="2CF82099"/>
    <w:rsid w:val="2D081A48"/>
    <w:rsid w:val="2D27D5D4"/>
    <w:rsid w:val="2D4DD838"/>
    <w:rsid w:val="2D5407AB"/>
    <w:rsid w:val="2D81F631"/>
    <w:rsid w:val="2D8E4EEF"/>
    <w:rsid w:val="2D9A284B"/>
    <w:rsid w:val="2DA7AA6C"/>
    <w:rsid w:val="2DAE1A23"/>
    <w:rsid w:val="2DB30D2F"/>
    <w:rsid w:val="2DC4D9FB"/>
    <w:rsid w:val="2DCA3932"/>
    <w:rsid w:val="2E218F63"/>
    <w:rsid w:val="2E2DB566"/>
    <w:rsid w:val="2E320612"/>
    <w:rsid w:val="2E32264F"/>
    <w:rsid w:val="2E466B14"/>
    <w:rsid w:val="2E5734E8"/>
    <w:rsid w:val="2E69E86E"/>
    <w:rsid w:val="2E6BF692"/>
    <w:rsid w:val="2E78FFAD"/>
    <w:rsid w:val="2E8DB74F"/>
    <w:rsid w:val="2E996FCB"/>
    <w:rsid w:val="2E9A7EC1"/>
    <w:rsid w:val="2EA00E2B"/>
    <w:rsid w:val="2EA9F339"/>
    <w:rsid w:val="2EB74359"/>
    <w:rsid w:val="2EC8D013"/>
    <w:rsid w:val="2EC955E8"/>
    <w:rsid w:val="2EDF9AEC"/>
    <w:rsid w:val="2EEB812A"/>
    <w:rsid w:val="2EF196D7"/>
    <w:rsid w:val="2F0CF572"/>
    <w:rsid w:val="2F240E73"/>
    <w:rsid w:val="2F262F0C"/>
    <w:rsid w:val="2F34A1DE"/>
    <w:rsid w:val="2F3BCD2C"/>
    <w:rsid w:val="2F47C841"/>
    <w:rsid w:val="2F6B0F0F"/>
    <w:rsid w:val="2F6C89BE"/>
    <w:rsid w:val="2F6F31BD"/>
    <w:rsid w:val="2FA5C721"/>
    <w:rsid w:val="2FA9E2FD"/>
    <w:rsid w:val="2FAC18FD"/>
    <w:rsid w:val="2FC9CD6E"/>
    <w:rsid w:val="2FDA8192"/>
    <w:rsid w:val="2FEC9F2D"/>
    <w:rsid w:val="2FF05973"/>
    <w:rsid w:val="2FF0FB19"/>
    <w:rsid w:val="301DCE0B"/>
    <w:rsid w:val="304F7009"/>
    <w:rsid w:val="30517BF0"/>
    <w:rsid w:val="305EF2C5"/>
    <w:rsid w:val="30830120"/>
    <w:rsid w:val="3091D610"/>
    <w:rsid w:val="3095BAC8"/>
    <w:rsid w:val="3099A646"/>
    <w:rsid w:val="30A1CE74"/>
    <w:rsid w:val="30A2609B"/>
    <w:rsid w:val="30AA776C"/>
    <w:rsid w:val="30AC494E"/>
    <w:rsid w:val="30B83330"/>
    <w:rsid w:val="30C38035"/>
    <w:rsid w:val="30CDF43C"/>
    <w:rsid w:val="30E90325"/>
    <w:rsid w:val="30F584F6"/>
    <w:rsid w:val="30FA20DF"/>
    <w:rsid w:val="310A0958"/>
    <w:rsid w:val="311AB2DD"/>
    <w:rsid w:val="3127CD9E"/>
    <w:rsid w:val="312E0459"/>
    <w:rsid w:val="313897B7"/>
    <w:rsid w:val="3152D4CE"/>
    <w:rsid w:val="31596308"/>
    <w:rsid w:val="316C19E4"/>
    <w:rsid w:val="316C7EE7"/>
    <w:rsid w:val="316D2E33"/>
    <w:rsid w:val="317381D4"/>
    <w:rsid w:val="317866EB"/>
    <w:rsid w:val="31AF791F"/>
    <w:rsid w:val="31BEA420"/>
    <w:rsid w:val="31CA76DC"/>
    <w:rsid w:val="31D6E282"/>
    <w:rsid w:val="31E02851"/>
    <w:rsid w:val="31EC9721"/>
    <w:rsid w:val="31F81702"/>
    <w:rsid w:val="32155C24"/>
    <w:rsid w:val="321989E5"/>
    <w:rsid w:val="322BFE78"/>
    <w:rsid w:val="3237578B"/>
    <w:rsid w:val="3250FE99"/>
    <w:rsid w:val="32571F02"/>
    <w:rsid w:val="32669655"/>
    <w:rsid w:val="3276FBFA"/>
    <w:rsid w:val="32925890"/>
    <w:rsid w:val="32970AC3"/>
    <w:rsid w:val="32A13085"/>
    <w:rsid w:val="32AAF469"/>
    <w:rsid w:val="32B176B8"/>
    <w:rsid w:val="32B9B29F"/>
    <w:rsid w:val="32BE610D"/>
    <w:rsid w:val="32C42543"/>
    <w:rsid w:val="32DB25B3"/>
    <w:rsid w:val="32DBFB33"/>
    <w:rsid w:val="32DE2445"/>
    <w:rsid w:val="32DE6236"/>
    <w:rsid w:val="32E0BC30"/>
    <w:rsid w:val="32E4C529"/>
    <w:rsid w:val="33038C8C"/>
    <w:rsid w:val="3306FD50"/>
    <w:rsid w:val="330C9BF5"/>
    <w:rsid w:val="33116EE0"/>
    <w:rsid w:val="3325993A"/>
    <w:rsid w:val="3327C906"/>
    <w:rsid w:val="332C2E5C"/>
    <w:rsid w:val="3363B2CB"/>
    <w:rsid w:val="336DC807"/>
    <w:rsid w:val="338029A1"/>
    <w:rsid w:val="33821B14"/>
    <w:rsid w:val="33866B6D"/>
    <w:rsid w:val="338C641A"/>
    <w:rsid w:val="33BBCE2B"/>
    <w:rsid w:val="33D885CA"/>
    <w:rsid w:val="33DDA31B"/>
    <w:rsid w:val="33EA3012"/>
    <w:rsid w:val="33EDB2B3"/>
    <w:rsid w:val="34045C2C"/>
    <w:rsid w:val="34227E76"/>
    <w:rsid w:val="342C719D"/>
    <w:rsid w:val="343641D2"/>
    <w:rsid w:val="343A71EB"/>
    <w:rsid w:val="343BB4D2"/>
    <w:rsid w:val="34443409"/>
    <w:rsid w:val="34468A19"/>
    <w:rsid w:val="3463B30C"/>
    <w:rsid w:val="34646ADD"/>
    <w:rsid w:val="346C5BDC"/>
    <w:rsid w:val="346C9224"/>
    <w:rsid w:val="346D5C06"/>
    <w:rsid w:val="347DED2B"/>
    <w:rsid w:val="34864A4A"/>
    <w:rsid w:val="348FE2CA"/>
    <w:rsid w:val="34A285DA"/>
    <w:rsid w:val="34AB836D"/>
    <w:rsid w:val="34B773FB"/>
    <w:rsid w:val="34BE2104"/>
    <w:rsid w:val="34DECD0F"/>
    <w:rsid w:val="34E2F938"/>
    <w:rsid w:val="34EC8DBD"/>
    <w:rsid w:val="34F781CB"/>
    <w:rsid w:val="34FFA408"/>
    <w:rsid w:val="35267B4E"/>
    <w:rsid w:val="35268A56"/>
    <w:rsid w:val="353C96C0"/>
    <w:rsid w:val="3541BDCE"/>
    <w:rsid w:val="35805CA4"/>
    <w:rsid w:val="358178A9"/>
    <w:rsid w:val="3585CEC7"/>
    <w:rsid w:val="358BA080"/>
    <w:rsid w:val="3594CEDF"/>
    <w:rsid w:val="35961AF7"/>
    <w:rsid w:val="359A1782"/>
    <w:rsid w:val="35A462AE"/>
    <w:rsid w:val="35BEE8ED"/>
    <w:rsid w:val="35D2C195"/>
    <w:rsid w:val="35E03360"/>
    <w:rsid w:val="35E81F60"/>
    <w:rsid w:val="35F22DDD"/>
    <w:rsid w:val="3619292C"/>
    <w:rsid w:val="361FD326"/>
    <w:rsid w:val="3622DDC5"/>
    <w:rsid w:val="362A9917"/>
    <w:rsid w:val="3630CB70"/>
    <w:rsid w:val="36423720"/>
    <w:rsid w:val="3643ED6E"/>
    <w:rsid w:val="364A6574"/>
    <w:rsid w:val="36649ECF"/>
    <w:rsid w:val="36696673"/>
    <w:rsid w:val="3676B6ED"/>
    <w:rsid w:val="368E2EF7"/>
    <w:rsid w:val="368E5585"/>
    <w:rsid w:val="36A7ACF1"/>
    <w:rsid w:val="36B6CBC6"/>
    <w:rsid w:val="36BF57EC"/>
    <w:rsid w:val="36EC432D"/>
    <w:rsid w:val="36EC5637"/>
    <w:rsid w:val="36EFA6BE"/>
    <w:rsid w:val="36F2B733"/>
    <w:rsid w:val="36FE0C3C"/>
    <w:rsid w:val="3700EE86"/>
    <w:rsid w:val="3704872C"/>
    <w:rsid w:val="37091AB3"/>
    <w:rsid w:val="370C4B83"/>
    <w:rsid w:val="370F77F6"/>
    <w:rsid w:val="37265CCC"/>
    <w:rsid w:val="372F1B9C"/>
    <w:rsid w:val="3739CDDB"/>
    <w:rsid w:val="37474103"/>
    <w:rsid w:val="3751807C"/>
    <w:rsid w:val="375D394B"/>
    <w:rsid w:val="376D7AF0"/>
    <w:rsid w:val="37728F9A"/>
    <w:rsid w:val="377776CB"/>
    <w:rsid w:val="377DE85C"/>
    <w:rsid w:val="377ECF41"/>
    <w:rsid w:val="37932A38"/>
    <w:rsid w:val="379DB608"/>
    <w:rsid w:val="37A127E4"/>
    <w:rsid w:val="37A32B6C"/>
    <w:rsid w:val="37B25446"/>
    <w:rsid w:val="37C60A74"/>
    <w:rsid w:val="37C67ED4"/>
    <w:rsid w:val="37CA4111"/>
    <w:rsid w:val="37CE78B4"/>
    <w:rsid w:val="37D7BE24"/>
    <w:rsid w:val="37E48B4F"/>
    <w:rsid w:val="37E6323C"/>
    <w:rsid w:val="37F6FC11"/>
    <w:rsid w:val="37FDFE0B"/>
    <w:rsid w:val="3804EA87"/>
    <w:rsid w:val="380C856C"/>
    <w:rsid w:val="380DB65E"/>
    <w:rsid w:val="381752E3"/>
    <w:rsid w:val="3838105D"/>
    <w:rsid w:val="38597F54"/>
    <w:rsid w:val="385AEA49"/>
    <w:rsid w:val="3868C0FB"/>
    <w:rsid w:val="3886571C"/>
    <w:rsid w:val="3897922E"/>
    <w:rsid w:val="389F39CC"/>
    <w:rsid w:val="38B3E1B9"/>
    <w:rsid w:val="38B7003B"/>
    <w:rsid w:val="38CAC0F9"/>
    <w:rsid w:val="38D242D9"/>
    <w:rsid w:val="38D41F38"/>
    <w:rsid w:val="38F358C9"/>
    <w:rsid w:val="38F5788A"/>
    <w:rsid w:val="38FDCDAF"/>
    <w:rsid w:val="39144299"/>
    <w:rsid w:val="392DEEC8"/>
    <w:rsid w:val="393B6AE6"/>
    <w:rsid w:val="394CAE9C"/>
    <w:rsid w:val="39751904"/>
    <w:rsid w:val="397F76F5"/>
    <w:rsid w:val="39B099C7"/>
    <w:rsid w:val="39C07D5B"/>
    <w:rsid w:val="39C2B756"/>
    <w:rsid w:val="39C2F83B"/>
    <w:rsid w:val="39C645E5"/>
    <w:rsid w:val="39D7C220"/>
    <w:rsid w:val="39FBC472"/>
    <w:rsid w:val="3A09B603"/>
    <w:rsid w:val="3A0B3659"/>
    <w:rsid w:val="3A0EA13D"/>
    <w:rsid w:val="3A2EE9DE"/>
    <w:rsid w:val="3A3027DD"/>
    <w:rsid w:val="3A37D1B4"/>
    <w:rsid w:val="3A488623"/>
    <w:rsid w:val="3A783C36"/>
    <w:rsid w:val="3A788EDA"/>
    <w:rsid w:val="3A887E8D"/>
    <w:rsid w:val="3A88D859"/>
    <w:rsid w:val="3A8D1716"/>
    <w:rsid w:val="3A8D3DE1"/>
    <w:rsid w:val="3A9867AF"/>
    <w:rsid w:val="3A9C472F"/>
    <w:rsid w:val="3A9E5BA0"/>
    <w:rsid w:val="3AA2E3DE"/>
    <w:rsid w:val="3AAB44A8"/>
    <w:rsid w:val="3AB9454D"/>
    <w:rsid w:val="3ACA4C20"/>
    <w:rsid w:val="3ACDF3CC"/>
    <w:rsid w:val="3AD0EAE3"/>
    <w:rsid w:val="3AD73C43"/>
    <w:rsid w:val="3ADCC1EA"/>
    <w:rsid w:val="3AEF942C"/>
    <w:rsid w:val="3AFC4A50"/>
    <w:rsid w:val="3B166EFA"/>
    <w:rsid w:val="3B1B9DE4"/>
    <w:rsid w:val="3B2A30A9"/>
    <w:rsid w:val="3B328968"/>
    <w:rsid w:val="3B39E68D"/>
    <w:rsid w:val="3B52BABA"/>
    <w:rsid w:val="3B73212A"/>
    <w:rsid w:val="3BA28ADA"/>
    <w:rsid w:val="3BA8B946"/>
    <w:rsid w:val="3BA991B4"/>
    <w:rsid w:val="3BBEB0F3"/>
    <w:rsid w:val="3BC220FA"/>
    <w:rsid w:val="3BE88210"/>
    <w:rsid w:val="3C14EA46"/>
    <w:rsid w:val="3C22F0B7"/>
    <w:rsid w:val="3C27D607"/>
    <w:rsid w:val="3C28E7CF"/>
    <w:rsid w:val="3C3A75C9"/>
    <w:rsid w:val="3C43C925"/>
    <w:rsid w:val="3C485806"/>
    <w:rsid w:val="3C54ED03"/>
    <w:rsid w:val="3C55388C"/>
    <w:rsid w:val="3C5E271A"/>
    <w:rsid w:val="3C77CF6C"/>
    <w:rsid w:val="3C7932A4"/>
    <w:rsid w:val="3C7CBF90"/>
    <w:rsid w:val="3C822CB9"/>
    <w:rsid w:val="3C8633B2"/>
    <w:rsid w:val="3C96754E"/>
    <w:rsid w:val="3C9E907A"/>
    <w:rsid w:val="3CB12B4C"/>
    <w:rsid w:val="3CB9878C"/>
    <w:rsid w:val="3CCEE02E"/>
    <w:rsid w:val="3CCFE831"/>
    <w:rsid w:val="3CD0311F"/>
    <w:rsid w:val="3CE8D2BA"/>
    <w:rsid w:val="3D2F4B9D"/>
    <w:rsid w:val="3D33202B"/>
    <w:rsid w:val="3D355115"/>
    <w:rsid w:val="3D4FA850"/>
    <w:rsid w:val="3D63AA21"/>
    <w:rsid w:val="3D713B18"/>
    <w:rsid w:val="3D729509"/>
    <w:rsid w:val="3D9E46C7"/>
    <w:rsid w:val="3DC58C87"/>
    <w:rsid w:val="3DE02584"/>
    <w:rsid w:val="3DEA66D3"/>
    <w:rsid w:val="3DF1CF20"/>
    <w:rsid w:val="3DF6DA75"/>
    <w:rsid w:val="3DFF5CAE"/>
    <w:rsid w:val="3E1149AA"/>
    <w:rsid w:val="3E115543"/>
    <w:rsid w:val="3E126B16"/>
    <w:rsid w:val="3E21FAFA"/>
    <w:rsid w:val="3E2416EC"/>
    <w:rsid w:val="3E258417"/>
    <w:rsid w:val="3E271537"/>
    <w:rsid w:val="3E2C4D83"/>
    <w:rsid w:val="3E317BB3"/>
    <w:rsid w:val="3E31C85F"/>
    <w:rsid w:val="3E366EBB"/>
    <w:rsid w:val="3E3A57B9"/>
    <w:rsid w:val="3E3FE7A2"/>
    <w:rsid w:val="3E46E100"/>
    <w:rsid w:val="3E50356B"/>
    <w:rsid w:val="3E591F23"/>
    <w:rsid w:val="3E631CAD"/>
    <w:rsid w:val="3E6CE07F"/>
    <w:rsid w:val="3E76C6EE"/>
    <w:rsid w:val="3E78CD7B"/>
    <w:rsid w:val="3E7C66E5"/>
    <w:rsid w:val="3E7DFF16"/>
    <w:rsid w:val="3E8D69C1"/>
    <w:rsid w:val="3EAAF5EB"/>
    <w:rsid w:val="3EB45967"/>
    <w:rsid w:val="3EB704B4"/>
    <w:rsid w:val="3EBC0D2C"/>
    <w:rsid w:val="3EC5C16F"/>
    <w:rsid w:val="3ECD922E"/>
    <w:rsid w:val="3ED2254F"/>
    <w:rsid w:val="3ED58E9F"/>
    <w:rsid w:val="3ED97804"/>
    <w:rsid w:val="3EDC1C2B"/>
    <w:rsid w:val="3EDFD82B"/>
    <w:rsid w:val="3EE614BC"/>
    <w:rsid w:val="3EED4A74"/>
    <w:rsid w:val="3EFBAE39"/>
    <w:rsid w:val="3EFFDF29"/>
    <w:rsid w:val="3EFFF098"/>
    <w:rsid w:val="3F040DAD"/>
    <w:rsid w:val="3F1BCC74"/>
    <w:rsid w:val="3F1D1035"/>
    <w:rsid w:val="3F1E00D4"/>
    <w:rsid w:val="3F253C3E"/>
    <w:rsid w:val="3F2A92F4"/>
    <w:rsid w:val="3F304942"/>
    <w:rsid w:val="3F3C4B0E"/>
    <w:rsid w:val="3F424662"/>
    <w:rsid w:val="3F51A9F7"/>
    <w:rsid w:val="3F521C27"/>
    <w:rsid w:val="3F613CBF"/>
    <w:rsid w:val="3F69118F"/>
    <w:rsid w:val="3F6D80DB"/>
    <w:rsid w:val="3F74EFD4"/>
    <w:rsid w:val="3F772961"/>
    <w:rsid w:val="3F951EDC"/>
    <w:rsid w:val="3FA2A0D5"/>
    <w:rsid w:val="3FBCA167"/>
    <w:rsid w:val="3FC3DB3C"/>
    <w:rsid w:val="3FF01C7F"/>
    <w:rsid w:val="3FF2ACCA"/>
    <w:rsid w:val="400B458E"/>
    <w:rsid w:val="401CCACD"/>
    <w:rsid w:val="40233506"/>
    <w:rsid w:val="403734EC"/>
    <w:rsid w:val="4037A065"/>
    <w:rsid w:val="4046016F"/>
    <w:rsid w:val="40623F9F"/>
    <w:rsid w:val="406D1DBA"/>
    <w:rsid w:val="406DE462"/>
    <w:rsid w:val="40727AC7"/>
    <w:rsid w:val="407A1D72"/>
    <w:rsid w:val="40862447"/>
    <w:rsid w:val="40A9E280"/>
    <w:rsid w:val="40C33DA7"/>
    <w:rsid w:val="40CFBE5D"/>
    <w:rsid w:val="40E19344"/>
    <w:rsid w:val="40EAC623"/>
    <w:rsid w:val="40FBAA89"/>
    <w:rsid w:val="410BA98D"/>
    <w:rsid w:val="4110DD1D"/>
    <w:rsid w:val="4118FE7F"/>
    <w:rsid w:val="411D430F"/>
    <w:rsid w:val="41292481"/>
    <w:rsid w:val="413A33FD"/>
    <w:rsid w:val="41485812"/>
    <w:rsid w:val="414F483B"/>
    <w:rsid w:val="416DAE33"/>
    <w:rsid w:val="4170F882"/>
    <w:rsid w:val="417A3FB4"/>
    <w:rsid w:val="417FE1DB"/>
    <w:rsid w:val="418243E2"/>
    <w:rsid w:val="4188C139"/>
    <w:rsid w:val="418E1470"/>
    <w:rsid w:val="418E6D89"/>
    <w:rsid w:val="41904975"/>
    <w:rsid w:val="4191D0A2"/>
    <w:rsid w:val="41A02007"/>
    <w:rsid w:val="41A3213D"/>
    <w:rsid w:val="41A51F8C"/>
    <w:rsid w:val="41A6FFCD"/>
    <w:rsid w:val="41B211F1"/>
    <w:rsid w:val="41BC2F7F"/>
    <w:rsid w:val="41BD281C"/>
    <w:rsid w:val="41CDB3B2"/>
    <w:rsid w:val="41D73235"/>
    <w:rsid w:val="41EF8F1A"/>
    <w:rsid w:val="41EF9AD7"/>
    <w:rsid w:val="41F91375"/>
    <w:rsid w:val="41F9CD9B"/>
    <w:rsid w:val="4207CC00"/>
    <w:rsid w:val="420C1596"/>
    <w:rsid w:val="420EE507"/>
    <w:rsid w:val="422F438B"/>
    <w:rsid w:val="42490DD3"/>
    <w:rsid w:val="425BB491"/>
    <w:rsid w:val="4289CFC2"/>
    <w:rsid w:val="428D63EB"/>
    <w:rsid w:val="42961686"/>
    <w:rsid w:val="4299F7AE"/>
    <w:rsid w:val="42B009F0"/>
    <w:rsid w:val="42B70004"/>
    <w:rsid w:val="42B99C3C"/>
    <w:rsid w:val="42C41B2A"/>
    <w:rsid w:val="42D367D4"/>
    <w:rsid w:val="42D3EB6C"/>
    <w:rsid w:val="42F3983C"/>
    <w:rsid w:val="4317F172"/>
    <w:rsid w:val="431CE1BA"/>
    <w:rsid w:val="4341B04F"/>
    <w:rsid w:val="43459AC3"/>
    <w:rsid w:val="438CB20A"/>
    <w:rsid w:val="43992ECE"/>
    <w:rsid w:val="43C99FB7"/>
    <w:rsid w:val="43EE06E5"/>
    <w:rsid w:val="43F0B655"/>
    <w:rsid w:val="43F4B7A8"/>
    <w:rsid w:val="43F8988F"/>
    <w:rsid w:val="43FCBF3F"/>
    <w:rsid w:val="440DC2A9"/>
    <w:rsid w:val="441C4B28"/>
    <w:rsid w:val="443097FD"/>
    <w:rsid w:val="443F9613"/>
    <w:rsid w:val="444BF2EE"/>
    <w:rsid w:val="4457F497"/>
    <w:rsid w:val="4459F5C7"/>
    <w:rsid w:val="446AFE3F"/>
    <w:rsid w:val="448751E7"/>
    <w:rsid w:val="448AEF31"/>
    <w:rsid w:val="448E76E3"/>
    <w:rsid w:val="44966C60"/>
    <w:rsid w:val="449ADBBE"/>
    <w:rsid w:val="449C1CB0"/>
    <w:rsid w:val="44A83804"/>
    <w:rsid w:val="44BF0FD7"/>
    <w:rsid w:val="44C4FF7B"/>
    <w:rsid w:val="44C74515"/>
    <w:rsid w:val="450F8A21"/>
    <w:rsid w:val="45260BB8"/>
    <w:rsid w:val="453599FC"/>
    <w:rsid w:val="453931EB"/>
    <w:rsid w:val="453A7044"/>
    <w:rsid w:val="453AA63B"/>
    <w:rsid w:val="453C847A"/>
    <w:rsid w:val="4542E85C"/>
    <w:rsid w:val="4545348A"/>
    <w:rsid w:val="4587A648"/>
    <w:rsid w:val="4587CEAA"/>
    <w:rsid w:val="45A869B1"/>
    <w:rsid w:val="45AA895F"/>
    <w:rsid w:val="45AA9B28"/>
    <w:rsid w:val="45AE5163"/>
    <w:rsid w:val="45B8C0F2"/>
    <w:rsid w:val="45CE4AA1"/>
    <w:rsid w:val="45D4A8D9"/>
    <w:rsid w:val="45DFB361"/>
    <w:rsid w:val="45E68E56"/>
    <w:rsid w:val="4602F816"/>
    <w:rsid w:val="46057614"/>
    <w:rsid w:val="460B1424"/>
    <w:rsid w:val="4612D39D"/>
    <w:rsid w:val="461BB86D"/>
    <w:rsid w:val="46202E42"/>
    <w:rsid w:val="46489588"/>
    <w:rsid w:val="464BA4B6"/>
    <w:rsid w:val="46534AD2"/>
    <w:rsid w:val="4662B12B"/>
    <w:rsid w:val="466881FB"/>
    <w:rsid w:val="46748BB4"/>
    <w:rsid w:val="4681E45A"/>
    <w:rsid w:val="468DD964"/>
    <w:rsid w:val="469CC80F"/>
    <w:rsid w:val="46AD8DF0"/>
    <w:rsid w:val="46B03DBC"/>
    <w:rsid w:val="46B12C59"/>
    <w:rsid w:val="46C68815"/>
    <w:rsid w:val="46E394E4"/>
    <w:rsid w:val="46EE7855"/>
    <w:rsid w:val="46F3DC4C"/>
    <w:rsid w:val="4704F104"/>
    <w:rsid w:val="470BBD01"/>
    <w:rsid w:val="4726318A"/>
    <w:rsid w:val="472CC85C"/>
    <w:rsid w:val="47366CAB"/>
    <w:rsid w:val="4737F1BD"/>
    <w:rsid w:val="473B89E1"/>
    <w:rsid w:val="4753FD34"/>
    <w:rsid w:val="47566FFC"/>
    <w:rsid w:val="4762D44A"/>
    <w:rsid w:val="478D9848"/>
    <w:rsid w:val="478F30AA"/>
    <w:rsid w:val="47A75149"/>
    <w:rsid w:val="47BE56D1"/>
    <w:rsid w:val="47C1A14D"/>
    <w:rsid w:val="47C64A32"/>
    <w:rsid w:val="47CCE44E"/>
    <w:rsid w:val="47CEAF4B"/>
    <w:rsid w:val="47D44D40"/>
    <w:rsid w:val="47D737C7"/>
    <w:rsid w:val="47DE59B2"/>
    <w:rsid w:val="47EC0F20"/>
    <w:rsid w:val="4800316D"/>
    <w:rsid w:val="4800AE22"/>
    <w:rsid w:val="480C2C15"/>
    <w:rsid w:val="480D84F9"/>
    <w:rsid w:val="483AA129"/>
    <w:rsid w:val="483F8C68"/>
    <w:rsid w:val="484050DB"/>
    <w:rsid w:val="48548392"/>
    <w:rsid w:val="485BBF3F"/>
    <w:rsid w:val="485C1AB6"/>
    <w:rsid w:val="485CF990"/>
    <w:rsid w:val="485EE07B"/>
    <w:rsid w:val="486B6748"/>
    <w:rsid w:val="486EC306"/>
    <w:rsid w:val="48760E9B"/>
    <w:rsid w:val="487FC506"/>
    <w:rsid w:val="4888807D"/>
    <w:rsid w:val="488B822C"/>
    <w:rsid w:val="488CAD59"/>
    <w:rsid w:val="489F403B"/>
    <w:rsid w:val="48E3F56F"/>
    <w:rsid w:val="48E674CA"/>
    <w:rsid w:val="493954C0"/>
    <w:rsid w:val="49470285"/>
    <w:rsid w:val="49472B7E"/>
    <w:rsid w:val="494C1112"/>
    <w:rsid w:val="494F6496"/>
    <w:rsid w:val="49594F11"/>
    <w:rsid w:val="497B8F98"/>
    <w:rsid w:val="49942613"/>
    <w:rsid w:val="49946EF6"/>
    <w:rsid w:val="49A346D8"/>
    <w:rsid w:val="49A58D40"/>
    <w:rsid w:val="49ABA1F4"/>
    <w:rsid w:val="49B651D5"/>
    <w:rsid w:val="49BD3087"/>
    <w:rsid w:val="49C00EA6"/>
    <w:rsid w:val="49C427FE"/>
    <w:rsid w:val="49CA58D2"/>
    <w:rsid w:val="49CC2BC6"/>
    <w:rsid w:val="49D3B8BD"/>
    <w:rsid w:val="49DB1D0D"/>
    <w:rsid w:val="49FCBF85"/>
    <w:rsid w:val="4A0C9B55"/>
    <w:rsid w:val="4A15CE6B"/>
    <w:rsid w:val="4A2798CF"/>
    <w:rsid w:val="4A46D5E0"/>
    <w:rsid w:val="4A49AF22"/>
    <w:rsid w:val="4A518620"/>
    <w:rsid w:val="4A5AD05B"/>
    <w:rsid w:val="4A640876"/>
    <w:rsid w:val="4A6DCB49"/>
    <w:rsid w:val="4A705B18"/>
    <w:rsid w:val="4A713F3E"/>
    <w:rsid w:val="4A93FA2D"/>
    <w:rsid w:val="4A9EDF15"/>
    <w:rsid w:val="4AC47C2F"/>
    <w:rsid w:val="4AD2BB36"/>
    <w:rsid w:val="4AF2F386"/>
    <w:rsid w:val="4AFF3974"/>
    <w:rsid w:val="4B065295"/>
    <w:rsid w:val="4B0C88AB"/>
    <w:rsid w:val="4B1731E7"/>
    <w:rsid w:val="4B236454"/>
    <w:rsid w:val="4B30E124"/>
    <w:rsid w:val="4B46FE9D"/>
    <w:rsid w:val="4B50163F"/>
    <w:rsid w:val="4B509A5E"/>
    <w:rsid w:val="4B5CAA7F"/>
    <w:rsid w:val="4B73A4CA"/>
    <w:rsid w:val="4BADAE89"/>
    <w:rsid w:val="4BAF7B6F"/>
    <w:rsid w:val="4BC911D9"/>
    <w:rsid w:val="4BD384C7"/>
    <w:rsid w:val="4BD86C1D"/>
    <w:rsid w:val="4BDA7C27"/>
    <w:rsid w:val="4BDF8898"/>
    <w:rsid w:val="4BF4D03E"/>
    <w:rsid w:val="4C12F036"/>
    <w:rsid w:val="4C2110FE"/>
    <w:rsid w:val="4C268F5F"/>
    <w:rsid w:val="4C3E70E2"/>
    <w:rsid w:val="4C3F5E88"/>
    <w:rsid w:val="4C566DBC"/>
    <w:rsid w:val="4C6E3FFC"/>
    <w:rsid w:val="4C94CA16"/>
    <w:rsid w:val="4CA00478"/>
    <w:rsid w:val="4CA07DAD"/>
    <w:rsid w:val="4CA7E6EC"/>
    <w:rsid w:val="4CCBDD00"/>
    <w:rsid w:val="4CE86360"/>
    <w:rsid w:val="4CE9B667"/>
    <w:rsid w:val="4D0085CA"/>
    <w:rsid w:val="4D0F05A0"/>
    <w:rsid w:val="4D1B3C7A"/>
    <w:rsid w:val="4D1BBD6D"/>
    <w:rsid w:val="4D288662"/>
    <w:rsid w:val="4D2C30BE"/>
    <w:rsid w:val="4D7601BB"/>
    <w:rsid w:val="4D82669D"/>
    <w:rsid w:val="4D8BA672"/>
    <w:rsid w:val="4D9E9C1E"/>
    <w:rsid w:val="4D9F8470"/>
    <w:rsid w:val="4DBC8301"/>
    <w:rsid w:val="4DCF0BA2"/>
    <w:rsid w:val="4DD56C8F"/>
    <w:rsid w:val="4DDB3104"/>
    <w:rsid w:val="4DE57D73"/>
    <w:rsid w:val="4DFC0075"/>
    <w:rsid w:val="4DFC024D"/>
    <w:rsid w:val="4E0F7EA1"/>
    <w:rsid w:val="4E1EE335"/>
    <w:rsid w:val="4E26350E"/>
    <w:rsid w:val="4E2695DB"/>
    <w:rsid w:val="4E2CCBF1"/>
    <w:rsid w:val="4E540E72"/>
    <w:rsid w:val="4E6091D8"/>
    <w:rsid w:val="4E68EDA7"/>
    <w:rsid w:val="4E6DCDB8"/>
    <w:rsid w:val="4E7689EE"/>
    <w:rsid w:val="4E86FDE3"/>
    <w:rsid w:val="4E8C5E6D"/>
    <w:rsid w:val="4E9111BC"/>
    <w:rsid w:val="4EA4F0C2"/>
    <w:rsid w:val="4EB39D39"/>
    <w:rsid w:val="4EB7FEE6"/>
    <w:rsid w:val="4EBB8272"/>
    <w:rsid w:val="4EE20099"/>
    <w:rsid w:val="4EE26381"/>
    <w:rsid w:val="4EE3B81F"/>
    <w:rsid w:val="4EE4696F"/>
    <w:rsid w:val="4F035A9E"/>
    <w:rsid w:val="4F12F5B1"/>
    <w:rsid w:val="4F2EB569"/>
    <w:rsid w:val="4F312D67"/>
    <w:rsid w:val="4F340776"/>
    <w:rsid w:val="4F3DD3F1"/>
    <w:rsid w:val="4F3F4AD8"/>
    <w:rsid w:val="4F421EDE"/>
    <w:rsid w:val="4F4999F4"/>
    <w:rsid w:val="4F4BB547"/>
    <w:rsid w:val="4F57D819"/>
    <w:rsid w:val="4F5F83DE"/>
    <w:rsid w:val="4F7358AC"/>
    <w:rsid w:val="4F87C291"/>
    <w:rsid w:val="4FA2028E"/>
    <w:rsid w:val="4FA6B74B"/>
    <w:rsid w:val="4FBB443B"/>
    <w:rsid w:val="4FCB660A"/>
    <w:rsid w:val="4FD96CC5"/>
    <w:rsid w:val="4FE95027"/>
    <w:rsid w:val="4FF76F4D"/>
    <w:rsid w:val="5004E185"/>
    <w:rsid w:val="50073630"/>
    <w:rsid w:val="50225A8C"/>
    <w:rsid w:val="50233B01"/>
    <w:rsid w:val="502B7065"/>
    <w:rsid w:val="50314E0A"/>
    <w:rsid w:val="504129C7"/>
    <w:rsid w:val="5064EE08"/>
    <w:rsid w:val="506A40B2"/>
    <w:rsid w:val="506C8511"/>
    <w:rsid w:val="5084AB3B"/>
    <w:rsid w:val="50903F3A"/>
    <w:rsid w:val="50914AAD"/>
    <w:rsid w:val="50942CD2"/>
    <w:rsid w:val="50980B02"/>
    <w:rsid w:val="509C2F3D"/>
    <w:rsid w:val="50A5BC06"/>
    <w:rsid w:val="50AEC7DB"/>
    <w:rsid w:val="50CAA6B8"/>
    <w:rsid w:val="50DA43BE"/>
    <w:rsid w:val="50E040DF"/>
    <w:rsid w:val="50F5576F"/>
    <w:rsid w:val="50F59D12"/>
    <w:rsid w:val="50FD6B6C"/>
    <w:rsid w:val="51083531"/>
    <w:rsid w:val="5110437A"/>
    <w:rsid w:val="5139B488"/>
    <w:rsid w:val="513CCC06"/>
    <w:rsid w:val="514CD912"/>
    <w:rsid w:val="5169FA57"/>
    <w:rsid w:val="5173017F"/>
    <w:rsid w:val="517DB117"/>
    <w:rsid w:val="51934C07"/>
    <w:rsid w:val="51A5D6EA"/>
    <w:rsid w:val="51AC4230"/>
    <w:rsid w:val="51B17D0F"/>
    <w:rsid w:val="51B37910"/>
    <w:rsid w:val="51B5DEC9"/>
    <w:rsid w:val="51C8A9A8"/>
    <w:rsid w:val="51D4C0E0"/>
    <w:rsid w:val="51F49A4F"/>
    <w:rsid w:val="51F4D904"/>
    <w:rsid w:val="5205D62F"/>
    <w:rsid w:val="5207051F"/>
    <w:rsid w:val="5219785E"/>
    <w:rsid w:val="521BBCD3"/>
    <w:rsid w:val="52211291"/>
    <w:rsid w:val="5228B2B5"/>
    <w:rsid w:val="522CEFB3"/>
    <w:rsid w:val="5236F5DA"/>
    <w:rsid w:val="523FD649"/>
    <w:rsid w:val="5243396B"/>
    <w:rsid w:val="52704953"/>
    <w:rsid w:val="52795920"/>
    <w:rsid w:val="52A7B088"/>
    <w:rsid w:val="52B8FCB5"/>
    <w:rsid w:val="52BBC65C"/>
    <w:rsid w:val="52BCCAAB"/>
    <w:rsid w:val="52D71AC4"/>
    <w:rsid w:val="52E1745A"/>
    <w:rsid w:val="52EADD31"/>
    <w:rsid w:val="52F9BCDF"/>
    <w:rsid w:val="53072221"/>
    <w:rsid w:val="531EF1B0"/>
    <w:rsid w:val="53206075"/>
    <w:rsid w:val="532FA98A"/>
    <w:rsid w:val="534CA093"/>
    <w:rsid w:val="53532788"/>
    <w:rsid w:val="535AC84F"/>
    <w:rsid w:val="5363B4BC"/>
    <w:rsid w:val="537C5425"/>
    <w:rsid w:val="537FDEC8"/>
    <w:rsid w:val="53D274C9"/>
    <w:rsid w:val="53D9BA9E"/>
    <w:rsid w:val="53FD581F"/>
    <w:rsid w:val="54028AE9"/>
    <w:rsid w:val="54073A92"/>
    <w:rsid w:val="540D4E7D"/>
    <w:rsid w:val="540D8931"/>
    <w:rsid w:val="5418E6C3"/>
    <w:rsid w:val="54196BFB"/>
    <w:rsid w:val="541CD9CF"/>
    <w:rsid w:val="543564A6"/>
    <w:rsid w:val="543E7FC5"/>
    <w:rsid w:val="54469C7F"/>
    <w:rsid w:val="545090E6"/>
    <w:rsid w:val="5450DD72"/>
    <w:rsid w:val="5458530E"/>
    <w:rsid w:val="5459B20E"/>
    <w:rsid w:val="546F5588"/>
    <w:rsid w:val="546FCA31"/>
    <w:rsid w:val="54943676"/>
    <w:rsid w:val="549A5BC9"/>
    <w:rsid w:val="54AA682F"/>
    <w:rsid w:val="54AF9B65"/>
    <w:rsid w:val="54BCAED5"/>
    <w:rsid w:val="54D06E9A"/>
    <w:rsid w:val="54D15969"/>
    <w:rsid w:val="54D32177"/>
    <w:rsid w:val="54DA730B"/>
    <w:rsid w:val="54DAE4BC"/>
    <w:rsid w:val="54FBB981"/>
    <w:rsid w:val="5538E71D"/>
    <w:rsid w:val="5544D058"/>
    <w:rsid w:val="5554C3B6"/>
    <w:rsid w:val="555CD9FF"/>
    <w:rsid w:val="556AD26E"/>
    <w:rsid w:val="556CD0D7"/>
    <w:rsid w:val="5584D0C7"/>
    <w:rsid w:val="558B0E89"/>
    <w:rsid w:val="558F2162"/>
    <w:rsid w:val="5593B583"/>
    <w:rsid w:val="55AB072E"/>
    <w:rsid w:val="55AD319E"/>
    <w:rsid w:val="55BB7D6E"/>
    <w:rsid w:val="55BE99BA"/>
    <w:rsid w:val="55C0D12A"/>
    <w:rsid w:val="55C73B76"/>
    <w:rsid w:val="55CF2186"/>
    <w:rsid w:val="55E0603F"/>
    <w:rsid w:val="55E44C15"/>
    <w:rsid w:val="55E4CEE6"/>
    <w:rsid w:val="55EAF1DF"/>
    <w:rsid w:val="55F13DC4"/>
    <w:rsid w:val="5601BA41"/>
    <w:rsid w:val="56082DA7"/>
    <w:rsid w:val="561090BD"/>
    <w:rsid w:val="561447E7"/>
    <w:rsid w:val="561D6439"/>
    <w:rsid w:val="5632CE86"/>
    <w:rsid w:val="564A872C"/>
    <w:rsid w:val="56584638"/>
    <w:rsid w:val="567228A6"/>
    <w:rsid w:val="56826D82"/>
    <w:rsid w:val="5684B23F"/>
    <w:rsid w:val="568A4E1F"/>
    <w:rsid w:val="568BA512"/>
    <w:rsid w:val="5692C11D"/>
    <w:rsid w:val="56A064E9"/>
    <w:rsid w:val="56A3182A"/>
    <w:rsid w:val="56ACC0C8"/>
    <w:rsid w:val="56B58B69"/>
    <w:rsid w:val="56D90AD1"/>
    <w:rsid w:val="56FA2568"/>
    <w:rsid w:val="57069031"/>
    <w:rsid w:val="570AAAA2"/>
    <w:rsid w:val="57293E03"/>
    <w:rsid w:val="57382E1B"/>
    <w:rsid w:val="573E54EF"/>
    <w:rsid w:val="5744902F"/>
    <w:rsid w:val="576BDEFB"/>
    <w:rsid w:val="576E291B"/>
    <w:rsid w:val="57910A34"/>
    <w:rsid w:val="5797AC97"/>
    <w:rsid w:val="579E8E01"/>
    <w:rsid w:val="57ACD5D1"/>
    <w:rsid w:val="57B43AD7"/>
    <w:rsid w:val="57C7426C"/>
    <w:rsid w:val="57D3B9CA"/>
    <w:rsid w:val="57F4074E"/>
    <w:rsid w:val="57F4D748"/>
    <w:rsid w:val="57F8CCC3"/>
    <w:rsid w:val="57FB38E0"/>
    <w:rsid w:val="57FC0D2D"/>
    <w:rsid w:val="58028069"/>
    <w:rsid w:val="580834A0"/>
    <w:rsid w:val="5809435F"/>
    <w:rsid w:val="582310F6"/>
    <w:rsid w:val="582419C5"/>
    <w:rsid w:val="5836C4A8"/>
    <w:rsid w:val="5842C786"/>
    <w:rsid w:val="5848ECB4"/>
    <w:rsid w:val="58571560"/>
    <w:rsid w:val="5861ADBC"/>
    <w:rsid w:val="586729E5"/>
    <w:rsid w:val="586EA63C"/>
    <w:rsid w:val="587B5FDD"/>
    <w:rsid w:val="588EB708"/>
    <w:rsid w:val="589536F7"/>
    <w:rsid w:val="589B1230"/>
    <w:rsid w:val="589B511F"/>
    <w:rsid w:val="58A0080A"/>
    <w:rsid w:val="58A93455"/>
    <w:rsid w:val="58C380AE"/>
    <w:rsid w:val="58C5317B"/>
    <w:rsid w:val="58C66885"/>
    <w:rsid w:val="58C6A191"/>
    <w:rsid w:val="58D2A189"/>
    <w:rsid w:val="590A0619"/>
    <w:rsid w:val="590B9FFA"/>
    <w:rsid w:val="59119B96"/>
    <w:rsid w:val="592374BB"/>
    <w:rsid w:val="593E5760"/>
    <w:rsid w:val="59449C23"/>
    <w:rsid w:val="5962B00A"/>
    <w:rsid w:val="59653FCE"/>
    <w:rsid w:val="5972235E"/>
    <w:rsid w:val="59753836"/>
    <w:rsid w:val="598CEFC1"/>
    <w:rsid w:val="59B0B2FF"/>
    <w:rsid w:val="59BA3849"/>
    <w:rsid w:val="59BB73A1"/>
    <w:rsid w:val="59C4E063"/>
    <w:rsid w:val="59CD8BD6"/>
    <w:rsid w:val="59E305A0"/>
    <w:rsid w:val="59F69668"/>
    <w:rsid w:val="59F78F9E"/>
    <w:rsid w:val="5A14B7A3"/>
    <w:rsid w:val="5A27F1D5"/>
    <w:rsid w:val="5A2DE52F"/>
    <w:rsid w:val="5A382077"/>
    <w:rsid w:val="5A420724"/>
    <w:rsid w:val="5A4E07A8"/>
    <w:rsid w:val="5A60E076"/>
    <w:rsid w:val="5A6C46CA"/>
    <w:rsid w:val="5A7580D4"/>
    <w:rsid w:val="5A9F7F0B"/>
    <w:rsid w:val="5AA121F0"/>
    <w:rsid w:val="5AAA2C87"/>
    <w:rsid w:val="5AB1CB71"/>
    <w:rsid w:val="5AC8F555"/>
    <w:rsid w:val="5AD2EA2A"/>
    <w:rsid w:val="5AEB56C9"/>
    <w:rsid w:val="5B1AB6D1"/>
    <w:rsid w:val="5B2EF853"/>
    <w:rsid w:val="5B319654"/>
    <w:rsid w:val="5B425768"/>
    <w:rsid w:val="5B586FF9"/>
    <w:rsid w:val="5B770FB2"/>
    <w:rsid w:val="5B784DB3"/>
    <w:rsid w:val="5B94860E"/>
    <w:rsid w:val="5B9D982B"/>
    <w:rsid w:val="5BAEEF5A"/>
    <w:rsid w:val="5BDCBD01"/>
    <w:rsid w:val="5BE08B4A"/>
    <w:rsid w:val="5BE8EDF8"/>
    <w:rsid w:val="5C001BA6"/>
    <w:rsid w:val="5C1710C8"/>
    <w:rsid w:val="5C1977EE"/>
    <w:rsid w:val="5C1D4FF6"/>
    <w:rsid w:val="5C32152A"/>
    <w:rsid w:val="5C3EAF4C"/>
    <w:rsid w:val="5C536B46"/>
    <w:rsid w:val="5C64CAE5"/>
    <w:rsid w:val="5C747483"/>
    <w:rsid w:val="5C88C71D"/>
    <w:rsid w:val="5C982202"/>
    <w:rsid w:val="5C996EF4"/>
    <w:rsid w:val="5CA24660"/>
    <w:rsid w:val="5CAE002F"/>
    <w:rsid w:val="5CAF7E7D"/>
    <w:rsid w:val="5CCDFD1F"/>
    <w:rsid w:val="5CEDF8BD"/>
    <w:rsid w:val="5D0C5706"/>
    <w:rsid w:val="5D24EF34"/>
    <w:rsid w:val="5D29FF57"/>
    <w:rsid w:val="5D2F46D0"/>
    <w:rsid w:val="5D36E887"/>
    <w:rsid w:val="5D37EEEF"/>
    <w:rsid w:val="5D3AD716"/>
    <w:rsid w:val="5D4949ED"/>
    <w:rsid w:val="5D6C6C53"/>
    <w:rsid w:val="5D78C90B"/>
    <w:rsid w:val="5D78F993"/>
    <w:rsid w:val="5D7B9351"/>
    <w:rsid w:val="5D84967C"/>
    <w:rsid w:val="5D8D8064"/>
    <w:rsid w:val="5D98735A"/>
    <w:rsid w:val="5DAB33C9"/>
    <w:rsid w:val="5DAB9EDB"/>
    <w:rsid w:val="5DAFDD03"/>
    <w:rsid w:val="5DB35F65"/>
    <w:rsid w:val="5E0C199D"/>
    <w:rsid w:val="5E189100"/>
    <w:rsid w:val="5E1E2618"/>
    <w:rsid w:val="5E1F3EDD"/>
    <w:rsid w:val="5E49ACC2"/>
    <w:rsid w:val="5E51F184"/>
    <w:rsid w:val="5E52E4B3"/>
    <w:rsid w:val="5E58EB1A"/>
    <w:rsid w:val="5E6261FB"/>
    <w:rsid w:val="5E732636"/>
    <w:rsid w:val="5E738621"/>
    <w:rsid w:val="5E760652"/>
    <w:rsid w:val="5E790299"/>
    <w:rsid w:val="5E8AA1EE"/>
    <w:rsid w:val="5E9F8E35"/>
    <w:rsid w:val="5EA0219D"/>
    <w:rsid w:val="5EC43F7E"/>
    <w:rsid w:val="5ECB3893"/>
    <w:rsid w:val="5ED8CF0C"/>
    <w:rsid w:val="5ED9BA18"/>
    <w:rsid w:val="5EDA8974"/>
    <w:rsid w:val="5EDACA8D"/>
    <w:rsid w:val="5EE5CCDA"/>
    <w:rsid w:val="5EE9BE2C"/>
    <w:rsid w:val="5EF43CDE"/>
    <w:rsid w:val="5EF83E00"/>
    <w:rsid w:val="5F1239FB"/>
    <w:rsid w:val="5F226622"/>
    <w:rsid w:val="5F300B00"/>
    <w:rsid w:val="5F3033DB"/>
    <w:rsid w:val="5F33A58E"/>
    <w:rsid w:val="5F3C63B6"/>
    <w:rsid w:val="5F4C3D28"/>
    <w:rsid w:val="5F588E19"/>
    <w:rsid w:val="5F713338"/>
    <w:rsid w:val="5F719E9D"/>
    <w:rsid w:val="5F8467A1"/>
    <w:rsid w:val="5F84D9B1"/>
    <w:rsid w:val="5FAE1BD2"/>
    <w:rsid w:val="5FAEC508"/>
    <w:rsid w:val="5FAF4E65"/>
    <w:rsid w:val="5FB62A5C"/>
    <w:rsid w:val="5FB6CF34"/>
    <w:rsid w:val="5FBAE8DE"/>
    <w:rsid w:val="5FC426CB"/>
    <w:rsid w:val="5FC54582"/>
    <w:rsid w:val="5FD2071A"/>
    <w:rsid w:val="5FD890C8"/>
    <w:rsid w:val="5FDEF9C4"/>
    <w:rsid w:val="5FF90DDE"/>
    <w:rsid w:val="5FFE5DE9"/>
    <w:rsid w:val="6022A042"/>
    <w:rsid w:val="6022D5C0"/>
    <w:rsid w:val="60388EA3"/>
    <w:rsid w:val="60431055"/>
    <w:rsid w:val="6043C9C8"/>
    <w:rsid w:val="604C4F99"/>
    <w:rsid w:val="606F17D7"/>
    <w:rsid w:val="60755CE9"/>
    <w:rsid w:val="609F9ACF"/>
    <w:rsid w:val="60CA00A1"/>
    <w:rsid w:val="60DC752A"/>
    <w:rsid w:val="60EFEED5"/>
    <w:rsid w:val="60F888A1"/>
    <w:rsid w:val="612B367F"/>
    <w:rsid w:val="6136D6B3"/>
    <w:rsid w:val="616B8028"/>
    <w:rsid w:val="61792460"/>
    <w:rsid w:val="618ECE2B"/>
    <w:rsid w:val="619AEDC9"/>
    <w:rsid w:val="619DC7AC"/>
    <w:rsid w:val="61AB20EE"/>
    <w:rsid w:val="61AEC806"/>
    <w:rsid w:val="61B77C39"/>
    <w:rsid w:val="61D4D533"/>
    <w:rsid w:val="61F46769"/>
    <w:rsid w:val="6201AA65"/>
    <w:rsid w:val="62139C6E"/>
    <w:rsid w:val="6213C40D"/>
    <w:rsid w:val="62151B1B"/>
    <w:rsid w:val="62158F77"/>
    <w:rsid w:val="621655D2"/>
    <w:rsid w:val="621EE678"/>
    <w:rsid w:val="622156F1"/>
    <w:rsid w:val="624356DB"/>
    <w:rsid w:val="624627A4"/>
    <w:rsid w:val="624B4EE4"/>
    <w:rsid w:val="625039D5"/>
    <w:rsid w:val="62620489"/>
    <w:rsid w:val="6262E5E4"/>
    <w:rsid w:val="626E6F4D"/>
    <w:rsid w:val="628215C3"/>
    <w:rsid w:val="62B14825"/>
    <w:rsid w:val="62D70FAD"/>
    <w:rsid w:val="62ECDA01"/>
    <w:rsid w:val="62FA398C"/>
    <w:rsid w:val="62FAA7CF"/>
    <w:rsid w:val="62FCC71F"/>
    <w:rsid w:val="63210E07"/>
    <w:rsid w:val="63268DE4"/>
    <w:rsid w:val="633286CD"/>
    <w:rsid w:val="6348367A"/>
    <w:rsid w:val="634B89AA"/>
    <w:rsid w:val="635DF350"/>
    <w:rsid w:val="636571C1"/>
    <w:rsid w:val="6366E753"/>
    <w:rsid w:val="6367478D"/>
    <w:rsid w:val="636DF6C3"/>
    <w:rsid w:val="636EB84A"/>
    <w:rsid w:val="6373BCFB"/>
    <w:rsid w:val="6378CACE"/>
    <w:rsid w:val="639E4E71"/>
    <w:rsid w:val="63D28F12"/>
    <w:rsid w:val="63D8490D"/>
    <w:rsid w:val="63E671E1"/>
    <w:rsid w:val="63EB8015"/>
    <w:rsid w:val="64263E89"/>
    <w:rsid w:val="6434CFFF"/>
    <w:rsid w:val="6448E8AE"/>
    <w:rsid w:val="645095CB"/>
    <w:rsid w:val="645B0614"/>
    <w:rsid w:val="6486EF31"/>
    <w:rsid w:val="649F59F8"/>
    <w:rsid w:val="64A17839"/>
    <w:rsid w:val="64A2C8A7"/>
    <w:rsid w:val="64B3D069"/>
    <w:rsid w:val="64B47BB0"/>
    <w:rsid w:val="64B9B301"/>
    <w:rsid w:val="64C27672"/>
    <w:rsid w:val="64C9E509"/>
    <w:rsid w:val="64CAF5AB"/>
    <w:rsid w:val="64CC0485"/>
    <w:rsid w:val="6512B9CF"/>
    <w:rsid w:val="6514D6C0"/>
    <w:rsid w:val="652DF2EB"/>
    <w:rsid w:val="65474C6F"/>
    <w:rsid w:val="654DA644"/>
    <w:rsid w:val="654FA97F"/>
    <w:rsid w:val="6551BCA9"/>
    <w:rsid w:val="65835165"/>
    <w:rsid w:val="6594D82D"/>
    <w:rsid w:val="659C98AE"/>
    <w:rsid w:val="659D1F97"/>
    <w:rsid w:val="659FA8C1"/>
    <w:rsid w:val="65BBC290"/>
    <w:rsid w:val="65C20654"/>
    <w:rsid w:val="65C27580"/>
    <w:rsid w:val="65D67916"/>
    <w:rsid w:val="65DF25BC"/>
    <w:rsid w:val="65DFE578"/>
    <w:rsid w:val="65E112F2"/>
    <w:rsid w:val="65EC5D56"/>
    <w:rsid w:val="65ED75A4"/>
    <w:rsid w:val="65F31340"/>
    <w:rsid w:val="65FF292F"/>
    <w:rsid w:val="66105D2B"/>
    <w:rsid w:val="66313767"/>
    <w:rsid w:val="6636A477"/>
    <w:rsid w:val="6647FFD7"/>
    <w:rsid w:val="664BD5E1"/>
    <w:rsid w:val="664F7216"/>
    <w:rsid w:val="666167E2"/>
    <w:rsid w:val="667375C8"/>
    <w:rsid w:val="667740AE"/>
    <w:rsid w:val="6683D0DD"/>
    <w:rsid w:val="668E9E54"/>
    <w:rsid w:val="6690E50A"/>
    <w:rsid w:val="669A4811"/>
    <w:rsid w:val="669C79AC"/>
    <w:rsid w:val="66A65BD4"/>
    <w:rsid w:val="66A836DB"/>
    <w:rsid w:val="66ADE91A"/>
    <w:rsid w:val="66B9A3BF"/>
    <w:rsid w:val="66CA2187"/>
    <w:rsid w:val="66DDA1A6"/>
    <w:rsid w:val="66DE2DC1"/>
    <w:rsid w:val="66F25580"/>
    <w:rsid w:val="670BBFBA"/>
    <w:rsid w:val="6712AF73"/>
    <w:rsid w:val="67187D7D"/>
    <w:rsid w:val="671FFB8D"/>
    <w:rsid w:val="673A1ED5"/>
    <w:rsid w:val="6744734D"/>
    <w:rsid w:val="675A88FF"/>
    <w:rsid w:val="67606AD0"/>
    <w:rsid w:val="678A5003"/>
    <w:rsid w:val="67916253"/>
    <w:rsid w:val="67A9646D"/>
    <w:rsid w:val="67B22EFC"/>
    <w:rsid w:val="67D7BC8E"/>
    <w:rsid w:val="67DCA28D"/>
    <w:rsid w:val="67E75A51"/>
    <w:rsid w:val="67F2B0B2"/>
    <w:rsid w:val="67FADB1C"/>
    <w:rsid w:val="68098369"/>
    <w:rsid w:val="680E4FB9"/>
    <w:rsid w:val="6820E068"/>
    <w:rsid w:val="682A8FD4"/>
    <w:rsid w:val="682EF08A"/>
    <w:rsid w:val="68410812"/>
    <w:rsid w:val="684AD130"/>
    <w:rsid w:val="685AB00B"/>
    <w:rsid w:val="68650A25"/>
    <w:rsid w:val="686EC80D"/>
    <w:rsid w:val="687B0574"/>
    <w:rsid w:val="6891826E"/>
    <w:rsid w:val="68940F0F"/>
    <w:rsid w:val="68941965"/>
    <w:rsid w:val="689D4FF1"/>
    <w:rsid w:val="68A3E014"/>
    <w:rsid w:val="68AC1DAD"/>
    <w:rsid w:val="68AE2B1C"/>
    <w:rsid w:val="68C173DA"/>
    <w:rsid w:val="68CD7DDE"/>
    <w:rsid w:val="68DEA51C"/>
    <w:rsid w:val="68F12A28"/>
    <w:rsid w:val="68FAF7CE"/>
    <w:rsid w:val="68FBD867"/>
    <w:rsid w:val="690B6512"/>
    <w:rsid w:val="692DAD6A"/>
    <w:rsid w:val="692F6530"/>
    <w:rsid w:val="6942A99F"/>
    <w:rsid w:val="694B2F5A"/>
    <w:rsid w:val="6951B241"/>
    <w:rsid w:val="6994A117"/>
    <w:rsid w:val="699FF648"/>
    <w:rsid w:val="69B2460B"/>
    <w:rsid w:val="69B6B63B"/>
    <w:rsid w:val="69C3691E"/>
    <w:rsid w:val="69ECE1A2"/>
    <w:rsid w:val="69F3CCC5"/>
    <w:rsid w:val="69F53317"/>
    <w:rsid w:val="6A037701"/>
    <w:rsid w:val="6A425548"/>
    <w:rsid w:val="6A670991"/>
    <w:rsid w:val="6A6B1863"/>
    <w:rsid w:val="6A720161"/>
    <w:rsid w:val="6A83FFED"/>
    <w:rsid w:val="6A859779"/>
    <w:rsid w:val="6A9A20BA"/>
    <w:rsid w:val="6AA4B339"/>
    <w:rsid w:val="6AA62C88"/>
    <w:rsid w:val="6AACBA60"/>
    <w:rsid w:val="6AAFE421"/>
    <w:rsid w:val="6ABD0E50"/>
    <w:rsid w:val="6ABFAFD2"/>
    <w:rsid w:val="6AD71951"/>
    <w:rsid w:val="6AE1A4BE"/>
    <w:rsid w:val="6AEC4DE2"/>
    <w:rsid w:val="6B0F1AAE"/>
    <w:rsid w:val="6B371368"/>
    <w:rsid w:val="6B399A8A"/>
    <w:rsid w:val="6B45C5BA"/>
    <w:rsid w:val="6B584152"/>
    <w:rsid w:val="6B9A0765"/>
    <w:rsid w:val="6B9E2EE1"/>
    <w:rsid w:val="6BC21175"/>
    <w:rsid w:val="6BC2FEF3"/>
    <w:rsid w:val="6BC67614"/>
    <w:rsid w:val="6BCDB7A7"/>
    <w:rsid w:val="6BD52384"/>
    <w:rsid w:val="6BE49F0D"/>
    <w:rsid w:val="6BE4EA38"/>
    <w:rsid w:val="6BE8CE98"/>
    <w:rsid w:val="6BF75F48"/>
    <w:rsid w:val="6BFCB89E"/>
    <w:rsid w:val="6C058077"/>
    <w:rsid w:val="6C149958"/>
    <w:rsid w:val="6C27491E"/>
    <w:rsid w:val="6C349A61"/>
    <w:rsid w:val="6C45DBB3"/>
    <w:rsid w:val="6C4AD063"/>
    <w:rsid w:val="6C6E6C9B"/>
    <w:rsid w:val="6C8A858C"/>
    <w:rsid w:val="6C8E3B16"/>
    <w:rsid w:val="6C979F07"/>
    <w:rsid w:val="6C98BAAD"/>
    <w:rsid w:val="6C9EB38B"/>
    <w:rsid w:val="6CAEF42D"/>
    <w:rsid w:val="6CC6B3C8"/>
    <w:rsid w:val="6CD5C9B8"/>
    <w:rsid w:val="6CEFDE3D"/>
    <w:rsid w:val="6CF2A598"/>
    <w:rsid w:val="6CF3DBF8"/>
    <w:rsid w:val="6D24650C"/>
    <w:rsid w:val="6D289A37"/>
    <w:rsid w:val="6D2ACD37"/>
    <w:rsid w:val="6D33CD37"/>
    <w:rsid w:val="6D367778"/>
    <w:rsid w:val="6D466715"/>
    <w:rsid w:val="6D6F7C38"/>
    <w:rsid w:val="6D70EF67"/>
    <w:rsid w:val="6D71E01D"/>
    <w:rsid w:val="6D9DBAD9"/>
    <w:rsid w:val="6DA2801F"/>
    <w:rsid w:val="6DB15ED7"/>
    <w:rsid w:val="6DCBFF18"/>
    <w:rsid w:val="6DD7E0B9"/>
    <w:rsid w:val="6DD89196"/>
    <w:rsid w:val="6DE868B4"/>
    <w:rsid w:val="6DF36894"/>
    <w:rsid w:val="6DF6F766"/>
    <w:rsid w:val="6DFA75E9"/>
    <w:rsid w:val="6DFD6539"/>
    <w:rsid w:val="6E048D83"/>
    <w:rsid w:val="6E06F74D"/>
    <w:rsid w:val="6E0E9564"/>
    <w:rsid w:val="6E2B9B31"/>
    <w:rsid w:val="6E2BCBF4"/>
    <w:rsid w:val="6E35D807"/>
    <w:rsid w:val="6E36C0B5"/>
    <w:rsid w:val="6E3BC41A"/>
    <w:rsid w:val="6E554C49"/>
    <w:rsid w:val="6E6AA562"/>
    <w:rsid w:val="6EA2DA11"/>
    <w:rsid w:val="6EB7ED0E"/>
    <w:rsid w:val="6EC94B1F"/>
    <w:rsid w:val="6ED62B5F"/>
    <w:rsid w:val="6EDAD4F1"/>
    <w:rsid w:val="6F019A06"/>
    <w:rsid w:val="6F0CC648"/>
    <w:rsid w:val="6F15CD09"/>
    <w:rsid w:val="6F2AF62E"/>
    <w:rsid w:val="6F5085AD"/>
    <w:rsid w:val="6F52DE92"/>
    <w:rsid w:val="6F5B3547"/>
    <w:rsid w:val="6F631C6A"/>
    <w:rsid w:val="6F693FAC"/>
    <w:rsid w:val="6F700461"/>
    <w:rsid w:val="6F790177"/>
    <w:rsid w:val="6F90E9A3"/>
    <w:rsid w:val="6F9CE83A"/>
    <w:rsid w:val="6F9EC3F8"/>
    <w:rsid w:val="6FB55BEB"/>
    <w:rsid w:val="6FBC7800"/>
    <w:rsid w:val="6FE7E512"/>
    <w:rsid w:val="6FE934D0"/>
    <w:rsid w:val="6FEAB27B"/>
    <w:rsid w:val="6FF1931C"/>
    <w:rsid w:val="7009A2A6"/>
    <w:rsid w:val="7014FB74"/>
    <w:rsid w:val="701C2282"/>
    <w:rsid w:val="701E215F"/>
    <w:rsid w:val="7027761B"/>
    <w:rsid w:val="7035CF8B"/>
    <w:rsid w:val="7036C1F2"/>
    <w:rsid w:val="70583F31"/>
    <w:rsid w:val="70691032"/>
    <w:rsid w:val="707428C0"/>
    <w:rsid w:val="707790DE"/>
    <w:rsid w:val="70840A63"/>
    <w:rsid w:val="7090D37D"/>
    <w:rsid w:val="7095FABF"/>
    <w:rsid w:val="709C2806"/>
    <w:rsid w:val="70A0E227"/>
    <w:rsid w:val="70AED680"/>
    <w:rsid w:val="70BD66A3"/>
    <w:rsid w:val="70C12B68"/>
    <w:rsid w:val="70D467DF"/>
    <w:rsid w:val="70E9D047"/>
    <w:rsid w:val="711C5002"/>
    <w:rsid w:val="712081C2"/>
    <w:rsid w:val="7124DAF2"/>
    <w:rsid w:val="7130346C"/>
    <w:rsid w:val="7141BDEB"/>
    <w:rsid w:val="71474931"/>
    <w:rsid w:val="71503C03"/>
    <w:rsid w:val="7164ACC5"/>
    <w:rsid w:val="71737AAB"/>
    <w:rsid w:val="717ABA2F"/>
    <w:rsid w:val="71888722"/>
    <w:rsid w:val="71C1A075"/>
    <w:rsid w:val="71CE0802"/>
    <w:rsid w:val="71D36480"/>
    <w:rsid w:val="72048C64"/>
    <w:rsid w:val="722CE6BC"/>
    <w:rsid w:val="7235DC3F"/>
    <w:rsid w:val="7235E09C"/>
    <w:rsid w:val="7240DA29"/>
    <w:rsid w:val="7248B5A5"/>
    <w:rsid w:val="72729713"/>
    <w:rsid w:val="7274EBB5"/>
    <w:rsid w:val="727737A6"/>
    <w:rsid w:val="72A1E577"/>
    <w:rsid w:val="72A5EC50"/>
    <w:rsid w:val="72AADBB6"/>
    <w:rsid w:val="72B2FE47"/>
    <w:rsid w:val="72D1AD7F"/>
    <w:rsid w:val="72DD1001"/>
    <w:rsid w:val="72F0870E"/>
    <w:rsid w:val="72FCF609"/>
    <w:rsid w:val="730E3FDC"/>
    <w:rsid w:val="731D3D29"/>
    <w:rsid w:val="7334699B"/>
    <w:rsid w:val="73446356"/>
    <w:rsid w:val="73523864"/>
    <w:rsid w:val="735D3C70"/>
    <w:rsid w:val="736F9ABD"/>
    <w:rsid w:val="738AEF88"/>
    <w:rsid w:val="73961CC2"/>
    <w:rsid w:val="7396739F"/>
    <w:rsid w:val="739781FE"/>
    <w:rsid w:val="739B8030"/>
    <w:rsid w:val="739CBEEB"/>
    <w:rsid w:val="73A57E33"/>
    <w:rsid w:val="73C97FDF"/>
    <w:rsid w:val="73CC12CF"/>
    <w:rsid w:val="73D5CF4E"/>
    <w:rsid w:val="73DDDCE4"/>
    <w:rsid w:val="73E29DD7"/>
    <w:rsid w:val="73E6EEA4"/>
    <w:rsid w:val="73FAB9D0"/>
    <w:rsid w:val="7403A9A7"/>
    <w:rsid w:val="74042450"/>
    <w:rsid w:val="7424115F"/>
    <w:rsid w:val="744CA7DD"/>
    <w:rsid w:val="7470C739"/>
    <w:rsid w:val="7470D012"/>
    <w:rsid w:val="74953CB2"/>
    <w:rsid w:val="74A00404"/>
    <w:rsid w:val="74A31874"/>
    <w:rsid w:val="74B616F9"/>
    <w:rsid w:val="74BFB41A"/>
    <w:rsid w:val="74C19B2F"/>
    <w:rsid w:val="74CFC2AC"/>
    <w:rsid w:val="74D80B29"/>
    <w:rsid w:val="74DCBB47"/>
    <w:rsid w:val="74E87B6D"/>
    <w:rsid w:val="74F0914B"/>
    <w:rsid w:val="74FEDFD5"/>
    <w:rsid w:val="75012030"/>
    <w:rsid w:val="75292FC5"/>
    <w:rsid w:val="7543E178"/>
    <w:rsid w:val="75521DAB"/>
    <w:rsid w:val="757D0C45"/>
    <w:rsid w:val="75928C07"/>
    <w:rsid w:val="75C0D615"/>
    <w:rsid w:val="75C3DD07"/>
    <w:rsid w:val="75C61BC9"/>
    <w:rsid w:val="75E7A706"/>
    <w:rsid w:val="75F4E307"/>
    <w:rsid w:val="75F86F26"/>
    <w:rsid w:val="760F193E"/>
    <w:rsid w:val="761E446A"/>
    <w:rsid w:val="762E4817"/>
    <w:rsid w:val="762FB88D"/>
    <w:rsid w:val="764E0176"/>
    <w:rsid w:val="764E2A22"/>
    <w:rsid w:val="76527C74"/>
    <w:rsid w:val="766D5647"/>
    <w:rsid w:val="767302A0"/>
    <w:rsid w:val="7692F1E5"/>
    <w:rsid w:val="769AE48A"/>
    <w:rsid w:val="769DA0FC"/>
    <w:rsid w:val="76A496F3"/>
    <w:rsid w:val="76CA7279"/>
    <w:rsid w:val="76D9F944"/>
    <w:rsid w:val="76DC93C4"/>
    <w:rsid w:val="76EAF431"/>
    <w:rsid w:val="76ED357D"/>
    <w:rsid w:val="770C1430"/>
    <w:rsid w:val="770D24FE"/>
    <w:rsid w:val="772D20DE"/>
    <w:rsid w:val="773F1850"/>
    <w:rsid w:val="773FF5FB"/>
    <w:rsid w:val="7741C925"/>
    <w:rsid w:val="77426434"/>
    <w:rsid w:val="7748C82A"/>
    <w:rsid w:val="774A36FD"/>
    <w:rsid w:val="776D16C6"/>
    <w:rsid w:val="7784230C"/>
    <w:rsid w:val="778B1971"/>
    <w:rsid w:val="778FFFBC"/>
    <w:rsid w:val="77949813"/>
    <w:rsid w:val="77A8881F"/>
    <w:rsid w:val="77C81894"/>
    <w:rsid w:val="77DDBD86"/>
    <w:rsid w:val="77E15D84"/>
    <w:rsid w:val="77E9B57A"/>
    <w:rsid w:val="77F6833E"/>
    <w:rsid w:val="77FCEB9F"/>
    <w:rsid w:val="77FF1270"/>
    <w:rsid w:val="781D4E28"/>
    <w:rsid w:val="781F310A"/>
    <w:rsid w:val="782E8942"/>
    <w:rsid w:val="783551A0"/>
    <w:rsid w:val="7837C5AC"/>
    <w:rsid w:val="783C5D80"/>
    <w:rsid w:val="7852C2F2"/>
    <w:rsid w:val="785BB4AF"/>
    <w:rsid w:val="7870E1C8"/>
    <w:rsid w:val="7888663D"/>
    <w:rsid w:val="788A8E4F"/>
    <w:rsid w:val="788E32B8"/>
    <w:rsid w:val="78948CDF"/>
    <w:rsid w:val="789C8041"/>
    <w:rsid w:val="78B3F9C4"/>
    <w:rsid w:val="78C3CFD9"/>
    <w:rsid w:val="78F01A12"/>
    <w:rsid w:val="78F64375"/>
    <w:rsid w:val="790661AD"/>
    <w:rsid w:val="7907F6B2"/>
    <w:rsid w:val="790E3D25"/>
    <w:rsid w:val="7912350D"/>
    <w:rsid w:val="791BD9EF"/>
    <w:rsid w:val="793DD2F3"/>
    <w:rsid w:val="7960C338"/>
    <w:rsid w:val="798C919B"/>
    <w:rsid w:val="7990F283"/>
    <w:rsid w:val="79953276"/>
    <w:rsid w:val="79A14B4B"/>
    <w:rsid w:val="79BE1D34"/>
    <w:rsid w:val="79C025DD"/>
    <w:rsid w:val="79C7B1A5"/>
    <w:rsid w:val="79CECBC8"/>
    <w:rsid w:val="79DFBB77"/>
    <w:rsid w:val="79F8F86E"/>
    <w:rsid w:val="79F9EE25"/>
    <w:rsid w:val="7A14225B"/>
    <w:rsid w:val="7A334D0A"/>
    <w:rsid w:val="7A43CC95"/>
    <w:rsid w:val="7A4D1F45"/>
    <w:rsid w:val="7A56744F"/>
    <w:rsid w:val="7A68C36A"/>
    <w:rsid w:val="7A6FB3F7"/>
    <w:rsid w:val="7A754395"/>
    <w:rsid w:val="7A85B916"/>
    <w:rsid w:val="7A877014"/>
    <w:rsid w:val="7A971C82"/>
    <w:rsid w:val="7AA84737"/>
    <w:rsid w:val="7AB0E485"/>
    <w:rsid w:val="7ABAAA27"/>
    <w:rsid w:val="7AC50D62"/>
    <w:rsid w:val="7AE54263"/>
    <w:rsid w:val="7AE77634"/>
    <w:rsid w:val="7AE90F62"/>
    <w:rsid w:val="7AEC01F7"/>
    <w:rsid w:val="7AEFEC5A"/>
    <w:rsid w:val="7B053C36"/>
    <w:rsid w:val="7B11F7AF"/>
    <w:rsid w:val="7B13BFAA"/>
    <w:rsid w:val="7B146CC1"/>
    <w:rsid w:val="7B212144"/>
    <w:rsid w:val="7B356D2F"/>
    <w:rsid w:val="7B3B7739"/>
    <w:rsid w:val="7B66B4E8"/>
    <w:rsid w:val="7B6D9809"/>
    <w:rsid w:val="7B7B5199"/>
    <w:rsid w:val="7B881119"/>
    <w:rsid w:val="7B8F7AAB"/>
    <w:rsid w:val="7B96FF28"/>
    <w:rsid w:val="7B9B4F78"/>
    <w:rsid w:val="7BA141DC"/>
    <w:rsid w:val="7BA388D8"/>
    <w:rsid w:val="7BAFE193"/>
    <w:rsid w:val="7BBCB054"/>
    <w:rsid w:val="7BC6242F"/>
    <w:rsid w:val="7BC71308"/>
    <w:rsid w:val="7BCB9147"/>
    <w:rsid w:val="7BD3658B"/>
    <w:rsid w:val="7BD86697"/>
    <w:rsid w:val="7BEE0DF2"/>
    <w:rsid w:val="7BEEA76C"/>
    <w:rsid w:val="7C028D7A"/>
    <w:rsid w:val="7C13BAC4"/>
    <w:rsid w:val="7C207932"/>
    <w:rsid w:val="7C207B9E"/>
    <w:rsid w:val="7C238522"/>
    <w:rsid w:val="7C23E986"/>
    <w:rsid w:val="7C2652F2"/>
    <w:rsid w:val="7C3F1DF3"/>
    <w:rsid w:val="7C4F023B"/>
    <w:rsid w:val="7C77FFED"/>
    <w:rsid w:val="7C86C17C"/>
    <w:rsid w:val="7C9C53F7"/>
    <w:rsid w:val="7C9C959D"/>
    <w:rsid w:val="7CA5E03C"/>
    <w:rsid w:val="7CA64C9C"/>
    <w:rsid w:val="7CAFB222"/>
    <w:rsid w:val="7CB4EB4D"/>
    <w:rsid w:val="7CCD7978"/>
    <w:rsid w:val="7CCE5E96"/>
    <w:rsid w:val="7CE5FDAE"/>
    <w:rsid w:val="7CEFC5CD"/>
    <w:rsid w:val="7CF3476B"/>
    <w:rsid w:val="7D01FE15"/>
    <w:rsid w:val="7D106A0E"/>
    <w:rsid w:val="7D1FBBDC"/>
    <w:rsid w:val="7D214901"/>
    <w:rsid w:val="7D27087A"/>
    <w:rsid w:val="7D29BD82"/>
    <w:rsid w:val="7D34F9E2"/>
    <w:rsid w:val="7D39F1B4"/>
    <w:rsid w:val="7D42B971"/>
    <w:rsid w:val="7D459112"/>
    <w:rsid w:val="7D46D400"/>
    <w:rsid w:val="7D6B5AB6"/>
    <w:rsid w:val="7D8129DD"/>
    <w:rsid w:val="7D87976A"/>
    <w:rsid w:val="7D92A197"/>
    <w:rsid w:val="7D955C1E"/>
    <w:rsid w:val="7D9DDC45"/>
    <w:rsid w:val="7DA44ABD"/>
    <w:rsid w:val="7DB55EAC"/>
    <w:rsid w:val="7DDFA46F"/>
    <w:rsid w:val="7DEC3750"/>
    <w:rsid w:val="7E06D8E8"/>
    <w:rsid w:val="7E186177"/>
    <w:rsid w:val="7E1B99B8"/>
    <w:rsid w:val="7E2CE369"/>
    <w:rsid w:val="7E4036F7"/>
    <w:rsid w:val="7E429ED0"/>
    <w:rsid w:val="7E42F4C2"/>
    <w:rsid w:val="7E510D45"/>
    <w:rsid w:val="7E53D160"/>
    <w:rsid w:val="7E60653F"/>
    <w:rsid w:val="7E6AD537"/>
    <w:rsid w:val="7E77A880"/>
    <w:rsid w:val="7E7D9FE1"/>
    <w:rsid w:val="7E8DB16B"/>
    <w:rsid w:val="7E9B43A6"/>
    <w:rsid w:val="7EA05242"/>
    <w:rsid w:val="7EA0E09E"/>
    <w:rsid w:val="7EA78073"/>
    <w:rsid w:val="7EC00935"/>
    <w:rsid w:val="7EC69DB7"/>
    <w:rsid w:val="7ECA2D0F"/>
    <w:rsid w:val="7ED02761"/>
    <w:rsid w:val="7ED6AB62"/>
    <w:rsid w:val="7EE578C2"/>
    <w:rsid w:val="7EFB5B30"/>
    <w:rsid w:val="7EFCA24D"/>
    <w:rsid w:val="7F015B2F"/>
    <w:rsid w:val="7F01B209"/>
    <w:rsid w:val="7F097DEA"/>
    <w:rsid w:val="7F1CDA3F"/>
    <w:rsid w:val="7F1F9A70"/>
    <w:rsid w:val="7F2DD2A0"/>
    <w:rsid w:val="7F3A63F1"/>
    <w:rsid w:val="7F3C11D0"/>
    <w:rsid w:val="7F4BC13C"/>
    <w:rsid w:val="7F4D6F66"/>
    <w:rsid w:val="7F5209CA"/>
    <w:rsid w:val="7F749CE3"/>
    <w:rsid w:val="7F81A3DA"/>
    <w:rsid w:val="7F9B6571"/>
    <w:rsid w:val="7FC032FB"/>
    <w:rsid w:val="7FCD52BF"/>
    <w:rsid w:val="7FD87307"/>
    <w:rsid w:val="7FDB754C"/>
    <w:rsid w:val="7FDDBB98"/>
    <w:rsid w:val="7FEF82D4"/>
    <w:rsid w:val="7FF066FF"/>
    <w:rsid w:val="7FFD33BB"/>
    <w:rsid w:val="7FFE0C5F"/>
    <w:rsid w:val="7FFFC3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D66BC"/>
  <w15:chartTrackingRefBased/>
  <w15:docId w15:val="{EC84FEAA-2076-427E-9217-FDF8FFF4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544"/>
    <w:pPr>
      <w:spacing w:before="240" w:after="240" w:line="360" w:lineRule="auto"/>
      <w:jc w:val="both"/>
    </w:pPr>
    <w:rPr>
      <w:rFonts w:ascii="Book Antiqua" w:hAnsi="Book Antiqua"/>
      <w:sz w:val="24"/>
      <w:szCs w:val="22"/>
      <w:lang w:eastAsia="en-US"/>
    </w:rPr>
  </w:style>
  <w:style w:type="paragraph" w:styleId="Ttulo1">
    <w:name w:val="heading 1"/>
    <w:basedOn w:val="Normal"/>
    <w:next w:val="Normal"/>
    <w:link w:val="Ttulo1Car"/>
    <w:autoRedefine/>
    <w:uiPriority w:val="9"/>
    <w:qFormat/>
    <w:rsid w:val="00AA10C8"/>
    <w:pPr>
      <w:keepNext/>
      <w:numPr>
        <w:numId w:val="1"/>
      </w:numPr>
      <w:spacing w:before="0"/>
      <w:jc w:val="left"/>
      <w:outlineLvl w:val="0"/>
    </w:pPr>
    <w:rPr>
      <w:rFonts w:eastAsia="Times New Roman" w:cs="Arial"/>
      <w:b/>
      <w:bCs/>
      <w:color w:val="1F4E79"/>
      <w:kern w:val="32"/>
      <w:szCs w:val="24"/>
      <w:lang w:val="x-none"/>
    </w:rPr>
  </w:style>
  <w:style w:type="paragraph" w:styleId="Ttulo2">
    <w:name w:val="heading 2"/>
    <w:basedOn w:val="Normal"/>
    <w:link w:val="Ttulo2Car"/>
    <w:autoRedefine/>
    <w:uiPriority w:val="9"/>
    <w:unhideWhenUsed/>
    <w:qFormat/>
    <w:rsid w:val="00AD439F"/>
    <w:pPr>
      <w:keepNext/>
      <w:numPr>
        <w:ilvl w:val="1"/>
        <w:numId w:val="10"/>
      </w:numPr>
      <w:spacing w:before="0"/>
      <w:outlineLvl w:val="1"/>
    </w:pPr>
    <w:rPr>
      <w:rFonts w:cs="Arial"/>
      <w:b/>
      <w:bCs/>
      <w:iCs/>
      <w:color w:val="1F3864"/>
      <w:szCs w:val="24"/>
      <w:lang w:val="x-none" w:eastAsia="x-none"/>
    </w:rPr>
  </w:style>
  <w:style w:type="paragraph" w:styleId="Ttulo3">
    <w:name w:val="heading 3"/>
    <w:basedOn w:val="Normal"/>
    <w:next w:val="Normal"/>
    <w:link w:val="Ttulo3Car"/>
    <w:autoRedefine/>
    <w:uiPriority w:val="9"/>
    <w:unhideWhenUsed/>
    <w:qFormat/>
    <w:rsid w:val="00351912"/>
    <w:pPr>
      <w:keepNext/>
      <w:numPr>
        <w:ilvl w:val="2"/>
        <w:numId w:val="1"/>
      </w:numPr>
      <w:outlineLvl w:val="2"/>
    </w:pPr>
    <w:rPr>
      <w:rFonts w:eastAsia="Arial" w:cs="Arial"/>
      <w:b/>
      <w:bCs/>
      <w:szCs w:val="24"/>
    </w:rPr>
  </w:style>
  <w:style w:type="paragraph" w:styleId="Ttulo4">
    <w:name w:val="heading 4"/>
    <w:basedOn w:val="Normal"/>
    <w:next w:val="Normal"/>
    <w:link w:val="Ttulo4Car"/>
    <w:uiPriority w:val="9"/>
    <w:unhideWhenUsed/>
    <w:qFormat/>
    <w:rsid w:val="001354F1"/>
    <w:pPr>
      <w:keepNext/>
      <w:numPr>
        <w:ilvl w:val="3"/>
        <w:numId w:val="1"/>
      </w:numPr>
      <w:spacing w:after="60"/>
      <w:outlineLvl w:val="3"/>
    </w:pPr>
    <w:rPr>
      <w:rFonts w:eastAsia="Times New Roman"/>
      <w:b/>
      <w:bCs/>
      <w:color w:val="1F3864" w:themeColor="accent1" w:themeShade="80"/>
      <w:szCs w:val="28"/>
      <w:lang w:val="x-none"/>
    </w:rPr>
  </w:style>
  <w:style w:type="paragraph" w:styleId="Ttulo5">
    <w:name w:val="heading 5"/>
    <w:basedOn w:val="Normal"/>
    <w:next w:val="Normal"/>
    <w:link w:val="Ttulo5Car"/>
    <w:uiPriority w:val="9"/>
    <w:unhideWhenUsed/>
    <w:qFormat/>
    <w:rsid w:val="00F07610"/>
    <w:pPr>
      <w:numPr>
        <w:ilvl w:val="4"/>
        <w:numId w:val="1"/>
      </w:numPr>
      <w:spacing w:after="60"/>
      <w:outlineLvl w:val="4"/>
    </w:pPr>
    <w:rPr>
      <w:rFonts w:ascii="Calibri" w:eastAsia="Times New Roman" w:hAnsi="Calibri"/>
      <w:b/>
      <w:bCs/>
      <w:i/>
      <w:iCs/>
      <w:sz w:val="26"/>
      <w:szCs w:val="26"/>
      <w:lang w:val="x-none"/>
    </w:rPr>
  </w:style>
  <w:style w:type="paragraph" w:styleId="Ttulo6">
    <w:name w:val="heading 6"/>
    <w:basedOn w:val="Normal"/>
    <w:next w:val="Normal"/>
    <w:link w:val="Ttulo6Car"/>
    <w:uiPriority w:val="9"/>
    <w:semiHidden/>
    <w:unhideWhenUsed/>
    <w:qFormat/>
    <w:rsid w:val="00F07610"/>
    <w:pPr>
      <w:numPr>
        <w:ilvl w:val="5"/>
        <w:numId w:val="1"/>
      </w:numPr>
      <w:spacing w:after="60"/>
      <w:outlineLvl w:val="5"/>
    </w:pPr>
    <w:rPr>
      <w:rFonts w:ascii="Calibri" w:eastAsia="Times New Roman" w:hAnsi="Calibri"/>
      <w:b/>
      <w:bCs/>
      <w:lang w:val="x-none"/>
    </w:rPr>
  </w:style>
  <w:style w:type="paragraph" w:styleId="Ttulo7">
    <w:name w:val="heading 7"/>
    <w:basedOn w:val="Normal"/>
    <w:next w:val="Normal"/>
    <w:link w:val="Ttulo7Car"/>
    <w:uiPriority w:val="9"/>
    <w:semiHidden/>
    <w:unhideWhenUsed/>
    <w:qFormat/>
    <w:rsid w:val="00F07610"/>
    <w:pPr>
      <w:numPr>
        <w:ilvl w:val="6"/>
        <w:numId w:val="1"/>
      </w:numPr>
      <w:spacing w:after="60"/>
      <w:outlineLvl w:val="6"/>
    </w:pPr>
    <w:rPr>
      <w:rFonts w:ascii="Calibri" w:eastAsia="Times New Roman" w:hAnsi="Calibri"/>
      <w:szCs w:val="24"/>
      <w:lang w:val="x-none"/>
    </w:rPr>
  </w:style>
  <w:style w:type="paragraph" w:styleId="Ttulo8">
    <w:name w:val="heading 8"/>
    <w:basedOn w:val="Normal"/>
    <w:next w:val="Normal"/>
    <w:link w:val="Ttulo8Car"/>
    <w:uiPriority w:val="9"/>
    <w:semiHidden/>
    <w:unhideWhenUsed/>
    <w:qFormat/>
    <w:rsid w:val="00F07610"/>
    <w:pPr>
      <w:numPr>
        <w:ilvl w:val="7"/>
        <w:numId w:val="1"/>
      </w:numPr>
      <w:spacing w:after="60"/>
      <w:outlineLvl w:val="7"/>
    </w:pPr>
    <w:rPr>
      <w:rFonts w:ascii="Calibri" w:eastAsia="Times New Roman" w:hAnsi="Calibri"/>
      <w:i/>
      <w:iCs/>
      <w:szCs w:val="24"/>
      <w:lang w:val="x-none"/>
    </w:rPr>
  </w:style>
  <w:style w:type="paragraph" w:styleId="Ttulo9">
    <w:name w:val="heading 9"/>
    <w:basedOn w:val="Normal"/>
    <w:next w:val="Normal"/>
    <w:link w:val="Ttulo9Car"/>
    <w:uiPriority w:val="9"/>
    <w:semiHidden/>
    <w:unhideWhenUsed/>
    <w:qFormat/>
    <w:rsid w:val="00F07610"/>
    <w:pPr>
      <w:numPr>
        <w:ilvl w:val="8"/>
        <w:numId w:val="1"/>
      </w:numPr>
      <w:spacing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AD439F"/>
    <w:rPr>
      <w:rFonts w:ascii="Book Antiqua" w:hAnsi="Book Antiqua" w:cs="Arial"/>
      <w:b/>
      <w:bCs/>
      <w:iCs/>
      <w:color w:val="1F3864"/>
      <w:sz w:val="24"/>
      <w:szCs w:val="24"/>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rFonts w:ascii="Calibri" w:hAnsi="Calibri"/>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rFonts w:ascii="Calibri" w:hAnsi="Calibri"/>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3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eastAsia="Times New Roman"/>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sz w:val="24"/>
      <w:szCs w:val="24"/>
      <w:lang w:val="es-ES" w:eastAsia="es-ES"/>
    </w:rPr>
  </w:style>
  <w:style w:type="paragraph" w:styleId="Prrafodelista">
    <w:name w:val="List Paragraph"/>
    <w:aliases w:val="Bullet 1,Use Case List Paragraph,Lista vistosa - Énfasis 11,Párrafo de lista Car Car Car,Footnote,List Paragraph2,Informe,3"/>
    <w:basedOn w:val="Normal"/>
    <w:link w:val="PrrafodelistaCar"/>
    <w:uiPriority w:val="34"/>
    <w:qFormat/>
    <w:rsid w:val="00894830"/>
    <w:pPr>
      <w:spacing w:after="0"/>
      <w:ind w:left="708"/>
    </w:pPr>
    <w:rPr>
      <w:rFonts w:eastAsia="Times New Roman" w:cs="Arial"/>
      <w:szCs w:val="24"/>
      <w:lang w:val="es-ES" w:eastAsia="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rFonts w:ascii="Calibri" w:hAnsi="Calibri"/>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aliases w:val="ƒ89,^ƒ89,Footnotes refss,Texto de nota al pie,Appel note de bas de page,Referencia nota al pie"/>
    <w:uiPriority w:val="99"/>
    <w:unhideWhenUsed/>
    <w:qFormat/>
    <w:rsid w:val="00CF45C7"/>
    <w:rPr>
      <w:vertAlign w:val="superscript"/>
    </w:rPr>
  </w:style>
  <w:style w:type="paragraph" w:styleId="Textocomentario">
    <w:name w:val="annotation text"/>
    <w:basedOn w:val="Normal"/>
    <w:link w:val="TextocomentarioCar"/>
    <w:unhideWhenUsed/>
    <w:rsid w:val="00CF45C7"/>
    <w:pPr>
      <w:spacing w:line="240" w:lineRule="auto"/>
    </w:pPr>
    <w:rPr>
      <w:rFonts w:ascii="Calibri" w:hAnsi="Calibri"/>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iPriority w:val="99"/>
    <w:unhideWhenUsed/>
    <w:rsid w:val="00CF45C7"/>
    <w:pPr>
      <w:spacing w:before="100" w:beforeAutospacing="1" w:after="100" w:afterAutospacing="1" w:line="240" w:lineRule="auto"/>
    </w:pPr>
    <w:rPr>
      <w:rFonts w:ascii="Times New Roman" w:eastAsia="Times New Roman" w:hAnsi="Times New Roman"/>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Cs w:val="24"/>
      <w:lang w:eastAsia="es-CR"/>
    </w:rPr>
  </w:style>
  <w:style w:type="character" w:customStyle="1" w:styleId="Ttulo1Car">
    <w:name w:val="Título 1 Car"/>
    <w:link w:val="Ttulo1"/>
    <w:uiPriority w:val="9"/>
    <w:rsid w:val="00AA10C8"/>
    <w:rPr>
      <w:rFonts w:ascii="Book Antiqua" w:eastAsia="Times New Roman" w:hAnsi="Book Antiqua" w:cs="Arial"/>
      <w:b/>
      <w:bCs/>
      <w:color w:val="1F4E79"/>
      <w:kern w:val="32"/>
      <w:sz w:val="24"/>
      <w:szCs w:val="24"/>
      <w:lang w:val="x-none" w:eastAsia="en-US"/>
    </w:rPr>
  </w:style>
  <w:style w:type="paragraph" w:styleId="Ttulo">
    <w:name w:val="Title"/>
    <w:basedOn w:val="Ttulo3"/>
    <w:next w:val="Normal"/>
    <w:link w:val="TtuloCar"/>
    <w:uiPriority w:val="10"/>
    <w:qFormat/>
    <w:rsid w:val="00F07610"/>
    <w:pPr>
      <w:outlineLvl w:val="0"/>
    </w:pPr>
    <w:rPr>
      <w:b w:val="0"/>
      <w:bCs w:val="0"/>
      <w:color w:val="2E74B5"/>
      <w:kern w:val="28"/>
      <w:sz w:val="22"/>
      <w:szCs w:val="32"/>
    </w:rPr>
  </w:style>
  <w:style w:type="character" w:customStyle="1" w:styleId="TtuloCar">
    <w:name w:val="Título Car"/>
    <w:link w:val="Ttulo"/>
    <w:uiPriority w:val="10"/>
    <w:rsid w:val="00F07610"/>
    <w:rPr>
      <w:rFonts w:ascii="Book Antiqua" w:eastAsia="Arial" w:hAnsi="Book Antiqua" w:cs="Arial"/>
      <w:color w:val="2E74B5"/>
      <w:kern w:val="28"/>
      <w:sz w:val="22"/>
      <w:szCs w:val="32"/>
      <w:lang w:eastAsia="en-US"/>
    </w:rPr>
  </w:style>
  <w:style w:type="character" w:customStyle="1" w:styleId="Ttulo3Car">
    <w:name w:val="Título 3 Car"/>
    <w:link w:val="Ttulo3"/>
    <w:uiPriority w:val="9"/>
    <w:rsid w:val="00351912"/>
    <w:rPr>
      <w:rFonts w:ascii="Book Antiqua" w:eastAsia="Arial" w:hAnsi="Book Antiqua" w:cs="Arial"/>
      <w:b/>
      <w:bCs/>
      <w:sz w:val="24"/>
      <w:szCs w:val="24"/>
      <w:lang w:eastAsia="en-US"/>
    </w:rPr>
  </w:style>
  <w:style w:type="character" w:customStyle="1" w:styleId="Ttulo4Car">
    <w:name w:val="Título 4 Car"/>
    <w:link w:val="Ttulo4"/>
    <w:uiPriority w:val="9"/>
    <w:rsid w:val="001354F1"/>
    <w:rPr>
      <w:rFonts w:ascii="Book Antiqua" w:eastAsia="Times New Roman" w:hAnsi="Book Antiqua"/>
      <w:b/>
      <w:bCs/>
      <w:color w:val="1F3864" w:themeColor="accent1" w:themeShade="80"/>
      <w:sz w:val="24"/>
      <w:szCs w:val="28"/>
      <w:lang w:val="x-none" w:eastAsia="en-US"/>
    </w:rPr>
  </w:style>
  <w:style w:type="character" w:customStyle="1" w:styleId="Ttulo5Car">
    <w:name w:val="Título 5 Car"/>
    <w:link w:val="Ttulo5"/>
    <w:uiPriority w:val="9"/>
    <w:rsid w:val="00F07610"/>
    <w:rPr>
      <w:rFonts w:eastAsia="Times New Roman"/>
      <w:b/>
      <w:bCs/>
      <w:i/>
      <w:iCs/>
      <w:sz w:val="26"/>
      <w:szCs w:val="26"/>
      <w:lang w:val="x-none" w:eastAsia="en-US"/>
    </w:rPr>
  </w:style>
  <w:style w:type="character" w:customStyle="1" w:styleId="Ttulo6Car">
    <w:name w:val="Título 6 Car"/>
    <w:link w:val="Ttulo6"/>
    <w:uiPriority w:val="9"/>
    <w:semiHidden/>
    <w:rsid w:val="00F07610"/>
    <w:rPr>
      <w:rFonts w:eastAsia="Times New Roman"/>
      <w:b/>
      <w:bCs/>
      <w:sz w:val="24"/>
      <w:szCs w:val="22"/>
      <w:lang w:val="x-none" w:eastAsia="en-US"/>
    </w:rPr>
  </w:style>
  <w:style w:type="character" w:customStyle="1" w:styleId="Ttulo7Car">
    <w:name w:val="Título 7 Car"/>
    <w:link w:val="Ttulo7"/>
    <w:uiPriority w:val="9"/>
    <w:semiHidden/>
    <w:rsid w:val="00F07610"/>
    <w:rPr>
      <w:rFonts w:eastAsia="Times New Roman"/>
      <w:sz w:val="24"/>
      <w:szCs w:val="24"/>
      <w:lang w:val="x-none" w:eastAsia="en-US"/>
    </w:rPr>
  </w:style>
  <w:style w:type="character" w:customStyle="1" w:styleId="Ttulo8Car">
    <w:name w:val="Título 8 Car"/>
    <w:link w:val="Ttulo8"/>
    <w:uiPriority w:val="9"/>
    <w:semiHidden/>
    <w:rsid w:val="00F07610"/>
    <w:rPr>
      <w:rFonts w:eastAsia="Times New Roman"/>
      <w:i/>
      <w:iCs/>
      <w:sz w:val="24"/>
      <w:szCs w:val="24"/>
      <w:lang w:val="x-none" w:eastAsia="en-US"/>
    </w:rPr>
  </w:style>
  <w:style w:type="character" w:customStyle="1" w:styleId="Ttulo9Car">
    <w:name w:val="Título 9 Car"/>
    <w:link w:val="Ttulo9"/>
    <w:uiPriority w:val="9"/>
    <w:semiHidden/>
    <w:rsid w:val="00F07610"/>
    <w:rPr>
      <w:rFonts w:ascii="Calibri Light" w:eastAsia="Times New Roman" w:hAnsi="Calibri Light"/>
      <w:sz w:val="24"/>
      <w:szCs w:val="22"/>
      <w:lang w:val="x-none" w:eastAsia="en-US"/>
    </w:rPr>
  </w:style>
  <w:style w:type="character" w:styleId="Refdecomentario">
    <w:name w:val="annotation reference"/>
    <w:rsid w:val="0093506B"/>
    <w:rPr>
      <w:sz w:val="16"/>
      <w:szCs w:val="16"/>
    </w:rPr>
  </w:style>
  <w:style w:type="paragraph" w:customStyle="1" w:styleId="Prrafodelista1">
    <w:name w:val="Párrafo de lista1"/>
    <w:basedOn w:val="Normal"/>
    <w:uiPriority w:val="34"/>
    <w:qFormat/>
    <w:rsid w:val="0093506B"/>
    <w:pPr>
      <w:spacing w:before="0" w:after="200"/>
      <w:ind w:left="720"/>
      <w:contextualSpacing/>
    </w:pPr>
  </w:style>
  <w:style w:type="character" w:styleId="Hipervnculo">
    <w:name w:val="Hyperlink"/>
    <w:unhideWhenUsed/>
    <w:rsid w:val="00D31DCC"/>
    <w:rPr>
      <w:color w:val="0000FF"/>
      <w:u w:val="single"/>
    </w:rPr>
  </w:style>
  <w:style w:type="paragraph" w:customStyle="1" w:styleId="Estilopredeterminado">
    <w:name w:val="Estilo predeterminado"/>
    <w:rsid w:val="006B3C44"/>
    <w:pPr>
      <w:suppressAutoHyphens/>
      <w:spacing w:line="100" w:lineRule="atLeast"/>
    </w:pPr>
    <w:rPr>
      <w:rFonts w:ascii="Times New Roman" w:eastAsia="SimSun" w:hAnsi="Times New Roman"/>
      <w:color w:val="000000"/>
      <w:sz w:val="24"/>
      <w:szCs w:val="24"/>
      <w:lang w:val="es-ES" w:eastAsia="en-US"/>
    </w:rPr>
  </w:style>
  <w:style w:type="paragraph" w:customStyle="1" w:styleId="xmsonormal">
    <w:name w:val="x_msonormal"/>
    <w:basedOn w:val="Normal"/>
    <w:rsid w:val="007A2464"/>
    <w:pPr>
      <w:spacing w:before="0" w:after="0" w:line="240" w:lineRule="auto"/>
      <w:jc w:val="left"/>
    </w:pPr>
    <w:rPr>
      <w:rFonts w:ascii="Times New Roman" w:hAnsi="Times New Roman"/>
      <w:szCs w:val="24"/>
      <w:lang w:eastAsia="es-CR"/>
    </w:rPr>
  </w:style>
  <w:style w:type="paragraph" w:styleId="Textoindependiente">
    <w:name w:val="Body Text"/>
    <w:basedOn w:val="Normal"/>
    <w:link w:val="TextoindependienteCar"/>
    <w:uiPriority w:val="99"/>
    <w:unhideWhenUsed/>
    <w:rsid w:val="002F2EDF"/>
    <w:pPr>
      <w:spacing w:after="120"/>
    </w:pPr>
  </w:style>
  <w:style w:type="character" w:customStyle="1" w:styleId="TextoindependienteCar">
    <w:name w:val="Texto independiente Car"/>
    <w:link w:val="Textoindependiente"/>
    <w:uiPriority w:val="99"/>
    <w:rsid w:val="002F2EDF"/>
    <w:rPr>
      <w:rFonts w:ascii="Arial" w:hAnsi="Arial"/>
      <w:sz w:val="22"/>
      <w:szCs w:val="22"/>
      <w:lang w:eastAsia="en-US"/>
    </w:rPr>
  </w:style>
  <w:style w:type="character" w:customStyle="1" w:styleId="PrrafodelistaCar">
    <w:name w:val="Párrafo de lista Car"/>
    <w:aliases w:val="Bullet 1 Car,Use Case List Paragraph Car,Lista vistosa - Énfasis 11 Car,Párrafo de lista Car Car Car Car,Footnote Car,List Paragraph2 Car,Informe Car,3 Car"/>
    <w:link w:val="Prrafodelista"/>
    <w:uiPriority w:val="34"/>
    <w:rsid w:val="00894830"/>
    <w:rPr>
      <w:rFonts w:ascii="Book Antiqua" w:eastAsia="Times New Roman" w:hAnsi="Book Antiqua" w:cs="Arial"/>
      <w:sz w:val="24"/>
      <w:szCs w:val="24"/>
      <w:lang w:val="es-ES" w:eastAsia="es-ES"/>
    </w:rPr>
  </w:style>
  <w:style w:type="paragraph" w:customStyle="1" w:styleId="ListParagraph0">
    <w:name w:val="List Paragraph0"/>
    <w:basedOn w:val="Normal"/>
    <w:qFormat/>
    <w:rsid w:val="00384914"/>
    <w:pPr>
      <w:ind w:left="720"/>
      <w:contextualSpacing/>
    </w:pPr>
    <w:rPr>
      <w:rFonts w:eastAsia="Times New Roman"/>
      <w:lang w:val="es-ES"/>
    </w:rPr>
  </w:style>
  <w:style w:type="character" w:styleId="Mencionar">
    <w:name w:val="Mention"/>
    <w:uiPriority w:val="99"/>
    <w:unhideWhenUsed/>
    <w:rPr>
      <w:color w:val="2B579A"/>
      <w:shd w:val="clear" w:color="auto" w:fill="E6E6E6"/>
    </w:rPr>
  </w:style>
  <w:style w:type="paragraph" w:styleId="Descripcin">
    <w:name w:val="caption"/>
    <w:basedOn w:val="Normal"/>
    <w:next w:val="Normal"/>
    <w:uiPriority w:val="35"/>
    <w:unhideWhenUsed/>
    <w:qFormat/>
    <w:rsid w:val="00093434"/>
    <w:rPr>
      <w:b/>
      <w:bCs/>
      <w:sz w:val="20"/>
      <w:szCs w:val="20"/>
    </w:rPr>
  </w:style>
  <w:style w:type="paragraph" w:styleId="Textoindependiente3">
    <w:name w:val="Body Text 3"/>
    <w:basedOn w:val="Normal"/>
    <w:link w:val="Textoindependiente3Car"/>
    <w:uiPriority w:val="99"/>
    <w:unhideWhenUsed/>
    <w:rsid w:val="00D32661"/>
    <w:pPr>
      <w:spacing w:after="120"/>
    </w:pPr>
    <w:rPr>
      <w:sz w:val="16"/>
      <w:szCs w:val="16"/>
    </w:rPr>
  </w:style>
  <w:style w:type="character" w:customStyle="1" w:styleId="Textoindependiente3Car">
    <w:name w:val="Texto independiente 3 Car"/>
    <w:basedOn w:val="Fuentedeprrafopredeter"/>
    <w:link w:val="Textoindependiente3"/>
    <w:uiPriority w:val="99"/>
    <w:rsid w:val="00D32661"/>
    <w:rPr>
      <w:rFonts w:ascii="Arial" w:hAnsi="Arial"/>
      <w:sz w:val="16"/>
      <w:szCs w:val="16"/>
      <w:lang w:eastAsia="en-US"/>
    </w:rPr>
  </w:style>
  <w:style w:type="table" w:styleId="Tablaconcuadrcula4-nfasis5">
    <w:name w:val="Grid Table 4 Accent 5"/>
    <w:basedOn w:val="Tablanormal"/>
    <w:uiPriority w:val="49"/>
    <w:rsid w:val="00D6219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Fuentedeprrafopredeter"/>
    <w:rsid w:val="00667B84"/>
    <w:rPr>
      <w:rFonts w:ascii="Segoe UI" w:hAnsi="Segoe UI" w:cs="Segoe UI" w:hint="default"/>
      <w:sz w:val="18"/>
      <w:szCs w:val="18"/>
    </w:rPr>
  </w:style>
  <w:style w:type="character" w:customStyle="1" w:styleId="cf11">
    <w:name w:val="cf11"/>
    <w:basedOn w:val="Fuentedeprrafopredeter"/>
    <w:rsid w:val="00667B84"/>
    <w:rPr>
      <w:rFonts w:ascii="Segoe UI" w:hAnsi="Segoe UI" w:cs="Segoe UI" w:hint="default"/>
      <w:sz w:val="18"/>
      <w:szCs w:val="18"/>
    </w:rPr>
  </w:style>
  <w:style w:type="paragraph" w:customStyle="1" w:styleId="Standard">
    <w:name w:val="Standard"/>
    <w:rsid w:val="000B6640"/>
    <w:pPr>
      <w:suppressAutoHyphens/>
      <w:textAlignment w:val="baseline"/>
    </w:pPr>
    <w:rPr>
      <w:rFonts w:ascii="Times New Roman" w:eastAsia="Times New Roman" w:hAnsi="Times New Roman"/>
      <w:sz w:val="24"/>
      <w:lang w:val="es-ES" w:eastAsia="zh-CN"/>
    </w:rPr>
  </w:style>
  <w:style w:type="table" w:styleId="Tablaconcuadrcula2-nfasis5">
    <w:name w:val="Grid Table 2 Accent 5"/>
    <w:basedOn w:val="Tablanormal"/>
    <w:uiPriority w:val="47"/>
    <w:rsid w:val="00084D8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i-provider">
    <w:name w:val="ui-provider"/>
    <w:basedOn w:val="Fuentedeprrafopredeter"/>
    <w:rsid w:val="00A94B68"/>
  </w:style>
  <w:style w:type="character" w:customStyle="1" w:styleId="html">
    <w:name w:val="html"/>
    <w:basedOn w:val="Fuentedeprrafopredeter"/>
    <w:rsid w:val="003A3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769">
      <w:bodyDiv w:val="1"/>
      <w:marLeft w:val="0"/>
      <w:marRight w:val="0"/>
      <w:marTop w:val="0"/>
      <w:marBottom w:val="0"/>
      <w:divBdr>
        <w:top w:val="none" w:sz="0" w:space="0" w:color="auto"/>
        <w:left w:val="none" w:sz="0" w:space="0" w:color="auto"/>
        <w:bottom w:val="none" w:sz="0" w:space="0" w:color="auto"/>
        <w:right w:val="none" w:sz="0" w:space="0" w:color="auto"/>
      </w:divBdr>
    </w:div>
    <w:div w:id="8338640">
      <w:bodyDiv w:val="1"/>
      <w:marLeft w:val="0"/>
      <w:marRight w:val="0"/>
      <w:marTop w:val="0"/>
      <w:marBottom w:val="0"/>
      <w:divBdr>
        <w:top w:val="none" w:sz="0" w:space="0" w:color="auto"/>
        <w:left w:val="none" w:sz="0" w:space="0" w:color="auto"/>
        <w:bottom w:val="none" w:sz="0" w:space="0" w:color="auto"/>
        <w:right w:val="none" w:sz="0" w:space="0" w:color="auto"/>
      </w:divBdr>
    </w:div>
    <w:div w:id="8534774">
      <w:bodyDiv w:val="1"/>
      <w:marLeft w:val="0"/>
      <w:marRight w:val="0"/>
      <w:marTop w:val="0"/>
      <w:marBottom w:val="0"/>
      <w:divBdr>
        <w:top w:val="none" w:sz="0" w:space="0" w:color="auto"/>
        <w:left w:val="none" w:sz="0" w:space="0" w:color="auto"/>
        <w:bottom w:val="none" w:sz="0" w:space="0" w:color="auto"/>
        <w:right w:val="none" w:sz="0" w:space="0" w:color="auto"/>
      </w:divBdr>
    </w:div>
    <w:div w:id="57213327">
      <w:bodyDiv w:val="1"/>
      <w:marLeft w:val="0"/>
      <w:marRight w:val="0"/>
      <w:marTop w:val="0"/>
      <w:marBottom w:val="0"/>
      <w:divBdr>
        <w:top w:val="none" w:sz="0" w:space="0" w:color="auto"/>
        <w:left w:val="none" w:sz="0" w:space="0" w:color="auto"/>
        <w:bottom w:val="none" w:sz="0" w:space="0" w:color="auto"/>
        <w:right w:val="none" w:sz="0" w:space="0" w:color="auto"/>
      </w:divBdr>
    </w:div>
    <w:div w:id="75901756">
      <w:bodyDiv w:val="1"/>
      <w:marLeft w:val="0"/>
      <w:marRight w:val="0"/>
      <w:marTop w:val="0"/>
      <w:marBottom w:val="0"/>
      <w:divBdr>
        <w:top w:val="none" w:sz="0" w:space="0" w:color="auto"/>
        <w:left w:val="none" w:sz="0" w:space="0" w:color="auto"/>
        <w:bottom w:val="none" w:sz="0" w:space="0" w:color="auto"/>
        <w:right w:val="none" w:sz="0" w:space="0" w:color="auto"/>
      </w:divBdr>
    </w:div>
    <w:div w:id="115762894">
      <w:bodyDiv w:val="1"/>
      <w:marLeft w:val="0"/>
      <w:marRight w:val="0"/>
      <w:marTop w:val="0"/>
      <w:marBottom w:val="0"/>
      <w:divBdr>
        <w:top w:val="none" w:sz="0" w:space="0" w:color="auto"/>
        <w:left w:val="none" w:sz="0" w:space="0" w:color="auto"/>
        <w:bottom w:val="none" w:sz="0" w:space="0" w:color="auto"/>
        <w:right w:val="none" w:sz="0" w:space="0" w:color="auto"/>
      </w:divBdr>
    </w:div>
    <w:div w:id="168255058">
      <w:bodyDiv w:val="1"/>
      <w:marLeft w:val="0"/>
      <w:marRight w:val="0"/>
      <w:marTop w:val="0"/>
      <w:marBottom w:val="0"/>
      <w:divBdr>
        <w:top w:val="none" w:sz="0" w:space="0" w:color="auto"/>
        <w:left w:val="none" w:sz="0" w:space="0" w:color="auto"/>
        <w:bottom w:val="none" w:sz="0" w:space="0" w:color="auto"/>
        <w:right w:val="none" w:sz="0" w:space="0" w:color="auto"/>
      </w:divBdr>
    </w:div>
    <w:div w:id="203715278">
      <w:bodyDiv w:val="1"/>
      <w:marLeft w:val="0"/>
      <w:marRight w:val="0"/>
      <w:marTop w:val="0"/>
      <w:marBottom w:val="0"/>
      <w:divBdr>
        <w:top w:val="none" w:sz="0" w:space="0" w:color="auto"/>
        <w:left w:val="none" w:sz="0" w:space="0" w:color="auto"/>
        <w:bottom w:val="none" w:sz="0" w:space="0" w:color="auto"/>
        <w:right w:val="none" w:sz="0" w:space="0" w:color="auto"/>
      </w:divBdr>
    </w:div>
    <w:div w:id="209270796">
      <w:bodyDiv w:val="1"/>
      <w:marLeft w:val="0"/>
      <w:marRight w:val="0"/>
      <w:marTop w:val="0"/>
      <w:marBottom w:val="0"/>
      <w:divBdr>
        <w:top w:val="none" w:sz="0" w:space="0" w:color="auto"/>
        <w:left w:val="none" w:sz="0" w:space="0" w:color="auto"/>
        <w:bottom w:val="none" w:sz="0" w:space="0" w:color="auto"/>
        <w:right w:val="none" w:sz="0" w:space="0" w:color="auto"/>
      </w:divBdr>
    </w:div>
    <w:div w:id="255670038">
      <w:bodyDiv w:val="1"/>
      <w:marLeft w:val="0"/>
      <w:marRight w:val="0"/>
      <w:marTop w:val="0"/>
      <w:marBottom w:val="0"/>
      <w:divBdr>
        <w:top w:val="none" w:sz="0" w:space="0" w:color="auto"/>
        <w:left w:val="none" w:sz="0" w:space="0" w:color="auto"/>
        <w:bottom w:val="none" w:sz="0" w:space="0" w:color="auto"/>
        <w:right w:val="none" w:sz="0" w:space="0" w:color="auto"/>
      </w:divBdr>
    </w:div>
    <w:div w:id="257064226">
      <w:bodyDiv w:val="1"/>
      <w:marLeft w:val="0"/>
      <w:marRight w:val="0"/>
      <w:marTop w:val="0"/>
      <w:marBottom w:val="0"/>
      <w:divBdr>
        <w:top w:val="none" w:sz="0" w:space="0" w:color="auto"/>
        <w:left w:val="none" w:sz="0" w:space="0" w:color="auto"/>
        <w:bottom w:val="none" w:sz="0" w:space="0" w:color="auto"/>
        <w:right w:val="none" w:sz="0" w:space="0" w:color="auto"/>
      </w:divBdr>
    </w:div>
    <w:div w:id="259992444">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8318761">
      <w:bodyDiv w:val="1"/>
      <w:marLeft w:val="0"/>
      <w:marRight w:val="0"/>
      <w:marTop w:val="0"/>
      <w:marBottom w:val="0"/>
      <w:divBdr>
        <w:top w:val="none" w:sz="0" w:space="0" w:color="auto"/>
        <w:left w:val="none" w:sz="0" w:space="0" w:color="auto"/>
        <w:bottom w:val="none" w:sz="0" w:space="0" w:color="auto"/>
        <w:right w:val="none" w:sz="0" w:space="0" w:color="auto"/>
      </w:divBdr>
    </w:div>
    <w:div w:id="293946859">
      <w:bodyDiv w:val="1"/>
      <w:marLeft w:val="0"/>
      <w:marRight w:val="0"/>
      <w:marTop w:val="0"/>
      <w:marBottom w:val="0"/>
      <w:divBdr>
        <w:top w:val="none" w:sz="0" w:space="0" w:color="auto"/>
        <w:left w:val="none" w:sz="0" w:space="0" w:color="auto"/>
        <w:bottom w:val="none" w:sz="0" w:space="0" w:color="auto"/>
        <w:right w:val="none" w:sz="0" w:space="0" w:color="auto"/>
      </w:divBdr>
    </w:div>
    <w:div w:id="308246893">
      <w:bodyDiv w:val="1"/>
      <w:marLeft w:val="0"/>
      <w:marRight w:val="0"/>
      <w:marTop w:val="0"/>
      <w:marBottom w:val="0"/>
      <w:divBdr>
        <w:top w:val="none" w:sz="0" w:space="0" w:color="auto"/>
        <w:left w:val="none" w:sz="0" w:space="0" w:color="auto"/>
        <w:bottom w:val="none" w:sz="0" w:space="0" w:color="auto"/>
        <w:right w:val="none" w:sz="0" w:space="0" w:color="auto"/>
      </w:divBdr>
    </w:div>
    <w:div w:id="321206445">
      <w:bodyDiv w:val="1"/>
      <w:marLeft w:val="0"/>
      <w:marRight w:val="0"/>
      <w:marTop w:val="0"/>
      <w:marBottom w:val="0"/>
      <w:divBdr>
        <w:top w:val="none" w:sz="0" w:space="0" w:color="auto"/>
        <w:left w:val="none" w:sz="0" w:space="0" w:color="auto"/>
        <w:bottom w:val="none" w:sz="0" w:space="0" w:color="auto"/>
        <w:right w:val="none" w:sz="0" w:space="0" w:color="auto"/>
      </w:divBdr>
    </w:div>
    <w:div w:id="347490001">
      <w:bodyDiv w:val="1"/>
      <w:marLeft w:val="0"/>
      <w:marRight w:val="0"/>
      <w:marTop w:val="0"/>
      <w:marBottom w:val="0"/>
      <w:divBdr>
        <w:top w:val="none" w:sz="0" w:space="0" w:color="auto"/>
        <w:left w:val="none" w:sz="0" w:space="0" w:color="auto"/>
        <w:bottom w:val="none" w:sz="0" w:space="0" w:color="auto"/>
        <w:right w:val="none" w:sz="0" w:space="0" w:color="auto"/>
      </w:divBdr>
    </w:div>
    <w:div w:id="356200770">
      <w:bodyDiv w:val="1"/>
      <w:marLeft w:val="0"/>
      <w:marRight w:val="0"/>
      <w:marTop w:val="0"/>
      <w:marBottom w:val="0"/>
      <w:divBdr>
        <w:top w:val="none" w:sz="0" w:space="0" w:color="auto"/>
        <w:left w:val="none" w:sz="0" w:space="0" w:color="auto"/>
        <w:bottom w:val="none" w:sz="0" w:space="0" w:color="auto"/>
        <w:right w:val="none" w:sz="0" w:space="0" w:color="auto"/>
      </w:divBdr>
    </w:div>
    <w:div w:id="370033168">
      <w:bodyDiv w:val="1"/>
      <w:marLeft w:val="0"/>
      <w:marRight w:val="0"/>
      <w:marTop w:val="0"/>
      <w:marBottom w:val="0"/>
      <w:divBdr>
        <w:top w:val="none" w:sz="0" w:space="0" w:color="auto"/>
        <w:left w:val="none" w:sz="0" w:space="0" w:color="auto"/>
        <w:bottom w:val="none" w:sz="0" w:space="0" w:color="auto"/>
        <w:right w:val="none" w:sz="0" w:space="0" w:color="auto"/>
      </w:divBdr>
    </w:div>
    <w:div w:id="383600727">
      <w:bodyDiv w:val="1"/>
      <w:marLeft w:val="0"/>
      <w:marRight w:val="0"/>
      <w:marTop w:val="0"/>
      <w:marBottom w:val="0"/>
      <w:divBdr>
        <w:top w:val="none" w:sz="0" w:space="0" w:color="auto"/>
        <w:left w:val="none" w:sz="0" w:space="0" w:color="auto"/>
        <w:bottom w:val="none" w:sz="0" w:space="0" w:color="auto"/>
        <w:right w:val="none" w:sz="0" w:space="0" w:color="auto"/>
      </w:divBdr>
    </w:div>
    <w:div w:id="383913303">
      <w:bodyDiv w:val="1"/>
      <w:marLeft w:val="0"/>
      <w:marRight w:val="0"/>
      <w:marTop w:val="0"/>
      <w:marBottom w:val="0"/>
      <w:divBdr>
        <w:top w:val="none" w:sz="0" w:space="0" w:color="auto"/>
        <w:left w:val="none" w:sz="0" w:space="0" w:color="auto"/>
        <w:bottom w:val="none" w:sz="0" w:space="0" w:color="auto"/>
        <w:right w:val="none" w:sz="0" w:space="0" w:color="auto"/>
      </w:divBdr>
    </w:div>
    <w:div w:id="422727318">
      <w:bodyDiv w:val="1"/>
      <w:marLeft w:val="0"/>
      <w:marRight w:val="0"/>
      <w:marTop w:val="0"/>
      <w:marBottom w:val="0"/>
      <w:divBdr>
        <w:top w:val="none" w:sz="0" w:space="0" w:color="auto"/>
        <w:left w:val="none" w:sz="0" w:space="0" w:color="auto"/>
        <w:bottom w:val="none" w:sz="0" w:space="0" w:color="auto"/>
        <w:right w:val="none" w:sz="0" w:space="0" w:color="auto"/>
      </w:divBdr>
    </w:div>
    <w:div w:id="429201724">
      <w:bodyDiv w:val="1"/>
      <w:marLeft w:val="0"/>
      <w:marRight w:val="0"/>
      <w:marTop w:val="0"/>
      <w:marBottom w:val="0"/>
      <w:divBdr>
        <w:top w:val="none" w:sz="0" w:space="0" w:color="auto"/>
        <w:left w:val="none" w:sz="0" w:space="0" w:color="auto"/>
        <w:bottom w:val="none" w:sz="0" w:space="0" w:color="auto"/>
        <w:right w:val="none" w:sz="0" w:space="0" w:color="auto"/>
      </w:divBdr>
    </w:div>
    <w:div w:id="438915617">
      <w:bodyDiv w:val="1"/>
      <w:marLeft w:val="0"/>
      <w:marRight w:val="0"/>
      <w:marTop w:val="0"/>
      <w:marBottom w:val="0"/>
      <w:divBdr>
        <w:top w:val="none" w:sz="0" w:space="0" w:color="auto"/>
        <w:left w:val="none" w:sz="0" w:space="0" w:color="auto"/>
        <w:bottom w:val="none" w:sz="0" w:space="0" w:color="auto"/>
        <w:right w:val="none" w:sz="0" w:space="0" w:color="auto"/>
      </w:divBdr>
    </w:div>
    <w:div w:id="456410399">
      <w:bodyDiv w:val="1"/>
      <w:marLeft w:val="0"/>
      <w:marRight w:val="0"/>
      <w:marTop w:val="0"/>
      <w:marBottom w:val="0"/>
      <w:divBdr>
        <w:top w:val="none" w:sz="0" w:space="0" w:color="auto"/>
        <w:left w:val="none" w:sz="0" w:space="0" w:color="auto"/>
        <w:bottom w:val="none" w:sz="0" w:space="0" w:color="auto"/>
        <w:right w:val="none" w:sz="0" w:space="0" w:color="auto"/>
      </w:divBdr>
    </w:div>
    <w:div w:id="492988923">
      <w:bodyDiv w:val="1"/>
      <w:marLeft w:val="0"/>
      <w:marRight w:val="0"/>
      <w:marTop w:val="0"/>
      <w:marBottom w:val="0"/>
      <w:divBdr>
        <w:top w:val="none" w:sz="0" w:space="0" w:color="auto"/>
        <w:left w:val="none" w:sz="0" w:space="0" w:color="auto"/>
        <w:bottom w:val="none" w:sz="0" w:space="0" w:color="auto"/>
        <w:right w:val="none" w:sz="0" w:space="0" w:color="auto"/>
      </w:divBdr>
    </w:div>
    <w:div w:id="497383949">
      <w:bodyDiv w:val="1"/>
      <w:marLeft w:val="0"/>
      <w:marRight w:val="0"/>
      <w:marTop w:val="0"/>
      <w:marBottom w:val="0"/>
      <w:divBdr>
        <w:top w:val="none" w:sz="0" w:space="0" w:color="auto"/>
        <w:left w:val="none" w:sz="0" w:space="0" w:color="auto"/>
        <w:bottom w:val="none" w:sz="0" w:space="0" w:color="auto"/>
        <w:right w:val="none" w:sz="0" w:space="0" w:color="auto"/>
      </w:divBdr>
    </w:div>
    <w:div w:id="504898474">
      <w:bodyDiv w:val="1"/>
      <w:marLeft w:val="0"/>
      <w:marRight w:val="0"/>
      <w:marTop w:val="0"/>
      <w:marBottom w:val="0"/>
      <w:divBdr>
        <w:top w:val="none" w:sz="0" w:space="0" w:color="auto"/>
        <w:left w:val="none" w:sz="0" w:space="0" w:color="auto"/>
        <w:bottom w:val="none" w:sz="0" w:space="0" w:color="auto"/>
        <w:right w:val="none" w:sz="0" w:space="0" w:color="auto"/>
      </w:divBdr>
    </w:div>
    <w:div w:id="511453307">
      <w:bodyDiv w:val="1"/>
      <w:marLeft w:val="0"/>
      <w:marRight w:val="0"/>
      <w:marTop w:val="0"/>
      <w:marBottom w:val="0"/>
      <w:divBdr>
        <w:top w:val="none" w:sz="0" w:space="0" w:color="auto"/>
        <w:left w:val="none" w:sz="0" w:space="0" w:color="auto"/>
        <w:bottom w:val="none" w:sz="0" w:space="0" w:color="auto"/>
        <w:right w:val="none" w:sz="0" w:space="0" w:color="auto"/>
      </w:divBdr>
    </w:div>
    <w:div w:id="538317815">
      <w:bodyDiv w:val="1"/>
      <w:marLeft w:val="0"/>
      <w:marRight w:val="0"/>
      <w:marTop w:val="0"/>
      <w:marBottom w:val="0"/>
      <w:divBdr>
        <w:top w:val="none" w:sz="0" w:space="0" w:color="auto"/>
        <w:left w:val="none" w:sz="0" w:space="0" w:color="auto"/>
        <w:bottom w:val="none" w:sz="0" w:space="0" w:color="auto"/>
        <w:right w:val="none" w:sz="0" w:space="0" w:color="auto"/>
      </w:divBdr>
    </w:div>
    <w:div w:id="543369426">
      <w:bodyDiv w:val="1"/>
      <w:marLeft w:val="0"/>
      <w:marRight w:val="0"/>
      <w:marTop w:val="0"/>
      <w:marBottom w:val="0"/>
      <w:divBdr>
        <w:top w:val="none" w:sz="0" w:space="0" w:color="auto"/>
        <w:left w:val="none" w:sz="0" w:space="0" w:color="auto"/>
        <w:bottom w:val="none" w:sz="0" w:space="0" w:color="auto"/>
        <w:right w:val="none" w:sz="0" w:space="0" w:color="auto"/>
      </w:divBdr>
    </w:div>
    <w:div w:id="544025151">
      <w:bodyDiv w:val="1"/>
      <w:marLeft w:val="0"/>
      <w:marRight w:val="0"/>
      <w:marTop w:val="0"/>
      <w:marBottom w:val="0"/>
      <w:divBdr>
        <w:top w:val="none" w:sz="0" w:space="0" w:color="auto"/>
        <w:left w:val="none" w:sz="0" w:space="0" w:color="auto"/>
        <w:bottom w:val="none" w:sz="0" w:space="0" w:color="auto"/>
        <w:right w:val="none" w:sz="0" w:space="0" w:color="auto"/>
      </w:divBdr>
    </w:div>
    <w:div w:id="556361493">
      <w:bodyDiv w:val="1"/>
      <w:marLeft w:val="0"/>
      <w:marRight w:val="0"/>
      <w:marTop w:val="0"/>
      <w:marBottom w:val="0"/>
      <w:divBdr>
        <w:top w:val="none" w:sz="0" w:space="0" w:color="auto"/>
        <w:left w:val="none" w:sz="0" w:space="0" w:color="auto"/>
        <w:bottom w:val="none" w:sz="0" w:space="0" w:color="auto"/>
        <w:right w:val="none" w:sz="0" w:space="0" w:color="auto"/>
      </w:divBdr>
    </w:div>
    <w:div w:id="575170578">
      <w:bodyDiv w:val="1"/>
      <w:marLeft w:val="0"/>
      <w:marRight w:val="0"/>
      <w:marTop w:val="0"/>
      <w:marBottom w:val="0"/>
      <w:divBdr>
        <w:top w:val="none" w:sz="0" w:space="0" w:color="auto"/>
        <w:left w:val="none" w:sz="0" w:space="0" w:color="auto"/>
        <w:bottom w:val="none" w:sz="0" w:space="0" w:color="auto"/>
        <w:right w:val="none" w:sz="0" w:space="0" w:color="auto"/>
      </w:divBdr>
    </w:div>
    <w:div w:id="589243408">
      <w:bodyDiv w:val="1"/>
      <w:marLeft w:val="0"/>
      <w:marRight w:val="0"/>
      <w:marTop w:val="0"/>
      <w:marBottom w:val="0"/>
      <w:divBdr>
        <w:top w:val="none" w:sz="0" w:space="0" w:color="auto"/>
        <w:left w:val="none" w:sz="0" w:space="0" w:color="auto"/>
        <w:bottom w:val="none" w:sz="0" w:space="0" w:color="auto"/>
        <w:right w:val="none" w:sz="0" w:space="0" w:color="auto"/>
      </w:divBdr>
    </w:div>
    <w:div w:id="601957894">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608582208">
      <w:bodyDiv w:val="1"/>
      <w:marLeft w:val="0"/>
      <w:marRight w:val="0"/>
      <w:marTop w:val="0"/>
      <w:marBottom w:val="0"/>
      <w:divBdr>
        <w:top w:val="none" w:sz="0" w:space="0" w:color="auto"/>
        <w:left w:val="none" w:sz="0" w:space="0" w:color="auto"/>
        <w:bottom w:val="none" w:sz="0" w:space="0" w:color="auto"/>
        <w:right w:val="none" w:sz="0" w:space="0" w:color="auto"/>
      </w:divBdr>
    </w:div>
    <w:div w:id="623584176">
      <w:bodyDiv w:val="1"/>
      <w:marLeft w:val="0"/>
      <w:marRight w:val="0"/>
      <w:marTop w:val="0"/>
      <w:marBottom w:val="0"/>
      <w:divBdr>
        <w:top w:val="none" w:sz="0" w:space="0" w:color="auto"/>
        <w:left w:val="none" w:sz="0" w:space="0" w:color="auto"/>
        <w:bottom w:val="none" w:sz="0" w:space="0" w:color="auto"/>
        <w:right w:val="none" w:sz="0" w:space="0" w:color="auto"/>
      </w:divBdr>
    </w:div>
    <w:div w:id="644820562">
      <w:bodyDiv w:val="1"/>
      <w:marLeft w:val="0"/>
      <w:marRight w:val="0"/>
      <w:marTop w:val="0"/>
      <w:marBottom w:val="0"/>
      <w:divBdr>
        <w:top w:val="none" w:sz="0" w:space="0" w:color="auto"/>
        <w:left w:val="none" w:sz="0" w:space="0" w:color="auto"/>
        <w:bottom w:val="none" w:sz="0" w:space="0" w:color="auto"/>
        <w:right w:val="none" w:sz="0" w:space="0" w:color="auto"/>
      </w:divBdr>
    </w:div>
    <w:div w:id="671223934">
      <w:bodyDiv w:val="1"/>
      <w:marLeft w:val="0"/>
      <w:marRight w:val="0"/>
      <w:marTop w:val="0"/>
      <w:marBottom w:val="0"/>
      <w:divBdr>
        <w:top w:val="none" w:sz="0" w:space="0" w:color="auto"/>
        <w:left w:val="none" w:sz="0" w:space="0" w:color="auto"/>
        <w:bottom w:val="none" w:sz="0" w:space="0" w:color="auto"/>
        <w:right w:val="none" w:sz="0" w:space="0" w:color="auto"/>
      </w:divBdr>
    </w:div>
    <w:div w:id="701789195">
      <w:bodyDiv w:val="1"/>
      <w:marLeft w:val="0"/>
      <w:marRight w:val="0"/>
      <w:marTop w:val="0"/>
      <w:marBottom w:val="0"/>
      <w:divBdr>
        <w:top w:val="none" w:sz="0" w:space="0" w:color="auto"/>
        <w:left w:val="none" w:sz="0" w:space="0" w:color="auto"/>
        <w:bottom w:val="none" w:sz="0" w:space="0" w:color="auto"/>
        <w:right w:val="none" w:sz="0" w:space="0" w:color="auto"/>
      </w:divBdr>
    </w:div>
    <w:div w:id="702754774">
      <w:bodyDiv w:val="1"/>
      <w:marLeft w:val="0"/>
      <w:marRight w:val="0"/>
      <w:marTop w:val="0"/>
      <w:marBottom w:val="0"/>
      <w:divBdr>
        <w:top w:val="none" w:sz="0" w:space="0" w:color="auto"/>
        <w:left w:val="none" w:sz="0" w:space="0" w:color="auto"/>
        <w:bottom w:val="none" w:sz="0" w:space="0" w:color="auto"/>
        <w:right w:val="none" w:sz="0" w:space="0" w:color="auto"/>
      </w:divBdr>
    </w:div>
    <w:div w:id="703555145">
      <w:bodyDiv w:val="1"/>
      <w:marLeft w:val="0"/>
      <w:marRight w:val="0"/>
      <w:marTop w:val="0"/>
      <w:marBottom w:val="0"/>
      <w:divBdr>
        <w:top w:val="none" w:sz="0" w:space="0" w:color="auto"/>
        <w:left w:val="none" w:sz="0" w:space="0" w:color="auto"/>
        <w:bottom w:val="none" w:sz="0" w:space="0" w:color="auto"/>
        <w:right w:val="none" w:sz="0" w:space="0" w:color="auto"/>
      </w:divBdr>
    </w:div>
    <w:div w:id="714160594">
      <w:bodyDiv w:val="1"/>
      <w:marLeft w:val="0"/>
      <w:marRight w:val="0"/>
      <w:marTop w:val="0"/>
      <w:marBottom w:val="0"/>
      <w:divBdr>
        <w:top w:val="none" w:sz="0" w:space="0" w:color="auto"/>
        <w:left w:val="none" w:sz="0" w:space="0" w:color="auto"/>
        <w:bottom w:val="none" w:sz="0" w:space="0" w:color="auto"/>
        <w:right w:val="none" w:sz="0" w:space="0" w:color="auto"/>
      </w:divBdr>
    </w:div>
    <w:div w:id="719019418">
      <w:bodyDiv w:val="1"/>
      <w:marLeft w:val="0"/>
      <w:marRight w:val="0"/>
      <w:marTop w:val="0"/>
      <w:marBottom w:val="0"/>
      <w:divBdr>
        <w:top w:val="none" w:sz="0" w:space="0" w:color="auto"/>
        <w:left w:val="none" w:sz="0" w:space="0" w:color="auto"/>
        <w:bottom w:val="none" w:sz="0" w:space="0" w:color="auto"/>
        <w:right w:val="none" w:sz="0" w:space="0" w:color="auto"/>
      </w:divBdr>
    </w:div>
    <w:div w:id="720902946">
      <w:bodyDiv w:val="1"/>
      <w:marLeft w:val="0"/>
      <w:marRight w:val="0"/>
      <w:marTop w:val="0"/>
      <w:marBottom w:val="0"/>
      <w:divBdr>
        <w:top w:val="none" w:sz="0" w:space="0" w:color="auto"/>
        <w:left w:val="none" w:sz="0" w:space="0" w:color="auto"/>
        <w:bottom w:val="none" w:sz="0" w:space="0" w:color="auto"/>
        <w:right w:val="none" w:sz="0" w:space="0" w:color="auto"/>
      </w:divBdr>
    </w:div>
    <w:div w:id="726537007">
      <w:bodyDiv w:val="1"/>
      <w:marLeft w:val="0"/>
      <w:marRight w:val="0"/>
      <w:marTop w:val="0"/>
      <w:marBottom w:val="0"/>
      <w:divBdr>
        <w:top w:val="none" w:sz="0" w:space="0" w:color="auto"/>
        <w:left w:val="none" w:sz="0" w:space="0" w:color="auto"/>
        <w:bottom w:val="none" w:sz="0" w:space="0" w:color="auto"/>
        <w:right w:val="none" w:sz="0" w:space="0" w:color="auto"/>
      </w:divBdr>
    </w:div>
    <w:div w:id="729038304">
      <w:bodyDiv w:val="1"/>
      <w:marLeft w:val="0"/>
      <w:marRight w:val="0"/>
      <w:marTop w:val="0"/>
      <w:marBottom w:val="0"/>
      <w:divBdr>
        <w:top w:val="none" w:sz="0" w:space="0" w:color="auto"/>
        <w:left w:val="none" w:sz="0" w:space="0" w:color="auto"/>
        <w:bottom w:val="none" w:sz="0" w:space="0" w:color="auto"/>
        <w:right w:val="none" w:sz="0" w:space="0" w:color="auto"/>
      </w:divBdr>
    </w:div>
    <w:div w:id="734201549">
      <w:bodyDiv w:val="1"/>
      <w:marLeft w:val="0"/>
      <w:marRight w:val="0"/>
      <w:marTop w:val="0"/>
      <w:marBottom w:val="0"/>
      <w:divBdr>
        <w:top w:val="none" w:sz="0" w:space="0" w:color="auto"/>
        <w:left w:val="none" w:sz="0" w:space="0" w:color="auto"/>
        <w:bottom w:val="none" w:sz="0" w:space="0" w:color="auto"/>
        <w:right w:val="none" w:sz="0" w:space="0" w:color="auto"/>
      </w:divBdr>
    </w:div>
    <w:div w:id="750279125">
      <w:bodyDiv w:val="1"/>
      <w:marLeft w:val="0"/>
      <w:marRight w:val="0"/>
      <w:marTop w:val="0"/>
      <w:marBottom w:val="0"/>
      <w:divBdr>
        <w:top w:val="none" w:sz="0" w:space="0" w:color="auto"/>
        <w:left w:val="none" w:sz="0" w:space="0" w:color="auto"/>
        <w:bottom w:val="none" w:sz="0" w:space="0" w:color="auto"/>
        <w:right w:val="none" w:sz="0" w:space="0" w:color="auto"/>
      </w:divBdr>
    </w:div>
    <w:div w:id="754981751">
      <w:bodyDiv w:val="1"/>
      <w:marLeft w:val="0"/>
      <w:marRight w:val="0"/>
      <w:marTop w:val="0"/>
      <w:marBottom w:val="0"/>
      <w:divBdr>
        <w:top w:val="none" w:sz="0" w:space="0" w:color="auto"/>
        <w:left w:val="none" w:sz="0" w:space="0" w:color="auto"/>
        <w:bottom w:val="none" w:sz="0" w:space="0" w:color="auto"/>
        <w:right w:val="none" w:sz="0" w:space="0" w:color="auto"/>
      </w:divBdr>
    </w:div>
    <w:div w:id="761991999">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5586647">
      <w:bodyDiv w:val="1"/>
      <w:marLeft w:val="0"/>
      <w:marRight w:val="0"/>
      <w:marTop w:val="0"/>
      <w:marBottom w:val="0"/>
      <w:divBdr>
        <w:top w:val="none" w:sz="0" w:space="0" w:color="auto"/>
        <w:left w:val="none" w:sz="0" w:space="0" w:color="auto"/>
        <w:bottom w:val="none" w:sz="0" w:space="0" w:color="auto"/>
        <w:right w:val="none" w:sz="0" w:space="0" w:color="auto"/>
      </w:divBdr>
      <w:divsChild>
        <w:div w:id="2016878572">
          <w:marLeft w:val="0"/>
          <w:marRight w:val="0"/>
          <w:marTop w:val="0"/>
          <w:marBottom w:val="0"/>
          <w:divBdr>
            <w:top w:val="none" w:sz="0" w:space="0" w:color="auto"/>
            <w:left w:val="none" w:sz="0" w:space="0" w:color="auto"/>
            <w:bottom w:val="none" w:sz="0" w:space="0" w:color="auto"/>
            <w:right w:val="none" w:sz="0" w:space="0" w:color="auto"/>
          </w:divBdr>
        </w:div>
      </w:divsChild>
    </w:div>
    <w:div w:id="793183468">
      <w:bodyDiv w:val="1"/>
      <w:marLeft w:val="0"/>
      <w:marRight w:val="0"/>
      <w:marTop w:val="0"/>
      <w:marBottom w:val="0"/>
      <w:divBdr>
        <w:top w:val="none" w:sz="0" w:space="0" w:color="auto"/>
        <w:left w:val="none" w:sz="0" w:space="0" w:color="auto"/>
        <w:bottom w:val="none" w:sz="0" w:space="0" w:color="auto"/>
        <w:right w:val="none" w:sz="0" w:space="0" w:color="auto"/>
      </w:divBdr>
    </w:div>
    <w:div w:id="798642921">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11364954">
      <w:bodyDiv w:val="1"/>
      <w:marLeft w:val="0"/>
      <w:marRight w:val="0"/>
      <w:marTop w:val="0"/>
      <w:marBottom w:val="0"/>
      <w:divBdr>
        <w:top w:val="none" w:sz="0" w:space="0" w:color="auto"/>
        <w:left w:val="none" w:sz="0" w:space="0" w:color="auto"/>
        <w:bottom w:val="none" w:sz="0" w:space="0" w:color="auto"/>
        <w:right w:val="none" w:sz="0" w:space="0" w:color="auto"/>
      </w:divBdr>
    </w:div>
    <w:div w:id="811366073">
      <w:bodyDiv w:val="1"/>
      <w:marLeft w:val="0"/>
      <w:marRight w:val="0"/>
      <w:marTop w:val="0"/>
      <w:marBottom w:val="0"/>
      <w:divBdr>
        <w:top w:val="none" w:sz="0" w:space="0" w:color="auto"/>
        <w:left w:val="none" w:sz="0" w:space="0" w:color="auto"/>
        <w:bottom w:val="none" w:sz="0" w:space="0" w:color="auto"/>
        <w:right w:val="none" w:sz="0" w:space="0" w:color="auto"/>
      </w:divBdr>
    </w:div>
    <w:div w:id="812329992">
      <w:bodyDiv w:val="1"/>
      <w:marLeft w:val="0"/>
      <w:marRight w:val="0"/>
      <w:marTop w:val="0"/>
      <w:marBottom w:val="0"/>
      <w:divBdr>
        <w:top w:val="none" w:sz="0" w:space="0" w:color="auto"/>
        <w:left w:val="none" w:sz="0" w:space="0" w:color="auto"/>
        <w:bottom w:val="none" w:sz="0" w:space="0" w:color="auto"/>
        <w:right w:val="none" w:sz="0" w:space="0" w:color="auto"/>
      </w:divBdr>
    </w:div>
    <w:div w:id="819540966">
      <w:bodyDiv w:val="1"/>
      <w:marLeft w:val="0"/>
      <w:marRight w:val="0"/>
      <w:marTop w:val="0"/>
      <w:marBottom w:val="0"/>
      <w:divBdr>
        <w:top w:val="none" w:sz="0" w:space="0" w:color="auto"/>
        <w:left w:val="none" w:sz="0" w:space="0" w:color="auto"/>
        <w:bottom w:val="none" w:sz="0" w:space="0" w:color="auto"/>
        <w:right w:val="none" w:sz="0" w:space="0" w:color="auto"/>
      </w:divBdr>
    </w:div>
    <w:div w:id="827287570">
      <w:bodyDiv w:val="1"/>
      <w:marLeft w:val="0"/>
      <w:marRight w:val="0"/>
      <w:marTop w:val="0"/>
      <w:marBottom w:val="0"/>
      <w:divBdr>
        <w:top w:val="none" w:sz="0" w:space="0" w:color="auto"/>
        <w:left w:val="none" w:sz="0" w:space="0" w:color="auto"/>
        <w:bottom w:val="none" w:sz="0" w:space="0" w:color="auto"/>
        <w:right w:val="none" w:sz="0" w:space="0" w:color="auto"/>
      </w:divBdr>
    </w:div>
    <w:div w:id="828442243">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47599260">
      <w:bodyDiv w:val="1"/>
      <w:marLeft w:val="0"/>
      <w:marRight w:val="0"/>
      <w:marTop w:val="0"/>
      <w:marBottom w:val="0"/>
      <w:divBdr>
        <w:top w:val="none" w:sz="0" w:space="0" w:color="auto"/>
        <w:left w:val="none" w:sz="0" w:space="0" w:color="auto"/>
        <w:bottom w:val="none" w:sz="0" w:space="0" w:color="auto"/>
        <w:right w:val="none" w:sz="0" w:space="0" w:color="auto"/>
      </w:divBdr>
    </w:div>
    <w:div w:id="856314719">
      <w:bodyDiv w:val="1"/>
      <w:marLeft w:val="0"/>
      <w:marRight w:val="0"/>
      <w:marTop w:val="0"/>
      <w:marBottom w:val="0"/>
      <w:divBdr>
        <w:top w:val="none" w:sz="0" w:space="0" w:color="auto"/>
        <w:left w:val="none" w:sz="0" w:space="0" w:color="auto"/>
        <w:bottom w:val="none" w:sz="0" w:space="0" w:color="auto"/>
        <w:right w:val="none" w:sz="0" w:space="0" w:color="auto"/>
      </w:divBdr>
    </w:div>
    <w:div w:id="858085937">
      <w:bodyDiv w:val="1"/>
      <w:marLeft w:val="0"/>
      <w:marRight w:val="0"/>
      <w:marTop w:val="0"/>
      <w:marBottom w:val="0"/>
      <w:divBdr>
        <w:top w:val="none" w:sz="0" w:space="0" w:color="auto"/>
        <w:left w:val="none" w:sz="0" w:space="0" w:color="auto"/>
        <w:bottom w:val="none" w:sz="0" w:space="0" w:color="auto"/>
        <w:right w:val="none" w:sz="0" w:space="0" w:color="auto"/>
      </w:divBdr>
    </w:div>
    <w:div w:id="898130074">
      <w:bodyDiv w:val="1"/>
      <w:marLeft w:val="0"/>
      <w:marRight w:val="0"/>
      <w:marTop w:val="0"/>
      <w:marBottom w:val="0"/>
      <w:divBdr>
        <w:top w:val="none" w:sz="0" w:space="0" w:color="auto"/>
        <w:left w:val="none" w:sz="0" w:space="0" w:color="auto"/>
        <w:bottom w:val="none" w:sz="0" w:space="0" w:color="auto"/>
        <w:right w:val="none" w:sz="0" w:space="0" w:color="auto"/>
      </w:divBdr>
    </w:div>
    <w:div w:id="910433045">
      <w:bodyDiv w:val="1"/>
      <w:marLeft w:val="0"/>
      <w:marRight w:val="0"/>
      <w:marTop w:val="0"/>
      <w:marBottom w:val="0"/>
      <w:divBdr>
        <w:top w:val="none" w:sz="0" w:space="0" w:color="auto"/>
        <w:left w:val="none" w:sz="0" w:space="0" w:color="auto"/>
        <w:bottom w:val="none" w:sz="0" w:space="0" w:color="auto"/>
        <w:right w:val="none" w:sz="0" w:space="0" w:color="auto"/>
      </w:divBdr>
    </w:div>
    <w:div w:id="945888211">
      <w:bodyDiv w:val="1"/>
      <w:marLeft w:val="0"/>
      <w:marRight w:val="0"/>
      <w:marTop w:val="0"/>
      <w:marBottom w:val="0"/>
      <w:divBdr>
        <w:top w:val="none" w:sz="0" w:space="0" w:color="auto"/>
        <w:left w:val="none" w:sz="0" w:space="0" w:color="auto"/>
        <w:bottom w:val="none" w:sz="0" w:space="0" w:color="auto"/>
        <w:right w:val="none" w:sz="0" w:space="0" w:color="auto"/>
      </w:divBdr>
    </w:div>
    <w:div w:id="965046302">
      <w:bodyDiv w:val="1"/>
      <w:marLeft w:val="0"/>
      <w:marRight w:val="0"/>
      <w:marTop w:val="0"/>
      <w:marBottom w:val="0"/>
      <w:divBdr>
        <w:top w:val="none" w:sz="0" w:space="0" w:color="auto"/>
        <w:left w:val="none" w:sz="0" w:space="0" w:color="auto"/>
        <w:bottom w:val="none" w:sz="0" w:space="0" w:color="auto"/>
        <w:right w:val="none" w:sz="0" w:space="0" w:color="auto"/>
      </w:divBdr>
    </w:div>
    <w:div w:id="1014453766">
      <w:bodyDiv w:val="1"/>
      <w:marLeft w:val="0"/>
      <w:marRight w:val="0"/>
      <w:marTop w:val="0"/>
      <w:marBottom w:val="0"/>
      <w:divBdr>
        <w:top w:val="none" w:sz="0" w:space="0" w:color="auto"/>
        <w:left w:val="none" w:sz="0" w:space="0" w:color="auto"/>
        <w:bottom w:val="none" w:sz="0" w:space="0" w:color="auto"/>
        <w:right w:val="none" w:sz="0" w:space="0" w:color="auto"/>
      </w:divBdr>
    </w:div>
    <w:div w:id="1019309509">
      <w:bodyDiv w:val="1"/>
      <w:marLeft w:val="0"/>
      <w:marRight w:val="0"/>
      <w:marTop w:val="0"/>
      <w:marBottom w:val="0"/>
      <w:divBdr>
        <w:top w:val="none" w:sz="0" w:space="0" w:color="auto"/>
        <w:left w:val="none" w:sz="0" w:space="0" w:color="auto"/>
        <w:bottom w:val="none" w:sz="0" w:space="0" w:color="auto"/>
        <w:right w:val="none" w:sz="0" w:space="0" w:color="auto"/>
      </w:divBdr>
    </w:div>
    <w:div w:id="1039626676">
      <w:bodyDiv w:val="1"/>
      <w:marLeft w:val="0"/>
      <w:marRight w:val="0"/>
      <w:marTop w:val="0"/>
      <w:marBottom w:val="0"/>
      <w:divBdr>
        <w:top w:val="none" w:sz="0" w:space="0" w:color="auto"/>
        <w:left w:val="none" w:sz="0" w:space="0" w:color="auto"/>
        <w:bottom w:val="none" w:sz="0" w:space="0" w:color="auto"/>
        <w:right w:val="none" w:sz="0" w:space="0" w:color="auto"/>
      </w:divBdr>
    </w:div>
    <w:div w:id="1055086458">
      <w:bodyDiv w:val="1"/>
      <w:marLeft w:val="0"/>
      <w:marRight w:val="0"/>
      <w:marTop w:val="0"/>
      <w:marBottom w:val="0"/>
      <w:divBdr>
        <w:top w:val="none" w:sz="0" w:space="0" w:color="auto"/>
        <w:left w:val="none" w:sz="0" w:space="0" w:color="auto"/>
        <w:bottom w:val="none" w:sz="0" w:space="0" w:color="auto"/>
        <w:right w:val="none" w:sz="0" w:space="0" w:color="auto"/>
      </w:divBdr>
    </w:div>
    <w:div w:id="1055936194">
      <w:bodyDiv w:val="1"/>
      <w:marLeft w:val="0"/>
      <w:marRight w:val="0"/>
      <w:marTop w:val="0"/>
      <w:marBottom w:val="0"/>
      <w:divBdr>
        <w:top w:val="none" w:sz="0" w:space="0" w:color="auto"/>
        <w:left w:val="none" w:sz="0" w:space="0" w:color="auto"/>
        <w:bottom w:val="none" w:sz="0" w:space="0" w:color="auto"/>
        <w:right w:val="none" w:sz="0" w:space="0" w:color="auto"/>
      </w:divBdr>
    </w:div>
    <w:div w:id="1065298145">
      <w:bodyDiv w:val="1"/>
      <w:marLeft w:val="0"/>
      <w:marRight w:val="0"/>
      <w:marTop w:val="0"/>
      <w:marBottom w:val="0"/>
      <w:divBdr>
        <w:top w:val="none" w:sz="0" w:space="0" w:color="auto"/>
        <w:left w:val="none" w:sz="0" w:space="0" w:color="auto"/>
        <w:bottom w:val="none" w:sz="0" w:space="0" w:color="auto"/>
        <w:right w:val="none" w:sz="0" w:space="0" w:color="auto"/>
      </w:divBdr>
    </w:div>
    <w:div w:id="1100757052">
      <w:bodyDiv w:val="1"/>
      <w:marLeft w:val="0"/>
      <w:marRight w:val="0"/>
      <w:marTop w:val="0"/>
      <w:marBottom w:val="0"/>
      <w:divBdr>
        <w:top w:val="none" w:sz="0" w:space="0" w:color="auto"/>
        <w:left w:val="none" w:sz="0" w:space="0" w:color="auto"/>
        <w:bottom w:val="none" w:sz="0" w:space="0" w:color="auto"/>
        <w:right w:val="none" w:sz="0" w:space="0" w:color="auto"/>
      </w:divBdr>
    </w:div>
    <w:div w:id="1102065681">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144200296">
      <w:bodyDiv w:val="1"/>
      <w:marLeft w:val="0"/>
      <w:marRight w:val="0"/>
      <w:marTop w:val="0"/>
      <w:marBottom w:val="0"/>
      <w:divBdr>
        <w:top w:val="none" w:sz="0" w:space="0" w:color="auto"/>
        <w:left w:val="none" w:sz="0" w:space="0" w:color="auto"/>
        <w:bottom w:val="none" w:sz="0" w:space="0" w:color="auto"/>
        <w:right w:val="none" w:sz="0" w:space="0" w:color="auto"/>
      </w:divBdr>
    </w:div>
    <w:div w:id="1176312727">
      <w:bodyDiv w:val="1"/>
      <w:marLeft w:val="0"/>
      <w:marRight w:val="0"/>
      <w:marTop w:val="0"/>
      <w:marBottom w:val="0"/>
      <w:divBdr>
        <w:top w:val="none" w:sz="0" w:space="0" w:color="auto"/>
        <w:left w:val="none" w:sz="0" w:space="0" w:color="auto"/>
        <w:bottom w:val="none" w:sz="0" w:space="0" w:color="auto"/>
        <w:right w:val="none" w:sz="0" w:space="0" w:color="auto"/>
      </w:divBdr>
    </w:div>
    <w:div w:id="1176580461">
      <w:bodyDiv w:val="1"/>
      <w:marLeft w:val="0"/>
      <w:marRight w:val="0"/>
      <w:marTop w:val="0"/>
      <w:marBottom w:val="0"/>
      <w:divBdr>
        <w:top w:val="none" w:sz="0" w:space="0" w:color="auto"/>
        <w:left w:val="none" w:sz="0" w:space="0" w:color="auto"/>
        <w:bottom w:val="none" w:sz="0" w:space="0" w:color="auto"/>
        <w:right w:val="none" w:sz="0" w:space="0" w:color="auto"/>
      </w:divBdr>
    </w:div>
    <w:div w:id="1210798370">
      <w:bodyDiv w:val="1"/>
      <w:marLeft w:val="0"/>
      <w:marRight w:val="0"/>
      <w:marTop w:val="0"/>
      <w:marBottom w:val="0"/>
      <w:divBdr>
        <w:top w:val="none" w:sz="0" w:space="0" w:color="auto"/>
        <w:left w:val="none" w:sz="0" w:space="0" w:color="auto"/>
        <w:bottom w:val="none" w:sz="0" w:space="0" w:color="auto"/>
        <w:right w:val="none" w:sz="0" w:space="0" w:color="auto"/>
      </w:divBdr>
    </w:div>
    <w:div w:id="1212234783">
      <w:bodyDiv w:val="1"/>
      <w:marLeft w:val="0"/>
      <w:marRight w:val="0"/>
      <w:marTop w:val="0"/>
      <w:marBottom w:val="0"/>
      <w:divBdr>
        <w:top w:val="none" w:sz="0" w:space="0" w:color="auto"/>
        <w:left w:val="none" w:sz="0" w:space="0" w:color="auto"/>
        <w:bottom w:val="none" w:sz="0" w:space="0" w:color="auto"/>
        <w:right w:val="none" w:sz="0" w:space="0" w:color="auto"/>
      </w:divBdr>
    </w:div>
    <w:div w:id="1215003951">
      <w:bodyDiv w:val="1"/>
      <w:marLeft w:val="0"/>
      <w:marRight w:val="0"/>
      <w:marTop w:val="0"/>
      <w:marBottom w:val="0"/>
      <w:divBdr>
        <w:top w:val="none" w:sz="0" w:space="0" w:color="auto"/>
        <w:left w:val="none" w:sz="0" w:space="0" w:color="auto"/>
        <w:bottom w:val="none" w:sz="0" w:space="0" w:color="auto"/>
        <w:right w:val="none" w:sz="0" w:space="0" w:color="auto"/>
      </w:divBdr>
    </w:div>
    <w:div w:id="1231237516">
      <w:bodyDiv w:val="1"/>
      <w:marLeft w:val="0"/>
      <w:marRight w:val="0"/>
      <w:marTop w:val="0"/>
      <w:marBottom w:val="0"/>
      <w:divBdr>
        <w:top w:val="none" w:sz="0" w:space="0" w:color="auto"/>
        <w:left w:val="none" w:sz="0" w:space="0" w:color="auto"/>
        <w:bottom w:val="none" w:sz="0" w:space="0" w:color="auto"/>
        <w:right w:val="none" w:sz="0" w:space="0" w:color="auto"/>
      </w:divBdr>
    </w:div>
    <w:div w:id="1250578267">
      <w:bodyDiv w:val="1"/>
      <w:marLeft w:val="0"/>
      <w:marRight w:val="0"/>
      <w:marTop w:val="0"/>
      <w:marBottom w:val="0"/>
      <w:divBdr>
        <w:top w:val="none" w:sz="0" w:space="0" w:color="auto"/>
        <w:left w:val="none" w:sz="0" w:space="0" w:color="auto"/>
        <w:bottom w:val="none" w:sz="0" w:space="0" w:color="auto"/>
        <w:right w:val="none" w:sz="0" w:space="0" w:color="auto"/>
      </w:divBdr>
    </w:div>
    <w:div w:id="1253932904">
      <w:bodyDiv w:val="1"/>
      <w:marLeft w:val="0"/>
      <w:marRight w:val="0"/>
      <w:marTop w:val="0"/>
      <w:marBottom w:val="0"/>
      <w:divBdr>
        <w:top w:val="none" w:sz="0" w:space="0" w:color="auto"/>
        <w:left w:val="none" w:sz="0" w:space="0" w:color="auto"/>
        <w:bottom w:val="none" w:sz="0" w:space="0" w:color="auto"/>
        <w:right w:val="none" w:sz="0" w:space="0" w:color="auto"/>
      </w:divBdr>
    </w:div>
    <w:div w:id="1295988550">
      <w:bodyDiv w:val="1"/>
      <w:marLeft w:val="0"/>
      <w:marRight w:val="0"/>
      <w:marTop w:val="0"/>
      <w:marBottom w:val="0"/>
      <w:divBdr>
        <w:top w:val="none" w:sz="0" w:space="0" w:color="auto"/>
        <w:left w:val="none" w:sz="0" w:space="0" w:color="auto"/>
        <w:bottom w:val="none" w:sz="0" w:space="0" w:color="auto"/>
        <w:right w:val="none" w:sz="0" w:space="0" w:color="auto"/>
      </w:divBdr>
    </w:div>
    <w:div w:id="1332293886">
      <w:bodyDiv w:val="1"/>
      <w:marLeft w:val="0"/>
      <w:marRight w:val="0"/>
      <w:marTop w:val="0"/>
      <w:marBottom w:val="0"/>
      <w:divBdr>
        <w:top w:val="none" w:sz="0" w:space="0" w:color="auto"/>
        <w:left w:val="none" w:sz="0" w:space="0" w:color="auto"/>
        <w:bottom w:val="none" w:sz="0" w:space="0" w:color="auto"/>
        <w:right w:val="none" w:sz="0" w:space="0" w:color="auto"/>
      </w:divBdr>
    </w:div>
    <w:div w:id="1342661351">
      <w:bodyDiv w:val="1"/>
      <w:marLeft w:val="0"/>
      <w:marRight w:val="0"/>
      <w:marTop w:val="0"/>
      <w:marBottom w:val="0"/>
      <w:divBdr>
        <w:top w:val="none" w:sz="0" w:space="0" w:color="auto"/>
        <w:left w:val="none" w:sz="0" w:space="0" w:color="auto"/>
        <w:bottom w:val="none" w:sz="0" w:space="0" w:color="auto"/>
        <w:right w:val="none" w:sz="0" w:space="0" w:color="auto"/>
      </w:divBdr>
    </w:div>
    <w:div w:id="1344168442">
      <w:bodyDiv w:val="1"/>
      <w:marLeft w:val="0"/>
      <w:marRight w:val="0"/>
      <w:marTop w:val="0"/>
      <w:marBottom w:val="0"/>
      <w:divBdr>
        <w:top w:val="none" w:sz="0" w:space="0" w:color="auto"/>
        <w:left w:val="none" w:sz="0" w:space="0" w:color="auto"/>
        <w:bottom w:val="none" w:sz="0" w:space="0" w:color="auto"/>
        <w:right w:val="none" w:sz="0" w:space="0" w:color="auto"/>
      </w:divBdr>
    </w:div>
    <w:div w:id="1355615108">
      <w:bodyDiv w:val="1"/>
      <w:marLeft w:val="0"/>
      <w:marRight w:val="0"/>
      <w:marTop w:val="0"/>
      <w:marBottom w:val="0"/>
      <w:divBdr>
        <w:top w:val="none" w:sz="0" w:space="0" w:color="auto"/>
        <w:left w:val="none" w:sz="0" w:space="0" w:color="auto"/>
        <w:bottom w:val="none" w:sz="0" w:space="0" w:color="auto"/>
        <w:right w:val="none" w:sz="0" w:space="0" w:color="auto"/>
      </w:divBdr>
    </w:div>
    <w:div w:id="1394230806">
      <w:bodyDiv w:val="1"/>
      <w:marLeft w:val="0"/>
      <w:marRight w:val="0"/>
      <w:marTop w:val="0"/>
      <w:marBottom w:val="0"/>
      <w:divBdr>
        <w:top w:val="none" w:sz="0" w:space="0" w:color="auto"/>
        <w:left w:val="none" w:sz="0" w:space="0" w:color="auto"/>
        <w:bottom w:val="none" w:sz="0" w:space="0" w:color="auto"/>
        <w:right w:val="none" w:sz="0" w:space="0" w:color="auto"/>
      </w:divBdr>
    </w:div>
    <w:div w:id="1411343081">
      <w:bodyDiv w:val="1"/>
      <w:marLeft w:val="0"/>
      <w:marRight w:val="0"/>
      <w:marTop w:val="0"/>
      <w:marBottom w:val="0"/>
      <w:divBdr>
        <w:top w:val="none" w:sz="0" w:space="0" w:color="auto"/>
        <w:left w:val="none" w:sz="0" w:space="0" w:color="auto"/>
        <w:bottom w:val="none" w:sz="0" w:space="0" w:color="auto"/>
        <w:right w:val="none" w:sz="0" w:space="0" w:color="auto"/>
      </w:divBdr>
    </w:div>
    <w:div w:id="1423381751">
      <w:bodyDiv w:val="1"/>
      <w:marLeft w:val="0"/>
      <w:marRight w:val="0"/>
      <w:marTop w:val="0"/>
      <w:marBottom w:val="0"/>
      <w:divBdr>
        <w:top w:val="none" w:sz="0" w:space="0" w:color="auto"/>
        <w:left w:val="none" w:sz="0" w:space="0" w:color="auto"/>
        <w:bottom w:val="none" w:sz="0" w:space="0" w:color="auto"/>
        <w:right w:val="none" w:sz="0" w:space="0" w:color="auto"/>
      </w:divBdr>
    </w:div>
    <w:div w:id="1444883514">
      <w:bodyDiv w:val="1"/>
      <w:marLeft w:val="0"/>
      <w:marRight w:val="0"/>
      <w:marTop w:val="0"/>
      <w:marBottom w:val="0"/>
      <w:divBdr>
        <w:top w:val="none" w:sz="0" w:space="0" w:color="auto"/>
        <w:left w:val="none" w:sz="0" w:space="0" w:color="auto"/>
        <w:bottom w:val="none" w:sz="0" w:space="0" w:color="auto"/>
        <w:right w:val="none" w:sz="0" w:space="0" w:color="auto"/>
      </w:divBdr>
    </w:div>
    <w:div w:id="1463768933">
      <w:bodyDiv w:val="1"/>
      <w:marLeft w:val="0"/>
      <w:marRight w:val="0"/>
      <w:marTop w:val="0"/>
      <w:marBottom w:val="0"/>
      <w:divBdr>
        <w:top w:val="none" w:sz="0" w:space="0" w:color="auto"/>
        <w:left w:val="none" w:sz="0" w:space="0" w:color="auto"/>
        <w:bottom w:val="none" w:sz="0" w:space="0" w:color="auto"/>
        <w:right w:val="none" w:sz="0" w:space="0" w:color="auto"/>
      </w:divBdr>
    </w:div>
    <w:div w:id="1512262774">
      <w:bodyDiv w:val="1"/>
      <w:marLeft w:val="0"/>
      <w:marRight w:val="0"/>
      <w:marTop w:val="0"/>
      <w:marBottom w:val="0"/>
      <w:divBdr>
        <w:top w:val="none" w:sz="0" w:space="0" w:color="auto"/>
        <w:left w:val="none" w:sz="0" w:space="0" w:color="auto"/>
        <w:bottom w:val="none" w:sz="0" w:space="0" w:color="auto"/>
        <w:right w:val="none" w:sz="0" w:space="0" w:color="auto"/>
      </w:divBdr>
    </w:div>
    <w:div w:id="1513491834">
      <w:bodyDiv w:val="1"/>
      <w:marLeft w:val="0"/>
      <w:marRight w:val="0"/>
      <w:marTop w:val="0"/>
      <w:marBottom w:val="0"/>
      <w:divBdr>
        <w:top w:val="none" w:sz="0" w:space="0" w:color="auto"/>
        <w:left w:val="none" w:sz="0" w:space="0" w:color="auto"/>
        <w:bottom w:val="none" w:sz="0" w:space="0" w:color="auto"/>
        <w:right w:val="none" w:sz="0" w:space="0" w:color="auto"/>
      </w:divBdr>
    </w:div>
    <w:div w:id="1526018548">
      <w:bodyDiv w:val="1"/>
      <w:marLeft w:val="0"/>
      <w:marRight w:val="0"/>
      <w:marTop w:val="0"/>
      <w:marBottom w:val="0"/>
      <w:divBdr>
        <w:top w:val="none" w:sz="0" w:space="0" w:color="auto"/>
        <w:left w:val="none" w:sz="0" w:space="0" w:color="auto"/>
        <w:bottom w:val="none" w:sz="0" w:space="0" w:color="auto"/>
        <w:right w:val="none" w:sz="0" w:space="0" w:color="auto"/>
      </w:divBdr>
    </w:div>
    <w:div w:id="1538616629">
      <w:bodyDiv w:val="1"/>
      <w:marLeft w:val="0"/>
      <w:marRight w:val="0"/>
      <w:marTop w:val="0"/>
      <w:marBottom w:val="0"/>
      <w:divBdr>
        <w:top w:val="none" w:sz="0" w:space="0" w:color="auto"/>
        <w:left w:val="none" w:sz="0" w:space="0" w:color="auto"/>
        <w:bottom w:val="none" w:sz="0" w:space="0" w:color="auto"/>
        <w:right w:val="none" w:sz="0" w:space="0" w:color="auto"/>
      </w:divBdr>
    </w:div>
    <w:div w:id="1540587185">
      <w:bodyDiv w:val="1"/>
      <w:marLeft w:val="0"/>
      <w:marRight w:val="0"/>
      <w:marTop w:val="0"/>
      <w:marBottom w:val="0"/>
      <w:divBdr>
        <w:top w:val="none" w:sz="0" w:space="0" w:color="auto"/>
        <w:left w:val="none" w:sz="0" w:space="0" w:color="auto"/>
        <w:bottom w:val="none" w:sz="0" w:space="0" w:color="auto"/>
        <w:right w:val="none" w:sz="0" w:space="0" w:color="auto"/>
      </w:divBdr>
    </w:div>
    <w:div w:id="1542522729">
      <w:bodyDiv w:val="1"/>
      <w:marLeft w:val="0"/>
      <w:marRight w:val="0"/>
      <w:marTop w:val="0"/>
      <w:marBottom w:val="0"/>
      <w:divBdr>
        <w:top w:val="none" w:sz="0" w:space="0" w:color="auto"/>
        <w:left w:val="none" w:sz="0" w:space="0" w:color="auto"/>
        <w:bottom w:val="none" w:sz="0" w:space="0" w:color="auto"/>
        <w:right w:val="none" w:sz="0" w:space="0" w:color="auto"/>
      </w:divBdr>
    </w:div>
    <w:div w:id="1544245588">
      <w:bodyDiv w:val="1"/>
      <w:marLeft w:val="0"/>
      <w:marRight w:val="0"/>
      <w:marTop w:val="0"/>
      <w:marBottom w:val="0"/>
      <w:divBdr>
        <w:top w:val="none" w:sz="0" w:space="0" w:color="auto"/>
        <w:left w:val="none" w:sz="0" w:space="0" w:color="auto"/>
        <w:bottom w:val="none" w:sz="0" w:space="0" w:color="auto"/>
        <w:right w:val="none" w:sz="0" w:space="0" w:color="auto"/>
      </w:divBdr>
    </w:div>
    <w:div w:id="1546720775">
      <w:bodyDiv w:val="1"/>
      <w:marLeft w:val="0"/>
      <w:marRight w:val="0"/>
      <w:marTop w:val="0"/>
      <w:marBottom w:val="0"/>
      <w:divBdr>
        <w:top w:val="none" w:sz="0" w:space="0" w:color="auto"/>
        <w:left w:val="none" w:sz="0" w:space="0" w:color="auto"/>
        <w:bottom w:val="none" w:sz="0" w:space="0" w:color="auto"/>
        <w:right w:val="none" w:sz="0" w:space="0" w:color="auto"/>
      </w:divBdr>
    </w:div>
    <w:div w:id="1564028511">
      <w:bodyDiv w:val="1"/>
      <w:marLeft w:val="0"/>
      <w:marRight w:val="0"/>
      <w:marTop w:val="0"/>
      <w:marBottom w:val="0"/>
      <w:divBdr>
        <w:top w:val="none" w:sz="0" w:space="0" w:color="auto"/>
        <w:left w:val="none" w:sz="0" w:space="0" w:color="auto"/>
        <w:bottom w:val="none" w:sz="0" w:space="0" w:color="auto"/>
        <w:right w:val="none" w:sz="0" w:space="0" w:color="auto"/>
      </w:divBdr>
    </w:div>
    <w:div w:id="1564178206">
      <w:bodyDiv w:val="1"/>
      <w:marLeft w:val="0"/>
      <w:marRight w:val="0"/>
      <w:marTop w:val="0"/>
      <w:marBottom w:val="0"/>
      <w:divBdr>
        <w:top w:val="none" w:sz="0" w:space="0" w:color="auto"/>
        <w:left w:val="none" w:sz="0" w:space="0" w:color="auto"/>
        <w:bottom w:val="none" w:sz="0" w:space="0" w:color="auto"/>
        <w:right w:val="none" w:sz="0" w:space="0" w:color="auto"/>
      </w:divBdr>
    </w:div>
    <w:div w:id="1584683853">
      <w:bodyDiv w:val="1"/>
      <w:marLeft w:val="0"/>
      <w:marRight w:val="0"/>
      <w:marTop w:val="0"/>
      <w:marBottom w:val="0"/>
      <w:divBdr>
        <w:top w:val="none" w:sz="0" w:space="0" w:color="auto"/>
        <w:left w:val="none" w:sz="0" w:space="0" w:color="auto"/>
        <w:bottom w:val="none" w:sz="0" w:space="0" w:color="auto"/>
        <w:right w:val="none" w:sz="0" w:space="0" w:color="auto"/>
      </w:divBdr>
    </w:div>
    <w:div w:id="1585337798">
      <w:bodyDiv w:val="1"/>
      <w:marLeft w:val="0"/>
      <w:marRight w:val="0"/>
      <w:marTop w:val="0"/>
      <w:marBottom w:val="0"/>
      <w:divBdr>
        <w:top w:val="none" w:sz="0" w:space="0" w:color="auto"/>
        <w:left w:val="none" w:sz="0" w:space="0" w:color="auto"/>
        <w:bottom w:val="none" w:sz="0" w:space="0" w:color="auto"/>
        <w:right w:val="none" w:sz="0" w:space="0" w:color="auto"/>
      </w:divBdr>
    </w:div>
    <w:div w:id="1594439653">
      <w:bodyDiv w:val="1"/>
      <w:marLeft w:val="0"/>
      <w:marRight w:val="0"/>
      <w:marTop w:val="0"/>
      <w:marBottom w:val="0"/>
      <w:divBdr>
        <w:top w:val="none" w:sz="0" w:space="0" w:color="auto"/>
        <w:left w:val="none" w:sz="0" w:space="0" w:color="auto"/>
        <w:bottom w:val="none" w:sz="0" w:space="0" w:color="auto"/>
        <w:right w:val="none" w:sz="0" w:space="0" w:color="auto"/>
      </w:divBdr>
    </w:div>
    <w:div w:id="1608853402">
      <w:bodyDiv w:val="1"/>
      <w:marLeft w:val="0"/>
      <w:marRight w:val="0"/>
      <w:marTop w:val="0"/>
      <w:marBottom w:val="0"/>
      <w:divBdr>
        <w:top w:val="none" w:sz="0" w:space="0" w:color="auto"/>
        <w:left w:val="none" w:sz="0" w:space="0" w:color="auto"/>
        <w:bottom w:val="none" w:sz="0" w:space="0" w:color="auto"/>
        <w:right w:val="none" w:sz="0" w:space="0" w:color="auto"/>
      </w:divBdr>
    </w:div>
    <w:div w:id="1624922194">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sChild>
        <w:div w:id="566453668">
          <w:marLeft w:val="0"/>
          <w:marRight w:val="0"/>
          <w:marTop w:val="0"/>
          <w:marBottom w:val="0"/>
          <w:divBdr>
            <w:top w:val="none" w:sz="0" w:space="0" w:color="auto"/>
            <w:left w:val="none" w:sz="0" w:space="0" w:color="auto"/>
            <w:bottom w:val="none" w:sz="0" w:space="0" w:color="auto"/>
            <w:right w:val="none" w:sz="0" w:space="0" w:color="auto"/>
          </w:divBdr>
          <w:divsChild>
            <w:div w:id="1196850049">
              <w:marLeft w:val="0"/>
              <w:marRight w:val="0"/>
              <w:marTop w:val="0"/>
              <w:marBottom w:val="0"/>
              <w:divBdr>
                <w:top w:val="none" w:sz="0" w:space="0" w:color="auto"/>
                <w:left w:val="none" w:sz="0" w:space="0" w:color="auto"/>
                <w:bottom w:val="none" w:sz="0" w:space="0" w:color="auto"/>
                <w:right w:val="none" w:sz="0" w:space="0" w:color="auto"/>
              </w:divBdr>
              <w:divsChild>
                <w:div w:id="653753391">
                  <w:marLeft w:val="0"/>
                  <w:marRight w:val="0"/>
                  <w:marTop w:val="0"/>
                  <w:marBottom w:val="0"/>
                  <w:divBdr>
                    <w:top w:val="none" w:sz="0" w:space="0" w:color="auto"/>
                    <w:left w:val="none" w:sz="0" w:space="0" w:color="auto"/>
                    <w:bottom w:val="none" w:sz="0" w:space="0" w:color="auto"/>
                    <w:right w:val="none" w:sz="0" w:space="0" w:color="auto"/>
                  </w:divBdr>
                  <w:divsChild>
                    <w:div w:id="1249848134">
                      <w:marLeft w:val="0"/>
                      <w:marRight w:val="0"/>
                      <w:marTop w:val="0"/>
                      <w:marBottom w:val="0"/>
                      <w:divBdr>
                        <w:top w:val="none" w:sz="0" w:space="0" w:color="auto"/>
                        <w:left w:val="none" w:sz="0" w:space="0" w:color="auto"/>
                        <w:bottom w:val="none" w:sz="0" w:space="0" w:color="auto"/>
                        <w:right w:val="none" w:sz="0" w:space="0" w:color="auto"/>
                      </w:divBdr>
                      <w:divsChild>
                        <w:div w:id="897861439">
                          <w:marLeft w:val="0"/>
                          <w:marRight w:val="0"/>
                          <w:marTop w:val="0"/>
                          <w:marBottom w:val="0"/>
                          <w:divBdr>
                            <w:top w:val="none" w:sz="0" w:space="0" w:color="auto"/>
                            <w:left w:val="none" w:sz="0" w:space="0" w:color="auto"/>
                            <w:bottom w:val="none" w:sz="0" w:space="0" w:color="auto"/>
                            <w:right w:val="none" w:sz="0" w:space="0" w:color="auto"/>
                          </w:divBdr>
                          <w:divsChild>
                            <w:div w:id="862328608">
                              <w:marLeft w:val="0"/>
                              <w:marRight w:val="0"/>
                              <w:marTop w:val="0"/>
                              <w:marBottom w:val="0"/>
                              <w:divBdr>
                                <w:top w:val="none" w:sz="0" w:space="0" w:color="auto"/>
                                <w:left w:val="none" w:sz="0" w:space="0" w:color="auto"/>
                                <w:bottom w:val="none" w:sz="0" w:space="0" w:color="auto"/>
                                <w:right w:val="none" w:sz="0" w:space="0" w:color="auto"/>
                              </w:divBdr>
                              <w:divsChild>
                                <w:div w:id="2541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20812">
      <w:bodyDiv w:val="1"/>
      <w:marLeft w:val="0"/>
      <w:marRight w:val="0"/>
      <w:marTop w:val="0"/>
      <w:marBottom w:val="0"/>
      <w:divBdr>
        <w:top w:val="none" w:sz="0" w:space="0" w:color="auto"/>
        <w:left w:val="none" w:sz="0" w:space="0" w:color="auto"/>
        <w:bottom w:val="none" w:sz="0" w:space="0" w:color="auto"/>
        <w:right w:val="none" w:sz="0" w:space="0" w:color="auto"/>
      </w:divBdr>
      <w:divsChild>
        <w:div w:id="375004418">
          <w:marLeft w:val="0"/>
          <w:marRight w:val="0"/>
          <w:marTop w:val="0"/>
          <w:marBottom w:val="0"/>
          <w:divBdr>
            <w:top w:val="none" w:sz="0" w:space="0" w:color="auto"/>
            <w:left w:val="none" w:sz="0" w:space="0" w:color="auto"/>
            <w:bottom w:val="none" w:sz="0" w:space="0" w:color="auto"/>
            <w:right w:val="none" w:sz="0" w:space="0" w:color="auto"/>
          </w:divBdr>
        </w:div>
      </w:divsChild>
    </w:div>
    <w:div w:id="1646736845">
      <w:bodyDiv w:val="1"/>
      <w:marLeft w:val="0"/>
      <w:marRight w:val="0"/>
      <w:marTop w:val="0"/>
      <w:marBottom w:val="0"/>
      <w:divBdr>
        <w:top w:val="none" w:sz="0" w:space="0" w:color="auto"/>
        <w:left w:val="none" w:sz="0" w:space="0" w:color="auto"/>
        <w:bottom w:val="none" w:sz="0" w:space="0" w:color="auto"/>
        <w:right w:val="none" w:sz="0" w:space="0" w:color="auto"/>
      </w:divBdr>
      <w:divsChild>
        <w:div w:id="702169806">
          <w:marLeft w:val="0"/>
          <w:marRight w:val="0"/>
          <w:marTop w:val="0"/>
          <w:marBottom w:val="0"/>
          <w:divBdr>
            <w:top w:val="none" w:sz="0" w:space="0" w:color="auto"/>
            <w:left w:val="none" w:sz="0" w:space="0" w:color="auto"/>
            <w:bottom w:val="none" w:sz="0" w:space="0" w:color="auto"/>
            <w:right w:val="none" w:sz="0" w:space="0" w:color="auto"/>
          </w:divBdr>
        </w:div>
      </w:divsChild>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658219166">
      <w:bodyDiv w:val="1"/>
      <w:marLeft w:val="0"/>
      <w:marRight w:val="0"/>
      <w:marTop w:val="0"/>
      <w:marBottom w:val="0"/>
      <w:divBdr>
        <w:top w:val="none" w:sz="0" w:space="0" w:color="auto"/>
        <w:left w:val="none" w:sz="0" w:space="0" w:color="auto"/>
        <w:bottom w:val="none" w:sz="0" w:space="0" w:color="auto"/>
        <w:right w:val="none" w:sz="0" w:space="0" w:color="auto"/>
      </w:divBdr>
    </w:div>
    <w:div w:id="1688167962">
      <w:bodyDiv w:val="1"/>
      <w:marLeft w:val="0"/>
      <w:marRight w:val="0"/>
      <w:marTop w:val="0"/>
      <w:marBottom w:val="0"/>
      <w:divBdr>
        <w:top w:val="none" w:sz="0" w:space="0" w:color="auto"/>
        <w:left w:val="none" w:sz="0" w:space="0" w:color="auto"/>
        <w:bottom w:val="none" w:sz="0" w:space="0" w:color="auto"/>
        <w:right w:val="none" w:sz="0" w:space="0" w:color="auto"/>
      </w:divBdr>
    </w:div>
    <w:div w:id="1702123270">
      <w:bodyDiv w:val="1"/>
      <w:marLeft w:val="0"/>
      <w:marRight w:val="0"/>
      <w:marTop w:val="0"/>
      <w:marBottom w:val="0"/>
      <w:divBdr>
        <w:top w:val="none" w:sz="0" w:space="0" w:color="auto"/>
        <w:left w:val="none" w:sz="0" w:space="0" w:color="auto"/>
        <w:bottom w:val="none" w:sz="0" w:space="0" w:color="auto"/>
        <w:right w:val="none" w:sz="0" w:space="0" w:color="auto"/>
      </w:divBdr>
      <w:divsChild>
        <w:div w:id="1832137824">
          <w:marLeft w:val="0"/>
          <w:marRight w:val="0"/>
          <w:marTop w:val="0"/>
          <w:marBottom w:val="0"/>
          <w:divBdr>
            <w:top w:val="none" w:sz="0" w:space="0" w:color="auto"/>
            <w:left w:val="none" w:sz="0" w:space="0" w:color="auto"/>
            <w:bottom w:val="none" w:sz="0" w:space="0" w:color="auto"/>
            <w:right w:val="none" w:sz="0" w:space="0" w:color="auto"/>
          </w:divBdr>
        </w:div>
      </w:divsChild>
    </w:div>
    <w:div w:id="1705520981">
      <w:bodyDiv w:val="1"/>
      <w:marLeft w:val="0"/>
      <w:marRight w:val="0"/>
      <w:marTop w:val="0"/>
      <w:marBottom w:val="0"/>
      <w:divBdr>
        <w:top w:val="none" w:sz="0" w:space="0" w:color="auto"/>
        <w:left w:val="none" w:sz="0" w:space="0" w:color="auto"/>
        <w:bottom w:val="none" w:sz="0" w:space="0" w:color="auto"/>
        <w:right w:val="none" w:sz="0" w:space="0" w:color="auto"/>
      </w:divBdr>
    </w:div>
    <w:div w:id="1736707459">
      <w:bodyDiv w:val="1"/>
      <w:marLeft w:val="0"/>
      <w:marRight w:val="0"/>
      <w:marTop w:val="0"/>
      <w:marBottom w:val="0"/>
      <w:divBdr>
        <w:top w:val="none" w:sz="0" w:space="0" w:color="auto"/>
        <w:left w:val="none" w:sz="0" w:space="0" w:color="auto"/>
        <w:bottom w:val="none" w:sz="0" w:space="0" w:color="auto"/>
        <w:right w:val="none" w:sz="0" w:space="0" w:color="auto"/>
      </w:divBdr>
    </w:div>
    <w:div w:id="1753625791">
      <w:bodyDiv w:val="1"/>
      <w:marLeft w:val="0"/>
      <w:marRight w:val="0"/>
      <w:marTop w:val="0"/>
      <w:marBottom w:val="0"/>
      <w:divBdr>
        <w:top w:val="none" w:sz="0" w:space="0" w:color="auto"/>
        <w:left w:val="none" w:sz="0" w:space="0" w:color="auto"/>
        <w:bottom w:val="none" w:sz="0" w:space="0" w:color="auto"/>
        <w:right w:val="none" w:sz="0" w:space="0" w:color="auto"/>
      </w:divBdr>
    </w:div>
    <w:div w:id="1761095482">
      <w:bodyDiv w:val="1"/>
      <w:marLeft w:val="0"/>
      <w:marRight w:val="0"/>
      <w:marTop w:val="0"/>
      <w:marBottom w:val="0"/>
      <w:divBdr>
        <w:top w:val="none" w:sz="0" w:space="0" w:color="auto"/>
        <w:left w:val="none" w:sz="0" w:space="0" w:color="auto"/>
        <w:bottom w:val="none" w:sz="0" w:space="0" w:color="auto"/>
        <w:right w:val="none" w:sz="0" w:space="0" w:color="auto"/>
      </w:divBdr>
    </w:div>
    <w:div w:id="1804153039">
      <w:bodyDiv w:val="1"/>
      <w:marLeft w:val="0"/>
      <w:marRight w:val="0"/>
      <w:marTop w:val="0"/>
      <w:marBottom w:val="0"/>
      <w:divBdr>
        <w:top w:val="none" w:sz="0" w:space="0" w:color="auto"/>
        <w:left w:val="none" w:sz="0" w:space="0" w:color="auto"/>
        <w:bottom w:val="none" w:sz="0" w:space="0" w:color="auto"/>
        <w:right w:val="none" w:sz="0" w:space="0" w:color="auto"/>
      </w:divBdr>
    </w:div>
    <w:div w:id="1825664356">
      <w:bodyDiv w:val="1"/>
      <w:marLeft w:val="0"/>
      <w:marRight w:val="0"/>
      <w:marTop w:val="0"/>
      <w:marBottom w:val="0"/>
      <w:divBdr>
        <w:top w:val="none" w:sz="0" w:space="0" w:color="auto"/>
        <w:left w:val="none" w:sz="0" w:space="0" w:color="auto"/>
        <w:bottom w:val="none" w:sz="0" w:space="0" w:color="auto"/>
        <w:right w:val="none" w:sz="0" w:space="0" w:color="auto"/>
      </w:divBdr>
    </w:div>
    <w:div w:id="1831754252">
      <w:bodyDiv w:val="1"/>
      <w:marLeft w:val="0"/>
      <w:marRight w:val="0"/>
      <w:marTop w:val="0"/>
      <w:marBottom w:val="0"/>
      <w:divBdr>
        <w:top w:val="none" w:sz="0" w:space="0" w:color="auto"/>
        <w:left w:val="none" w:sz="0" w:space="0" w:color="auto"/>
        <w:bottom w:val="none" w:sz="0" w:space="0" w:color="auto"/>
        <w:right w:val="none" w:sz="0" w:space="0" w:color="auto"/>
      </w:divBdr>
    </w:div>
    <w:div w:id="183672893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37">
          <w:marLeft w:val="0"/>
          <w:marRight w:val="0"/>
          <w:marTop w:val="0"/>
          <w:marBottom w:val="0"/>
          <w:divBdr>
            <w:top w:val="none" w:sz="0" w:space="0" w:color="auto"/>
            <w:left w:val="none" w:sz="0" w:space="0" w:color="auto"/>
            <w:bottom w:val="none" w:sz="0" w:space="0" w:color="auto"/>
            <w:right w:val="none" w:sz="0" w:space="0" w:color="auto"/>
          </w:divBdr>
        </w:div>
      </w:divsChild>
    </w:div>
    <w:div w:id="1853102112">
      <w:bodyDiv w:val="1"/>
      <w:marLeft w:val="0"/>
      <w:marRight w:val="0"/>
      <w:marTop w:val="0"/>
      <w:marBottom w:val="0"/>
      <w:divBdr>
        <w:top w:val="none" w:sz="0" w:space="0" w:color="auto"/>
        <w:left w:val="none" w:sz="0" w:space="0" w:color="auto"/>
        <w:bottom w:val="none" w:sz="0" w:space="0" w:color="auto"/>
        <w:right w:val="none" w:sz="0" w:space="0" w:color="auto"/>
      </w:divBdr>
    </w:div>
    <w:div w:id="1860119655">
      <w:bodyDiv w:val="1"/>
      <w:marLeft w:val="0"/>
      <w:marRight w:val="0"/>
      <w:marTop w:val="0"/>
      <w:marBottom w:val="0"/>
      <w:divBdr>
        <w:top w:val="none" w:sz="0" w:space="0" w:color="auto"/>
        <w:left w:val="none" w:sz="0" w:space="0" w:color="auto"/>
        <w:bottom w:val="none" w:sz="0" w:space="0" w:color="auto"/>
        <w:right w:val="none" w:sz="0" w:space="0" w:color="auto"/>
      </w:divBdr>
    </w:div>
    <w:div w:id="1866209167">
      <w:bodyDiv w:val="1"/>
      <w:marLeft w:val="0"/>
      <w:marRight w:val="0"/>
      <w:marTop w:val="0"/>
      <w:marBottom w:val="0"/>
      <w:divBdr>
        <w:top w:val="none" w:sz="0" w:space="0" w:color="auto"/>
        <w:left w:val="none" w:sz="0" w:space="0" w:color="auto"/>
        <w:bottom w:val="none" w:sz="0" w:space="0" w:color="auto"/>
        <w:right w:val="none" w:sz="0" w:space="0" w:color="auto"/>
      </w:divBdr>
    </w:div>
    <w:div w:id="1895197557">
      <w:bodyDiv w:val="1"/>
      <w:marLeft w:val="0"/>
      <w:marRight w:val="0"/>
      <w:marTop w:val="0"/>
      <w:marBottom w:val="0"/>
      <w:divBdr>
        <w:top w:val="none" w:sz="0" w:space="0" w:color="auto"/>
        <w:left w:val="none" w:sz="0" w:space="0" w:color="auto"/>
        <w:bottom w:val="none" w:sz="0" w:space="0" w:color="auto"/>
        <w:right w:val="none" w:sz="0" w:space="0" w:color="auto"/>
      </w:divBdr>
    </w:div>
    <w:div w:id="1902518403">
      <w:bodyDiv w:val="1"/>
      <w:marLeft w:val="0"/>
      <w:marRight w:val="0"/>
      <w:marTop w:val="0"/>
      <w:marBottom w:val="0"/>
      <w:divBdr>
        <w:top w:val="none" w:sz="0" w:space="0" w:color="auto"/>
        <w:left w:val="none" w:sz="0" w:space="0" w:color="auto"/>
        <w:bottom w:val="none" w:sz="0" w:space="0" w:color="auto"/>
        <w:right w:val="none" w:sz="0" w:space="0" w:color="auto"/>
      </w:divBdr>
    </w:div>
    <w:div w:id="1902907223">
      <w:bodyDiv w:val="1"/>
      <w:marLeft w:val="0"/>
      <w:marRight w:val="0"/>
      <w:marTop w:val="0"/>
      <w:marBottom w:val="0"/>
      <w:divBdr>
        <w:top w:val="none" w:sz="0" w:space="0" w:color="auto"/>
        <w:left w:val="none" w:sz="0" w:space="0" w:color="auto"/>
        <w:bottom w:val="none" w:sz="0" w:space="0" w:color="auto"/>
        <w:right w:val="none" w:sz="0" w:space="0" w:color="auto"/>
      </w:divBdr>
    </w:div>
    <w:div w:id="1930964506">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1949775487">
      <w:bodyDiv w:val="1"/>
      <w:marLeft w:val="0"/>
      <w:marRight w:val="0"/>
      <w:marTop w:val="0"/>
      <w:marBottom w:val="0"/>
      <w:divBdr>
        <w:top w:val="none" w:sz="0" w:space="0" w:color="auto"/>
        <w:left w:val="none" w:sz="0" w:space="0" w:color="auto"/>
        <w:bottom w:val="none" w:sz="0" w:space="0" w:color="auto"/>
        <w:right w:val="none" w:sz="0" w:space="0" w:color="auto"/>
      </w:divBdr>
    </w:div>
    <w:div w:id="1959557286">
      <w:bodyDiv w:val="1"/>
      <w:marLeft w:val="0"/>
      <w:marRight w:val="0"/>
      <w:marTop w:val="0"/>
      <w:marBottom w:val="0"/>
      <w:divBdr>
        <w:top w:val="none" w:sz="0" w:space="0" w:color="auto"/>
        <w:left w:val="none" w:sz="0" w:space="0" w:color="auto"/>
        <w:bottom w:val="none" w:sz="0" w:space="0" w:color="auto"/>
        <w:right w:val="none" w:sz="0" w:space="0" w:color="auto"/>
      </w:divBdr>
    </w:div>
    <w:div w:id="1974098782">
      <w:bodyDiv w:val="1"/>
      <w:marLeft w:val="0"/>
      <w:marRight w:val="0"/>
      <w:marTop w:val="0"/>
      <w:marBottom w:val="0"/>
      <w:divBdr>
        <w:top w:val="none" w:sz="0" w:space="0" w:color="auto"/>
        <w:left w:val="none" w:sz="0" w:space="0" w:color="auto"/>
        <w:bottom w:val="none" w:sz="0" w:space="0" w:color="auto"/>
        <w:right w:val="none" w:sz="0" w:space="0" w:color="auto"/>
      </w:divBdr>
    </w:div>
    <w:div w:id="1979452675">
      <w:bodyDiv w:val="1"/>
      <w:marLeft w:val="0"/>
      <w:marRight w:val="0"/>
      <w:marTop w:val="0"/>
      <w:marBottom w:val="0"/>
      <w:divBdr>
        <w:top w:val="none" w:sz="0" w:space="0" w:color="auto"/>
        <w:left w:val="none" w:sz="0" w:space="0" w:color="auto"/>
        <w:bottom w:val="none" w:sz="0" w:space="0" w:color="auto"/>
        <w:right w:val="none" w:sz="0" w:space="0" w:color="auto"/>
      </w:divBdr>
    </w:div>
    <w:div w:id="2008484042">
      <w:bodyDiv w:val="1"/>
      <w:marLeft w:val="0"/>
      <w:marRight w:val="0"/>
      <w:marTop w:val="0"/>
      <w:marBottom w:val="0"/>
      <w:divBdr>
        <w:top w:val="none" w:sz="0" w:space="0" w:color="auto"/>
        <w:left w:val="none" w:sz="0" w:space="0" w:color="auto"/>
        <w:bottom w:val="none" w:sz="0" w:space="0" w:color="auto"/>
        <w:right w:val="none" w:sz="0" w:space="0" w:color="auto"/>
      </w:divBdr>
    </w:div>
    <w:div w:id="2009863626">
      <w:bodyDiv w:val="1"/>
      <w:marLeft w:val="0"/>
      <w:marRight w:val="0"/>
      <w:marTop w:val="0"/>
      <w:marBottom w:val="0"/>
      <w:divBdr>
        <w:top w:val="none" w:sz="0" w:space="0" w:color="auto"/>
        <w:left w:val="none" w:sz="0" w:space="0" w:color="auto"/>
        <w:bottom w:val="none" w:sz="0" w:space="0" w:color="auto"/>
        <w:right w:val="none" w:sz="0" w:space="0" w:color="auto"/>
      </w:divBdr>
    </w:div>
    <w:div w:id="2027167498">
      <w:bodyDiv w:val="1"/>
      <w:marLeft w:val="0"/>
      <w:marRight w:val="0"/>
      <w:marTop w:val="0"/>
      <w:marBottom w:val="0"/>
      <w:divBdr>
        <w:top w:val="none" w:sz="0" w:space="0" w:color="auto"/>
        <w:left w:val="none" w:sz="0" w:space="0" w:color="auto"/>
        <w:bottom w:val="none" w:sz="0" w:space="0" w:color="auto"/>
        <w:right w:val="none" w:sz="0" w:space="0" w:color="auto"/>
      </w:divBdr>
    </w:div>
    <w:div w:id="2035492771">
      <w:bodyDiv w:val="1"/>
      <w:marLeft w:val="0"/>
      <w:marRight w:val="0"/>
      <w:marTop w:val="0"/>
      <w:marBottom w:val="0"/>
      <w:divBdr>
        <w:top w:val="none" w:sz="0" w:space="0" w:color="auto"/>
        <w:left w:val="none" w:sz="0" w:space="0" w:color="auto"/>
        <w:bottom w:val="none" w:sz="0" w:space="0" w:color="auto"/>
        <w:right w:val="none" w:sz="0" w:space="0" w:color="auto"/>
      </w:divBdr>
    </w:div>
    <w:div w:id="2039349627">
      <w:bodyDiv w:val="1"/>
      <w:marLeft w:val="0"/>
      <w:marRight w:val="0"/>
      <w:marTop w:val="0"/>
      <w:marBottom w:val="0"/>
      <w:divBdr>
        <w:top w:val="none" w:sz="0" w:space="0" w:color="auto"/>
        <w:left w:val="none" w:sz="0" w:space="0" w:color="auto"/>
        <w:bottom w:val="none" w:sz="0" w:space="0" w:color="auto"/>
        <w:right w:val="none" w:sz="0" w:space="0" w:color="auto"/>
      </w:divBdr>
    </w:div>
    <w:div w:id="2055956444">
      <w:bodyDiv w:val="1"/>
      <w:marLeft w:val="0"/>
      <w:marRight w:val="0"/>
      <w:marTop w:val="0"/>
      <w:marBottom w:val="0"/>
      <w:divBdr>
        <w:top w:val="none" w:sz="0" w:space="0" w:color="auto"/>
        <w:left w:val="none" w:sz="0" w:space="0" w:color="auto"/>
        <w:bottom w:val="none" w:sz="0" w:space="0" w:color="auto"/>
        <w:right w:val="none" w:sz="0" w:space="0" w:color="auto"/>
      </w:divBdr>
    </w:div>
    <w:div w:id="2067681548">
      <w:bodyDiv w:val="1"/>
      <w:marLeft w:val="0"/>
      <w:marRight w:val="0"/>
      <w:marTop w:val="0"/>
      <w:marBottom w:val="0"/>
      <w:divBdr>
        <w:top w:val="none" w:sz="0" w:space="0" w:color="auto"/>
        <w:left w:val="none" w:sz="0" w:space="0" w:color="auto"/>
        <w:bottom w:val="none" w:sz="0" w:space="0" w:color="auto"/>
        <w:right w:val="none" w:sz="0" w:space="0" w:color="auto"/>
      </w:divBdr>
    </w:div>
    <w:div w:id="211500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oleObject" Target="embeddings/Microsoft_Excel_97-2003_Worksheet.xls"/><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package" Target="embeddings/Microsoft_Excel_Worksheet.xlsx"/><Relationship Id="rId36" Type="http://schemas.openxmlformats.org/officeDocument/2006/relationships/package" Target="embeddings/Microsoft_Excel_Worksheet2.xlsx"/><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package" Target="embeddings/Microsoft_Word_Document.docx"/><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6.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D:\LEDA\RESPALDO%202023\Justicia%20Restaurativa\An&#225;lisis%20de%20datos%20Justicia%20Restaurativa%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Resumen!$Z$3</c:f>
              <c:strCache>
                <c:ptCount val="1"/>
                <c:pt idx="0">
                  <c:v>Entrados</c:v>
                </c:pt>
              </c:strCache>
            </c:strRef>
          </c:tx>
          <c:spPr>
            <a:solidFill>
              <a:schemeClr val="accent1"/>
            </a:solidFill>
            <a:ln>
              <a:noFill/>
            </a:ln>
            <a:effectLst/>
          </c:spPr>
          <c:invertIfNegative val="0"/>
          <c:cat>
            <c:multiLvlStrRef>
              <c:f>Resumen!$X$4:$Y$11</c:f>
              <c:multiLvlStrCache>
                <c:ptCount val="8"/>
                <c:lvl>
                  <c:pt idx="0">
                    <c:v>Total entrados</c:v>
                  </c:pt>
                  <c:pt idx="1">
                    <c:v>Terminados</c:v>
                  </c:pt>
                  <c:pt idx="2">
                    <c:v>Total entrados</c:v>
                  </c:pt>
                  <c:pt idx="3">
                    <c:v>Terminados</c:v>
                  </c:pt>
                  <c:pt idx="4">
                    <c:v>Total entrados</c:v>
                  </c:pt>
                  <c:pt idx="5">
                    <c:v>Terminados</c:v>
                  </c:pt>
                  <c:pt idx="6">
                    <c:v>Total entrados</c:v>
                  </c:pt>
                  <c:pt idx="7">
                    <c:v>Terminados</c:v>
                  </c:pt>
                </c:lvl>
                <c:lvl>
                  <c:pt idx="0">
                    <c:v>2019</c:v>
                  </c:pt>
                  <c:pt idx="2">
                    <c:v>2020</c:v>
                  </c:pt>
                  <c:pt idx="4">
                    <c:v>2021</c:v>
                  </c:pt>
                  <c:pt idx="6">
                    <c:v>2022</c:v>
                  </c:pt>
                </c:lvl>
              </c:multiLvlStrCache>
            </c:multiLvlStrRef>
          </c:cat>
          <c:val>
            <c:numRef>
              <c:f>Resumen!$Z$4:$Z$11</c:f>
              <c:numCache>
                <c:formatCode>General</c:formatCode>
                <c:ptCount val="8"/>
                <c:pt idx="0">
                  <c:v>2729</c:v>
                </c:pt>
                <c:pt idx="2">
                  <c:v>2428</c:v>
                </c:pt>
                <c:pt idx="4">
                  <c:v>3144</c:v>
                </c:pt>
                <c:pt idx="6">
                  <c:v>3726</c:v>
                </c:pt>
              </c:numCache>
            </c:numRef>
          </c:val>
          <c:extLst>
            <c:ext xmlns:c16="http://schemas.microsoft.com/office/drawing/2014/chart" uri="{C3380CC4-5D6E-409C-BE32-E72D297353CC}">
              <c16:uniqueId val="{00000000-50EC-4555-98D8-15472ED1D950}"/>
            </c:ext>
          </c:extLst>
        </c:ser>
        <c:ser>
          <c:idx val="1"/>
          <c:order val="1"/>
          <c:tx>
            <c:strRef>
              <c:f>Resumen!$AA$3</c:f>
              <c:strCache>
                <c:ptCount val="1"/>
                <c:pt idx="0">
                  <c:v>Reentrados</c:v>
                </c:pt>
              </c:strCache>
            </c:strRef>
          </c:tx>
          <c:spPr>
            <a:solidFill>
              <a:schemeClr val="accent2"/>
            </a:solidFill>
            <a:ln>
              <a:noFill/>
            </a:ln>
            <a:effectLst/>
          </c:spPr>
          <c:invertIfNegative val="0"/>
          <c:cat>
            <c:multiLvlStrRef>
              <c:f>Resumen!$X$4:$Y$11</c:f>
              <c:multiLvlStrCache>
                <c:ptCount val="8"/>
                <c:lvl>
                  <c:pt idx="0">
                    <c:v>Total entrados</c:v>
                  </c:pt>
                  <c:pt idx="1">
                    <c:v>Terminados</c:v>
                  </c:pt>
                  <c:pt idx="2">
                    <c:v>Total entrados</c:v>
                  </c:pt>
                  <c:pt idx="3">
                    <c:v>Terminados</c:v>
                  </c:pt>
                  <c:pt idx="4">
                    <c:v>Total entrados</c:v>
                  </c:pt>
                  <c:pt idx="5">
                    <c:v>Terminados</c:v>
                  </c:pt>
                  <c:pt idx="6">
                    <c:v>Total entrados</c:v>
                  </c:pt>
                  <c:pt idx="7">
                    <c:v>Terminados</c:v>
                  </c:pt>
                </c:lvl>
                <c:lvl>
                  <c:pt idx="0">
                    <c:v>2019</c:v>
                  </c:pt>
                  <c:pt idx="2">
                    <c:v>2020</c:v>
                  </c:pt>
                  <c:pt idx="4">
                    <c:v>2021</c:v>
                  </c:pt>
                  <c:pt idx="6">
                    <c:v>2022</c:v>
                  </c:pt>
                </c:lvl>
              </c:multiLvlStrCache>
            </c:multiLvlStrRef>
          </c:cat>
          <c:val>
            <c:numRef>
              <c:f>Resumen!$AA$4:$AA$11</c:f>
              <c:numCache>
                <c:formatCode>General</c:formatCode>
                <c:ptCount val="8"/>
                <c:pt idx="0">
                  <c:v>100</c:v>
                </c:pt>
                <c:pt idx="2">
                  <c:v>70</c:v>
                </c:pt>
                <c:pt idx="4">
                  <c:v>77</c:v>
                </c:pt>
                <c:pt idx="6">
                  <c:v>102</c:v>
                </c:pt>
              </c:numCache>
            </c:numRef>
          </c:val>
          <c:extLst>
            <c:ext xmlns:c16="http://schemas.microsoft.com/office/drawing/2014/chart" uri="{C3380CC4-5D6E-409C-BE32-E72D297353CC}">
              <c16:uniqueId val="{00000001-50EC-4555-98D8-15472ED1D950}"/>
            </c:ext>
          </c:extLst>
        </c:ser>
        <c:ser>
          <c:idx val="2"/>
          <c:order val="2"/>
          <c:tx>
            <c:strRef>
              <c:f>Resumen!$AB$3</c:f>
              <c:strCache>
                <c:ptCount val="1"/>
                <c:pt idx="0">
                  <c:v>Terminados</c:v>
                </c:pt>
              </c:strCache>
            </c:strRef>
          </c:tx>
          <c:spPr>
            <a:solidFill>
              <a:schemeClr val="accent3"/>
            </a:solidFill>
            <a:ln>
              <a:noFill/>
            </a:ln>
            <a:effectLst/>
          </c:spPr>
          <c:invertIfNegative val="0"/>
          <c:cat>
            <c:multiLvlStrRef>
              <c:f>Resumen!$X$4:$Y$11</c:f>
              <c:multiLvlStrCache>
                <c:ptCount val="8"/>
                <c:lvl>
                  <c:pt idx="0">
                    <c:v>Total entrados</c:v>
                  </c:pt>
                  <c:pt idx="1">
                    <c:v>Terminados</c:v>
                  </c:pt>
                  <c:pt idx="2">
                    <c:v>Total entrados</c:v>
                  </c:pt>
                  <c:pt idx="3">
                    <c:v>Terminados</c:v>
                  </c:pt>
                  <c:pt idx="4">
                    <c:v>Total entrados</c:v>
                  </c:pt>
                  <c:pt idx="5">
                    <c:v>Terminados</c:v>
                  </c:pt>
                  <c:pt idx="6">
                    <c:v>Total entrados</c:v>
                  </c:pt>
                  <c:pt idx="7">
                    <c:v>Terminados</c:v>
                  </c:pt>
                </c:lvl>
                <c:lvl>
                  <c:pt idx="0">
                    <c:v>2019</c:v>
                  </c:pt>
                  <c:pt idx="2">
                    <c:v>2020</c:v>
                  </c:pt>
                  <c:pt idx="4">
                    <c:v>2021</c:v>
                  </c:pt>
                  <c:pt idx="6">
                    <c:v>2022</c:v>
                  </c:pt>
                </c:lvl>
              </c:multiLvlStrCache>
            </c:multiLvlStrRef>
          </c:cat>
          <c:val>
            <c:numRef>
              <c:f>Resumen!$AB$4:$AB$11</c:f>
              <c:numCache>
                <c:formatCode>General</c:formatCode>
                <c:ptCount val="8"/>
                <c:pt idx="1">
                  <c:v>2985</c:v>
                </c:pt>
                <c:pt idx="3">
                  <c:v>2287</c:v>
                </c:pt>
                <c:pt idx="5">
                  <c:v>3256</c:v>
                </c:pt>
                <c:pt idx="7">
                  <c:v>3806</c:v>
                </c:pt>
              </c:numCache>
            </c:numRef>
          </c:val>
          <c:extLst>
            <c:ext xmlns:c16="http://schemas.microsoft.com/office/drawing/2014/chart" uri="{C3380CC4-5D6E-409C-BE32-E72D297353CC}">
              <c16:uniqueId val="{00000002-50EC-4555-98D8-15472ED1D950}"/>
            </c:ext>
          </c:extLst>
        </c:ser>
        <c:dLbls>
          <c:showLegendKey val="0"/>
          <c:showVal val="0"/>
          <c:showCatName val="0"/>
          <c:showSerName val="0"/>
          <c:showPercent val="0"/>
          <c:showBubbleSize val="0"/>
        </c:dLbls>
        <c:gapWidth val="150"/>
        <c:overlap val="100"/>
        <c:axId val="518713936"/>
        <c:axId val="518708112"/>
      </c:barChart>
      <c:catAx>
        <c:axId val="5187139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18708112"/>
        <c:crosses val="autoZero"/>
        <c:auto val="0"/>
        <c:lblAlgn val="ctr"/>
        <c:lblOffset val="100"/>
        <c:tickLblSkip val="1"/>
        <c:noMultiLvlLbl val="0"/>
      </c:catAx>
      <c:valAx>
        <c:axId val="51870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1871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AEE1-6DA4-45AB-A2FB-49791058AC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A66F54-9E32-4B3F-8972-092D0D270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C93BF-D085-4CEB-8058-6B074833A014}">
  <ds:schemaRefs>
    <ds:schemaRef ds:uri="http://schemas.microsoft.com/sharepoint/v3/contenttype/forms"/>
  </ds:schemaRefs>
</ds:datastoreItem>
</file>

<file path=customXml/itemProps4.xml><?xml version="1.0" encoding="utf-8"?>
<ds:datastoreItem xmlns:ds="http://schemas.openxmlformats.org/officeDocument/2006/customXml" ds:itemID="{B24E9A9B-0404-4908-9490-E567D6C8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15158</Words>
  <Characters>83371</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ysalazarg;hcalderonm@Poder-Judicial.go.cr</dc:creator>
  <cp:keywords/>
  <dc:description/>
  <cp:lastModifiedBy>Laura Sánchez Cordoba</cp:lastModifiedBy>
  <cp:revision>2</cp:revision>
  <dcterms:created xsi:type="dcterms:W3CDTF">2023-05-19T14:19:00Z</dcterms:created>
  <dcterms:modified xsi:type="dcterms:W3CDTF">2023-05-19T14:19:00Z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